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4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6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3" w:lineRule="exact"/>
        <w:rPr>
          <w:sz w:val="24"/>
          <w:szCs w:val="24"/>
          <w:color w:val="auto"/>
        </w:rPr>
      </w:pPr>
    </w:p>
    <w:p>
      <w:pPr>
        <w:jc w:val="center"/>
        <w:ind w:left="3500" w:right="1200" w:hanging="2319"/>
        <w:spacing w:after="0" w:line="453" w:lineRule="auto"/>
        <w:tabs>
          <w:tab w:leader="none" w:pos="1378" w:val="left"/>
        </w:tabs>
        <w:numPr>
          <w:ilvl w:val="1"/>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UNDER SECTION 13 OR 15(d) OF THE SECURITIES EXCHANGE ACT OF 1934 For the quarterly period ended March 31,2024</w:t>
      </w:r>
    </w:p>
    <w:p>
      <w:pPr>
        <w:spacing w:after="0" w:line="34" w:lineRule="exact"/>
        <w:rPr>
          <w:rFonts w:ascii="MS PGothic" w:cs="MS PGothic" w:eastAsia="MS PGothic" w:hAnsi="MS PGothic"/>
          <w:sz w:val="16"/>
          <w:szCs w:val="16"/>
          <w:color w:val="auto"/>
          <w:highlight w:val="black"/>
        </w:rPr>
      </w:pPr>
    </w:p>
    <w:p>
      <w:pPr>
        <w:ind w:left="1080" w:hanging="193"/>
        <w:spacing w:after="0"/>
        <w:tabs>
          <w:tab w:leader="none" w:pos="10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0220"/>
          </w:cols>
          <w:pgMar w:left="840" w:top="661" w:right="839" w:bottom="1440" w:gutter="0" w:footer="0" w:header="0"/>
        </w:sectPr>
      </w:pPr>
    </w:p>
    <w:p>
      <w:pPr>
        <w:spacing w:after="0" w:line="18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81" w:lineRule="exact"/>
        <w:rPr>
          <w:sz w:val="24"/>
          <w:szCs w:val="24"/>
          <w:color w:val="auto"/>
        </w:rPr>
      </w:pPr>
    </w:p>
    <w:p>
      <w:pPr>
        <w:sectPr>
          <w:pgSz w:w="11900" w:h="16838" w:orient="portrait"/>
          <w:cols w:equalWidth="0" w:num="2">
            <w:col w:w="5380" w:space="720"/>
            <w:col w:w="4120"/>
          </w:cols>
          <w:pgMar w:left="840" w:top="661" w:right="8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001-41139</w:t>
      </w:r>
    </w:p>
    <w:p>
      <w:pPr>
        <w:sectPr>
          <w:pgSz w:w="11900" w:h="16838" w:orient="portrait"/>
          <w:cols w:equalWidth="0" w:num="1">
            <w:col w:w="10220"/>
          </w:cols>
          <w:pgMar w:left="840" w:top="661" w:right="839" w:bottom="1440" w:gutter="0" w:footer="0" w:header="0"/>
          <w:type w:val="continuous"/>
        </w:sectPr>
      </w:pP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BURTECH ACQUISITION CORP.</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696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center"/>
              <w:ind w:right="1679"/>
              <w:spacing w:after="0"/>
              <w:rPr>
                <w:sz w:val="20"/>
                <w:szCs w:val="20"/>
                <w:color w:val="auto"/>
              </w:rPr>
            </w:pPr>
            <w:r>
              <w:rPr>
                <w:rFonts w:ascii="Times New Roman" w:cs="Times New Roman" w:eastAsia="Times New Roman" w:hAnsi="Times New Roman"/>
                <w:sz w:val="16"/>
                <w:szCs w:val="16"/>
                <w:b w:val="1"/>
                <w:bCs w:val="1"/>
                <w:color w:val="auto"/>
              </w:rPr>
              <w:t>85-2708752</w:t>
            </w:r>
          </w:p>
        </w:tc>
      </w:tr>
      <w:tr>
        <w:trPr>
          <w:trHeight w:val="188"/>
        </w:trPr>
        <w:tc>
          <w:tcPr>
            <w:tcW w:w="5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260" w:type="dxa"/>
            <w:vAlign w:val="bottom"/>
            <w:tcBorders>
              <w:top w:val="single" w:sz="8" w:color="auto"/>
            </w:tcBorders>
          </w:tcPr>
          <w:p>
            <w:pPr>
              <w:jc w:val="center"/>
              <w:ind w:right="16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960" w:type="dxa"/>
            <w:vAlign w:val="bottom"/>
            <w:gridSpan w:val="3"/>
          </w:tcPr>
          <w:p>
            <w:pPr>
              <w:jc w:val="center"/>
              <w:ind w:right="198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60" w:type="dxa"/>
            <w:vAlign w:val="bottom"/>
          </w:tcPr>
          <w:p>
            <w:pPr>
              <w:jc w:val="center"/>
              <w:ind w:right="17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17"/>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1300 Pennsylvania Ave NW, Suite 700</w:t>
            </w:r>
          </w:p>
        </w:tc>
        <w:tc>
          <w:tcPr>
            <w:tcW w:w="3260" w:type="dxa"/>
            <w:vAlign w:val="bottom"/>
          </w:tcPr>
          <w:p>
            <w:pPr>
              <w:spacing w:after="0"/>
              <w:rPr>
                <w:sz w:val="24"/>
                <w:szCs w:val="24"/>
                <w:color w:val="auto"/>
              </w:rPr>
            </w:pPr>
          </w:p>
        </w:tc>
      </w:tr>
      <w:tr>
        <w:trPr>
          <w:trHeight w:val="242"/>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 xml:space="preserve">Washington, DC </w:t>
            </w:r>
            <w:r>
              <w:rPr>
                <w:rFonts w:ascii="Times New Roman" w:cs="Times New Roman" w:eastAsia="Times New Roman" w:hAnsi="Times New Roman"/>
                <w:sz w:val="19"/>
                <w:szCs w:val="19"/>
                <w:b w:val="1"/>
                <w:bCs w:val="1"/>
                <w:color w:val="auto"/>
              </w:rPr>
              <w:t>20004</w:t>
            </w:r>
          </w:p>
        </w:tc>
        <w:tc>
          <w:tcPr>
            <w:tcW w:w="3260" w:type="dxa"/>
            <w:vAlign w:val="bottom"/>
          </w:tcPr>
          <w:p>
            <w:pPr>
              <w:spacing w:after="0"/>
              <w:rPr>
                <w:sz w:val="21"/>
                <w:szCs w:val="21"/>
                <w:color w:val="auto"/>
              </w:rPr>
            </w:pPr>
          </w:p>
        </w:tc>
      </w:tr>
      <w:tr>
        <w:trPr>
          <w:trHeight w:val="210"/>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3260" w:type="dxa"/>
            <w:vAlign w:val="bottom"/>
          </w:tcPr>
          <w:p>
            <w:pPr>
              <w:spacing w:after="0"/>
              <w:rPr>
                <w:sz w:val="18"/>
                <w:szCs w:val="18"/>
                <w:color w:val="auto"/>
              </w:rPr>
            </w:pPr>
          </w:p>
        </w:tc>
      </w:tr>
      <w:tr>
        <w:trPr>
          <w:trHeight w:val="289"/>
        </w:trPr>
        <w:tc>
          <w:tcPr>
            <w:tcW w:w="6960" w:type="dxa"/>
            <w:vAlign w:val="bottom"/>
            <w:gridSpan w:val="3"/>
          </w:tcPr>
          <w:p>
            <w:pPr>
              <w:jc w:val="center"/>
              <w:ind w:left="3179"/>
              <w:spacing w:after="0"/>
              <w:rPr>
                <w:sz w:val="20"/>
                <w:szCs w:val="20"/>
                <w:color w:val="auto"/>
              </w:rPr>
            </w:pPr>
            <w:r>
              <w:rPr>
                <w:rFonts w:ascii="Times New Roman" w:cs="Times New Roman" w:eastAsia="Times New Roman" w:hAnsi="Times New Roman"/>
                <w:sz w:val="16"/>
                <w:szCs w:val="16"/>
                <w:b w:val="1"/>
                <w:bCs w:val="1"/>
                <w:color w:val="auto"/>
              </w:rPr>
              <w:t>(202) 600-5757</w:t>
            </w:r>
          </w:p>
        </w:tc>
        <w:tc>
          <w:tcPr>
            <w:tcW w:w="3260" w:type="dxa"/>
            <w:vAlign w:val="bottom"/>
          </w:tcPr>
          <w:p>
            <w:pPr>
              <w:spacing w:after="0"/>
              <w:rPr>
                <w:sz w:val="24"/>
                <w:szCs w:val="24"/>
                <w:color w:val="auto"/>
              </w:rPr>
            </w:pPr>
          </w:p>
        </w:tc>
      </w:tr>
      <w:tr>
        <w:trPr>
          <w:trHeight w:val="210"/>
        </w:trPr>
        <w:tc>
          <w:tcPr>
            <w:tcW w:w="6960" w:type="dxa"/>
            <w:vAlign w:val="bottom"/>
            <w:gridSpan w:val="3"/>
          </w:tcPr>
          <w:p>
            <w:pPr>
              <w:jc w:val="center"/>
              <w:ind w:left="31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260" w:type="dxa"/>
            <w:vAlign w:val="bottom"/>
          </w:tcPr>
          <w:p>
            <w:pPr>
              <w:spacing w:after="0"/>
              <w:rPr>
                <w:sz w:val="18"/>
                <w:szCs w:val="18"/>
                <w:color w:val="auto"/>
              </w:rPr>
            </w:pPr>
          </w:p>
        </w:tc>
      </w:tr>
    </w:tbl>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4160" w:type="dxa"/>
            <w:vAlign w:val="bottom"/>
            <w:gridSpan w:val="2"/>
          </w:tcPr>
          <w:p>
            <w:pPr>
              <w:ind w:left="1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Units, each consisting of one share of Class A Common</w:t>
            </w:r>
          </w:p>
        </w:tc>
        <w:tc>
          <w:tcPr>
            <w:tcW w:w="300" w:type="dxa"/>
            <w:vAlign w:val="bottom"/>
          </w:tcPr>
          <w:p>
            <w:pPr>
              <w:spacing w:after="0"/>
              <w:rPr>
                <w:sz w:val="16"/>
                <w:szCs w:val="16"/>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BRKHU</w:t>
            </w:r>
          </w:p>
        </w:tc>
        <w:tc>
          <w:tcPr>
            <w:tcW w:w="300" w:type="dxa"/>
            <w:vAlign w:val="bottom"/>
          </w:tcPr>
          <w:p>
            <w:pPr>
              <w:spacing w:after="0"/>
              <w:rPr>
                <w:sz w:val="16"/>
                <w:szCs w:val="16"/>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 and one Redeemable Warrant to purchase one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of Class A common stock for $11.50 per share</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BRKH</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Warrants, each exercisable for one share of Class A</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BRKHW</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for $11.50 per share</w:t>
            </w: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tcPr>
          <w:p>
            <w:pPr>
              <w:spacing w:after="0"/>
              <w:rPr>
                <w:sz w:val="18"/>
                <w:szCs w:val="18"/>
                <w:color w:val="auto"/>
              </w:rPr>
            </w:pPr>
          </w:p>
        </w:tc>
      </w:tr>
    </w:tbl>
    <w:p>
      <w:pPr>
        <w:spacing w:after="0" w:line="8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 b-2 of the Exchange Act:</w:t>
      </w:r>
    </w:p>
    <w:p>
      <w:pPr>
        <w:sectPr>
          <w:pgSz w:w="11900" w:h="16838" w:orient="portrait"/>
          <w:cols w:equalWidth="0" w:num="1">
            <w:col w:w="10220"/>
          </w:cols>
          <w:pgMar w:left="840" w:top="661" w:right="839" w:bottom="1440" w:gutter="0" w:footer="0" w:header="0"/>
          <w:type w:val="continuous"/>
        </w:sectPr>
      </w:pP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95" w:lineRule="exact"/>
        <w:rPr>
          <w:sz w:val="24"/>
          <w:szCs w:val="24"/>
          <w:color w:val="auto"/>
        </w:rPr>
      </w:pPr>
    </w:p>
    <w:p>
      <w:pPr>
        <w:sectPr>
          <w:pgSz w:w="11900" w:h="16838" w:orient="portrait"/>
          <w:cols w:equalWidth="0" w:num="2">
            <w:col w:w="3900" w:space="720"/>
            <w:col w:w="5600"/>
          </w:cols>
          <w:pgMar w:left="840" w:top="661" w:right="83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June 5, 2024, there were 15,162,663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500380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71755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114935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960" w:type="dxa"/>
            <w:vAlign w:val="bottom"/>
            <w:gridSpan w:val="2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rPr>
              <w:t>PART 1 – FINANCIAL INFORMATION</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79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31,2024 (Unaudited) and December 31, 2023</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Condensed consolidated Statements of Operations for the three months ended March 31,2024 and 2023 (Unaudited)</w:t>
            </w:r>
          </w:p>
        </w:tc>
        <w:tc>
          <w:tcPr>
            <w:tcW w:w="9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800" w:type="dxa"/>
            <w:vAlign w:val="bottom"/>
            <w:tcBorders>
              <w:bottom w:val="single" w:sz="8" w:color="0000EE"/>
            </w:tcBorders>
            <w:gridSpan w:val="20"/>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Condensed consolidated Statements of Changes in Stockholders’ Deficit for the three months ended March 31,2024 and</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2023 (Unaudited)</w:t>
            </w: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Condensed </w:t>
            </w:r>
            <w:r>
              <w:rPr>
                <w:rFonts w:ascii="Times New Roman" w:cs="Times New Roman" w:eastAsia="Times New Roman" w:hAnsi="Times New Roman"/>
                <w:sz w:val="16"/>
                <w:szCs w:val="16"/>
                <w:color w:val="0000EE"/>
              </w:rPr>
              <w:t>consolidated Statements of Cash Flows for the three months ended March 31,2024 and 2023 (Unaudited)</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Notes to Condensed </w:t>
            </w:r>
            <w:r>
              <w:rPr>
                <w:rFonts w:ascii="Times New Roman" w:cs="Times New Roman" w:eastAsia="Times New Roman" w:hAnsi="Times New Roman"/>
                <w:sz w:val="16"/>
                <w:szCs w:val="16"/>
                <w:color w:val="0000EE"/>
              </w:rPr>
              <w:t>consolidated</w:t>
            </w:r>
            <w:r>
              <w:rPr>
                <w:rFonts w:ascii="Times New Roman" w:cs="Times New Roman" w:eastAsia="Times New Roman" w:hAnsi="Times New Roman"/>
                <w:sz w:val="18"/>
                <w:szCs w:val="18"/>
                <w:color w:val="0000EE"/>
              </w:rPr>
              <w:t xml:space="preserve"> Financial Statements (Unaudited)</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560" w:type="dxa"/>
            <w:vAlign w:val="bottom"/>
            <w:tcBorders>
              <w:bottom w:val="single" w:sz="8" w:color="CCEEFF"/>
            </w:tcBorders>
            <w:gridSpan w:val="2"/>
            <w:shd w:val="clear" w:color="auto" w:fill="CCEEFF"/>
          </w:tcPr>
          <w:p>
            <w:pPr>
              <w:spacing w:after="0"/>
              <w:rPr>
                <w:sz w:val="15"/>
                <w:szCs w:val="15"/>
                <w:color w:val="auto"/>
              </w:rPr>
            </w:pPr>
          </w:p>
        </w:tc>
        <w:tc>
          <w:tcPr>
            <w:tcW w:w="77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90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9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6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CONDENSED </w:t>
      </w:r>
      <w:r>
        <w:rPr>
          <w:rFonts w:ascii="Times New Roman" w:cs="Times New Roman" w:eastAsia="Times New Roman" w:hAnsi="Times New Roman"/>
          <w:sz w:val="16"/>
          <w:szCs w:val="16"/>
          <w:b w:val="1"/>
          <w:bCs w:val="1"/>
          <w:color w:val="auto"/>
        </w:rPr>
        <w:t>CONSOLIDATED</w:t>
      </w:r>
      <w:r>
        <w:rPr>
          <w:rFonts w:ascii="Times New Roman" w:cs="Times New Roman" w:eastAsia="Times New Roman" w:hAnsi="Times New Roman"/>
          <w:sz w:val="18"/>
          <w:szCs w:val="18"/>
          <w:b w:val="1"/>
          <w:bCs w:val="1"/>
          <w:color w:val="auto"/>
        </w:rPr>
        <w:t xml:space="preserve">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Trust Account - Restricted for Redeeming Shareholders</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47,868,795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46,893,175</w:t>
            </w:r>
          </w:p>
        </w:tc>
        <w:tc>
          <w:tcPr>
            <w:tcW w:w="0" w:type="dxa"/>
            <w:vAlign w:val="bottom"/>
          </w:tcPr>
          <w:p>
            <w:pPr>
              <w:spacing w:after="0"/>
              <w:rPr>
                <w:sz w:val="1"/>
                <w:szCs w:val="1"/>
                <w:color w:val="auto"/>
              </w:rPr>
            </w:pPr>
          </w:p>
        </w:tc>
      </w:tr>
      <w:tr>
        <w:trPr>
          <w:trHeight w:val="24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48,149,166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2,218,166</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Redeemed stock payable to public stockholders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sponsor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17,006,596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41,441,175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4,345,663 shares at redemption value of</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approximately $11.00 and $10.81 as of March 31, 2024 and December 31, 2023, respectively</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47,791,962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10,817,000 shares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(excluding 4,345,663 shares subject to possible redemption) as of March</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 2024 and 10,817,000 shares issued and outstanding (excluding 4,345,663 shares subject to</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possible redemption and 2,285,040 shares to be redeemed) as of December 31, 2023,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0 shares issued and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as of March 31, 2024 and December 31, 2023</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(16,650,474)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(15,839,811)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(16,649,392)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(15,838,729)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48,149,166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BURTECH ACQUISITION CORP. CONDENSED </w:t>
      </w:r>
      <w:r>
        <w:rPr>
          <w:rFonts w:ascii="Times New Roman" w:cs="Times New Roman" w:eastAsia="Times New Roman" w:hAnsi="Times New Roman"/>
          <w:sz w:val="16"/>
          <w:szCs w:val="16"/>
          <w:b w:val="1"/>
          <w:bCs w:val="1"/>
          <w:color w:val="auto"/>
        </w:rPr>
        <w:t>CONSOLIDATED</w:t>
      </w:r>
      <w:r>
        <w:rPr>
          <w:rFonts w:ascii="Times New Roman" w:cs="Times New Roman" w:eastAsia="Times New Roman" w:hAnsi="Times New Roman"/>
          <w:sz w:val="18"/>
          <w:szCs w:val="18"/>
          <w:b w:val="1"/>
          <w:bCs w:val="1"/>
          <w:color w:val="auto"/>
        </w:rPr>
        <w:t xml:space="preserve"> STATEMENTS OF OPERATIONS (UNAUDITED)</w:t>
      </w:r>
    </w:p>
    <w:p>
      <w:pPr>
        <w:spacing w:after="0" w:line="18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8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419,553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(475,812)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income earned on Trust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628,074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3,075,729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628,074</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3,075,729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152,262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(162,895)</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A common stock subject to redemption, basic</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4,345,663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23,097,291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stock, Class A subject to redemption</w:t>
            </w: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shares outstanding of non-redeemable Class A common stock, basic and</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10,817,000</w:t>
            </w: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stock, non-redeemable Class A</w:t>
            </w: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of Class B common stock, basic and diluted</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B common stock</w:t>
            </w: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8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CONDENSED </w:t>
      </w:r>
      <w:r>
        <w:rPr>
          <w:rFonts w:ascii="Times New Roman" w:cs="Times New Roman" w:eastAsia="Times New Roman" w:hAnsi="Times New Roman"/>
          <w:sz w:val="16"/>
          <w:szCs w:val="16"/>
          <w:b w:val="1"/>
          <w:bCs w:val="1"/>
          <w:color w:val="auto"/>
        </w:rPr>
        <w:t>CONSOLIDATED</w:t>
      </w:r>
      <w:r>
        <w:rPr>
          <w:rFonts w:ascii="Times New Roman" w:cs="Times New Roman" w:eastAsia="Times New Roman" w:hAnsi="Times New Roman"/>
          <w:sz w:val="18"/>
          <w:szCs w:val="18"/>
          <w:b w:val="1"/>
          <w:bCs w:val="1"/>
          <w:color w:val="auto"/>
        </w:rPr>
        <w:t xml:space="preserve">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5"/>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10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72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10,817,000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1,082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gridSpan w:val="2"/>
            <w:shd w:val="clear" w:color="auto" w:fill="CCEEFF"/>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(15,839,811)</w:t>
            </w:r>
          </w:p>
        </w:tc>
        <w:tc>
          <w:tcPr>
            <w:tcW w:w="1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(15,838,729)</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Accretion for common stock subject to redemption amount</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(800,030)</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(800,030)</w:t>
            </w:r>
          </w:p>
        </w:tc>
        <w:tc>
          <w:tcPr>
            <w:tcW w:w="0" w:type="dxa"/>
            <w:vAlign w:val="bottom"/>
          </w:tcPr>
          <w:p>
            <w:pPr>
              <w:spacing w:after="0"/>
              <w:rPr>
                <w:sz w:val="1"/>
                <w:szCs w:val="1"/>
                <w:color w:val="auto"/>
              </w:rPr>
            </w:pPr>
          </w:p>
        </w:tc>
      </w:tr>
      <w:tr>
        <w:trPr>
          <w:trHeight w:val="148"/>
        </w:trPr>
        <w:tc>
          <w:tcPr>
            <w:tcW w:w="4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(10,633)</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(10,633)</w:t>
            </w:r>
          </w:p>
        </w:tc>
        <w:tc>
          <w:tcPr>
            <w:tcW w:w="0" w:type="dxa"/>
            <w:vAlign w:val="bottom"/>
          </w:tcPr>
          <w:p>
            <w:pPr>
              <w:spacing w:after="0"/>
              <w:rPr>
                <w:sz w:val="1"/>
                <w:szCs w:val="1"/>
                <w:color w:val="auto"/>
              </w:rPr>
            </w:pPr>
          </w:p>
        </w:tc>
      </w:tr>
      <w:tr>
        <w:trPr>
          <w:trHeight w:val="142"/>
        </w:trPr>
        <w:tc>
          <w:tcPr>
            <w:tcW w:w="4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7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10,817,000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1,082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(16,650,474)</w:t>
            </w: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(16,649,392)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240" w:type="dxa"/>
            <w:vAlign w:val="bottom"/>
            <w:gridSpan w:val="19"/>
          </w:tcPr>
          <w:p>
            <w:pPr>
              <w:ind w:left="29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2023</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5"/>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10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1,329,500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9,487,500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(10,145,752)</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(10,144,670)</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Stockholder Non-Redemption Agreement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8,758,683</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8,758,683</w:t>
            </w:r>
          </w:p>
        </w:tc>
        <w:tc>
          <w:tcPr>
            <w:tcW w:w="0" w:type="dxa"/>
            <w:vAlign w:val="bottom"/>
          </w:tcPr>
          <w:p>
            <w:pPr>
              <w:spacing w:after="0"/>
              <w:rPr>
                <w:sz w:val="1"/>
                <w:szCs w:val="1"/>
                <w:color w:val="auto"/>
              </w:rPr>
            </w:pPr>
          </w:p>
        </w:tc>
      </w:tr>
      <w:tr>
        <w:trPr>
          <w:trHeight w:val="148"/>
        </w:trPr>
        <w:tc>
          <w:tcPr>
            <w:tcW w:w="4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 Non-Redemption Agreement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(8,758,683)</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(8,758,683)</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Excise tax liability arising from redemption of Class A shares</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(2,277,760)</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(2,277,760)</w:t>
            </w:r>
          </w:p>
        </w:tc>
        <w:tc>
          <w:tcPr>
            <w:tcW w:w="0" w:type="dxa"/>
            <w:vAlign w:val="bottom"/>
          </w:tcPr>
          <w:p>
            <w:pPr>
              <w:spacing w:after="0"/>
              <w:rPr>
                <w:sz w:val="1"/>
                <w:szCs w:val="1"/>
                <w:color w:val="auto"/>
              </w:rPr>
            </w:pPr>
          </w:p>
        </w:tc>
      </w:tr>
      <w:tr>
        <w:trPr>
          <w:trHeight w:val="148"/>
        </w:trPr>
        <w:tc>
          <w:tcPr>
            <w:tcW w:w="4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Accretion for common stock subject to redemption amount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(2,276,329)</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(2,276,329)</w:t>
            </w:r>
          </w:p>
        </w:tc>
        <w:tc>
          <w:tcPr>
            <w:tcW w:w="0" w:type="dxa"/>
            <w:vAlign w:val="bottom"/>
          </w:tcPr>
          <w:p>
            <w:pPr>
              <w:spacing w:after="0"/>
              <w:rPr>
                <w:sz w:val="1"/>
                <w:szCs w:val="1"/>
                <w:color w:val="auto"/>
              </w:rPr>
            </w:pPr>
          </w:p>
        </w:tc>
      </w:tr>
      <w:tr>
        <w:trPr>
          <w:trHeight w:val="148"/>
        </w:trPr>
        <w:tc>
          <w:tcPr>
            <w:tcW w:w="4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1,574,791</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1,574,791</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1,329,500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9,487,500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(13,125,050)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(13,123,968)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BURTECH ACQUISITION CORP. CONDENSED </w:t>
      </w:r>
      <w:r>
        <w:rPr>
          <w:rFonts w:ascii="Times New Roman" w:cs="Times New Roman" w:eastAsia="Times New Roman" w:hAnsi="Times New Roman"/>
          <w:sz w:val="16"/>
          <w:szCs w:val="16"/>
          <w:b w:val="1"/>
          <w:bCs w:val="1"/>
          <w:color w:val="auto"/>
        </w:rPr>
        <w:t>CONSOLIDATED</w:t>
      </w:r>
      <w:r>
        <w:rPr>
          <w:rFonts w:ascii="Times New Roman" w:cs="Times New Roman" w:eastAsia="Times New Roman" w:hAnsi="Times New Roman"/>
          <w:sz w:val="18"/>
          <w:szCs w:val="18"/>
          <w:b w:val="1"/>
          <w:bCs w:val="1"/>
          <w:color w:val="auto"/>
        </w:rPr>
        <w:t xml:space="preserve"> STATEMENTS OF CASH FLOWS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(10,633)</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earned on cash and investments held in Trust Account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(628,074)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Franchise tax payable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(806,229)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(1,455,127)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(620,283)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withdrawn from Trust Account to pay franchise and income taxes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deposits into Trust Account for Extension</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227,776,035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24,191,456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229,446,482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Advances from sponsor</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Redemption of Common Stock</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(24,539,002)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(227,776,035)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(23,430,906)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(227,676,060)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(694,577)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5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148,736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1,172,371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Excise tax liability arising from redemption of Class A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Accretion of Class A common stock subject to possible redemption</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800,030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2,276,329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148,736</w:t>
            </w:r>
          </w:p>
        </w:tc>
        <w:tc>
          <w:tcPr>
            <w:tcW w:w="10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1,172,371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w:t>
      </w:r>
      <w:r>
        <w:rPr>
          <w:rFonts w:ascii="Times New Roman" w:cs="Times New Roman" w:eastAsia="Times New Roman" w:hAnsi="Times New Roman"/>
          <w:sz w:val="16"/>
          <w:szCs w:val="16"/>
          <w:b w:val="1"/>
          <w:bCs w:val="1"/>
          <w:color w:val="auto"/>
        </w:rPr>
        <w:t>CONSOLIDATED</w:t>
      </w:r>
      <w:r>
        <w:rPr>
          <w:rFonts w:ascii="Times New Roman" w:cs="Times New Roman" w:eastAsia="Times New Roman" w:hAnsi="Times New Roman"/>
          <w:sz w:val="18"/>
          <w:szCs w:val="18"/>
          <w:b w:val="1"/>
          <w:bCs w:val="1"/>
          <w:color w:val="auto"/>
        </w:rPr>
        <w:t xml:space="preserv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Business Operation,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wholly owned inactive subsidiary, Burtech Merger Sub Inc. (the “Merger Sub”), a Delaware corporation, formed on December 6,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31,2024, the Company had not commenced any operations. All activity for the period from March 2, 2021 (inception) through March 31,2024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sponsor is BurTech LP LLC, (the “Sponsor”).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 The Underwriting Agreement was amended subsequent to the balance sheet date, refer to Note 9.</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10, 2023, the Company and Sponsor entered into a non-redemption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2023, the Company’s non-binding letter of intent for a potential business combination with CleanBay Renewables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 Following thorough initial negotiations, the Company has chosen not to pursue the business combination.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and March 12, 2024, the Sponsor deposited $130,370 on each date into the Trust account to extend the life of the Company from January 15, 2024 to April 15, 2024.</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3, 2024, the Company received a notification letter from the Listing Qualifications Department of Nasdaq indicating that, as a result of the Company’s delay in filing its Quarterly Report on Form 10-Q for the period ended March 31, 2024 with SEC, the Company was not in compliance with the requirements for continued listing under Nasdaq Listing Rule 5250(c)(1).</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notification letter has no immediate effect on the listing or trading of the Company’s common stock on the Nasdaq Global Market. The Notice states that the Company has 60 calendar days from the date of the Notice, or August 2, 2024, to submit a plan to regain compliance with the Listing Rule. If Nasdaq accepts the Company’s plan to regain compliance, then Nasdaq may grant the Company up to 180 calendar days from the prescribed due date of the 10-Q, or November 8, 2024, to file the 10-Q to regain compliance.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31,2024, the Company had $148,736 in its restricted cash account and $47,868,795 in investments held in trust. Restricted cash is held exclusively for payment of current tax liabilities. As of March 31, 2024, $3,369,206 of the amount on deposit in the Trust Account represents interest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needs up to March 31,2024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March 31,2024, the Company had $1,500,000 outstanding under a Convertible Promissory Note and $418,441 outstanding as advances from sponsor.</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less than 7 months from its mandatory liquidation as of the time of filing of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condensed consolidated financial statements are issued.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condensed consolidated financial statements do not include any adjustments relating to the recovery of the recorded assets or the classification of the liabilities that might be necessary should the Company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due from sponsor and trust payable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Trust agreement, the Company is permitted to withdraw funds from the trust account to pay its tax obligations, including income and franchise taxes. During the three months ended March 31, 2024, the Company withdrew $43,564 from the trust account for the purposes of settling its current tax liabilities. During the year ended December 31, 2023 the Company identified that $318,888 was erroneously withdrawn from the trust account and used for operating expenses. The sponsor has committed to reimburse the Company for this amount, ensuring that the trust account will be made whole. The amounts due from the sponsor and related payable to the trust account at March 31, 2024 and December 31, 2023 amounted to $29,385 and $318,888, respectively. As of March 31, 2024 and December 31, 2023, the balance in restricted cash in the amount of $148,736 and $843,313, respectively, on the accompanying condensed consolidated balance sheets, represents amounts withheld from the trust account available exclusively for payment of current tax liabilities.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consolidated financial statements reflect all adjustments, which include only normal recurring adjustments necessary for the fair statement of the balances and results for the periods presented. The interim results for the three months ended March 31, 2024 are not necessarily indicative of the results to be expected for the year ending December 31, 2024 or for any future interim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financial statements and notes thereto included in the Company’s Annual Report on Form 10-K as of and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balances and transactions have been eliminated in consolidation.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more significant accounting estimates included in these condensed consolidated financial statements is the determination of fair value of the warrant liabilities. Such estimates may be subject to change as more current information becomes available and accordingly, the actual results could differ significantly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March 31,2024 and December 31, 2023, the Company had no cash and no cash equivalents. At March 31, 2024 and December 31, 2023, the Company also had $148,736 and $843,313 of restricted cash, respectively, related to funds withdrawn from the Trust Account reserved to the payment of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March 31,2024 and December 31, 2023, the Company had $47,868,795 and $71,432,177 (as of December 31, 2023, $24,539,002 of this amount was restricted for redeeming shareholders, which were redeemed in December 2023 and subsequently distributed in January 2024.)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March 31,2024 and December 31, 2023, 4,345,663 Class A common stock subject to possible redemption are presented at redemption value as temporary equity, outside of the stockholders’ deficit section of the Company’s balance sheets.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March 31, 2024 and December 31, 2023, the Company’s deferred tax asset had a full valuation allowance recorded against it.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March 31,2024 and December 31, 2023. The Company is currently not aware of any issues under review that could result in significant payments, accruals or material deviation from its position.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106.98% and 27.76% for the three months ended March 31, 2024 and 2023, respectively. The effective tax rate differs from the statutory tax rate of 21% due to the valuation allowance on the deferred tax assets and the deductibility of penalties on tax obligations and merger and acquisition costs.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March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or Loss Per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months ended March 31,2024 and 2023 because the warrants are contingently exercisable, and the contingencies have not yet been met and its inclusion would be anti- dilutive. As a result, diluted net income or loss per common stock is the same as basic net income or loss per common stock for the periods. The table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presents a reconciliation of the numerator and denominator used to compute basic and diluted net income or loss per share for each class of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20" w:type="dxa"/>
            <w:vAlign w:val="bottom"/>
            <w:gridSpan w:val="9"/>
          </w:tcPr>
          <w:p>
            <w:pPr>
              <w:ind w:left="580"/>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80" w:type="dxa"/>
            <w:vAlign w:val="bottom"/>
          </w:tcPr>
          <w:p>
            <w:pPr>
              <w:spacing w:after="0"/>
              <w:rPr>
                <w:sz w:val="12"/>
                <w:szCs w:val="12"/>
                <w:color w:val="auto"/>
              </w:rPr>
            </w:pPr>
          </w:p>
        </w:tc>
        <w:tc>
          <w:tcPr>
            <w:tcW w:w="2720" w:type="dxa"/>
            <w:vAlign w:val="bottom"/>
            <w:gridSpan w:val="8"/>
          </w:tcPr>
          <w:p>
            <w:pPr>
              <w:jc w:val="right"/>
              <w:ind w:right="622"/>
              <w:spacing w:after="0"/>
              <w:rPr>
                <w:sz w:val="20"/>
                <w:szCs w:val="20"/>
                <w:color w:val="auto"/>
              </w:rPr>
            </w:pPr>
            <w:r>
              <w:rPr>
                <w:rFonts w:ascii="Times New Roman" w:cs="Times New Roman" w:eastAsia="Times New Roman" w:hAnsi="Times New Roman"/>
                <w:sz w:val="12"/>
                <w:szCs w:val="12"/>
                <w:b w:val="1"/>
                <w:bCs w:val="1"/>
                <w:color w:val="auto"/>
              </w:rPr>
              <w:t>For the Three Months Ended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March 31, 2023</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5"/>
          </w:tcPr>
          <w:p>
            <w:pPr>
              <w:jc w:val="right"/>
              <w:ind w:right="760"/>
              <w:spacing w:after="0" w:line="12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2"/>
              <w:spacing w:after="0" w:line="129" w:lineRule="exact"/>
              <w:rPr>
                <w:sz w:val="20"/>
                <w:szCs w:val="20"/>
                <w:color w:val="auto"/>
              </w:rPr>
            </w:pPr>
            <w:r>
              <w:rPr>
                <w:rFonts w:ascii="Times New Roman" w:cs="Times New Roman" w:eastAsia="Times New Roman" w:hAnsi="Times New Roman"/>
                <w:sz w:val="12"/>
                <w:szCs w:val="12"/>
                <w:b w:val="1"/>
                <w:bCs w:val="1"/>
                <w:color w:val="auto"/>
                <w:w w:val="93"/>
              </w:rPr>
              <w:t>Class B</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5"/>
          </w:tcPr>
          <w:p>
            <w:pPr>
              <w:ind w:left="620"/>
              <w:spacing w:after="0" w:line="12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2"/>
              <w:spacing w:after="0" w:line="129" w:lineRule="exact"/>
              <w:rPr>
                <w:sz w:val="20"/>
                <w:szCs w:val="20"/>
                <w:color w:val="auto"/>
              </w:rPr>
            </w:pPr>
            <w:r>
              <w:rPr>
                <w:rFonts w:ascii="Times New Roman" w:cs="Times New Roman" w:eastAsia="Times New Roman" w:hAnsi="Times New Roman"/>
                <w:sz w:val="12"/>
                <w:szCs w:val="12"/>
                <w:b w:val="1"/>
                <w:bCs w:val="1"/>
                <w:color w:val="auto"/>
                <w:w w:val="98"/>
              </w:rPr>
              <w:t>Class B</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8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w w:val="94"/>
              </w:rPr>
              <w:t>Non-redeemable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2"/>
              <w:spacing w:after="0" w:line="118"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7"/>
              </w:rPr>
              <w:t>common stock</w:t>
            </w:r>
          </w:p>
        </w:tc>
        <w:tc>
          <w:tcPr>
            <w:tcW w:w="6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common stock</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6"/>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common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Basic and diluted net income (loss) per share:</w:t>
            </w: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Numerator: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2"/>
                <w:szCs w:val="12"/>
                <w:color w:val="auto"/>
              </w:rPr>
              <w:t>Allocation of net income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(3,047)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(7,586)</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ind w:left="6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1,072,510</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61,735</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440,547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Denominator:</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Weighted-average shares outstanding including common stock subject to redemption</w:t>
            </w: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4,345,663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10,817,000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ind w:left="6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23,097,291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1,329,500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9,487,500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Basic and diluted net income (loss)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0.00</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2"/>
            <w:shd w:val="clear" w:color="auto" w:fill="CCEEFF"/>
          </w:tcPr>
          <w:p>
            <w:pPr>
              <w:ind w:left="6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0.05</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0.05</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0.05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March 31, 2024 and December 31, 2023, the Company had not experienced losses on this account and management believes the Company is not exposed to significant risks on such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condensed consolidated balance sheets, primarily due to its short-term nature.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fair value measurement are unobservable inputs, such as estimates, assumptions, and valuation techniques when little or no market data exists for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Classification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March 31,2024.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(“ASU 2016-13”). </w:t>
      </w:r>
      <w:r>
        <w:rPr>
          <w:rFonts w:ascii="Times New Roman" w:cs="Times New Roman" w:eastAsia="Times New Roman" w:hAnsi="Times New Roman"/>
          <w:sz w:val="18"/>
          <w:szCs w:val="18"/>
          <w:color w:val="auto"/>
        </w:rPr>
        <w:t>This update requires financial assets measured at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condensed consolidated financial statements.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has a price of $10.00 and consists of one share of Class A common stock and one redeemable warrant. Each whole warrant will entitle the holder to purchase one Class A common stock at a price of $11.50 per share, subject to adjustment.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31,2024 and December 31, 2023, the common stock subject to redemption reflected on the balance sheet are reconciled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January 1, 2022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291,812,500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2,984,418</w:t>
            </w: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294,796,918</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(252,315,037)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100" w:type="dxa"/>
            <w:vAlign w:val="bottom"/>
            <w:shd w:val="clear" w:color="auto" w:fill="CCEEFF"/>
          </w:tcPr>
          <w:p>
            <w:pPr>
              <w:spacing w:after="0"/>
              <w:rPr>
                <w:sz w:val="18"/>
                <w:szCs w:val="18"/>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4,510,051</w:t>
            </w: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46,991,932</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800,030</w:t>
            </w: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March 31, 2024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47,791,962</w:t>
            </w:r>
          </w:p>
        </w:tc>
      </w:tr>
      <w:tr>
        <w:trPr>
          <w:trHeight w:val="20"/>
        </w:trPr>
        <w:tc>
          <w:tcPr>
            <w:tcW w:w="6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March 31, 2024 and 2023, the Company incurred $30,000 and $30,000 for the administrative service fees, respectively, of which $30,000 and $0 are recorded as accrued expenses in the balance sheets,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March 31,2024 and December 31, 2023, $1,500,000 and $810,345 in working capital loans were outstanding,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Sponsor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Sponsor provided working capital and extension deposits on behalf of the Company. These amounts are reflected on the condensed consolidated balance sheets as advances from Sponsor. The advances are non-interest bearing and are payable on demand. At March 31, 2024, the Company had advances owed to the Sponsor in the amount of $418,441. At December 31, 2023, the Company had no advances owed to the Sponsor.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Non-Redeeming Stockholders not to redeem the Non-Redeemed Shares, with a corresponding charge to additional paid-in capital to recognize the fair value of the Founder Shares subject to transfer as an offering cost.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 (the “IR Act”)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5" w:lineRule="exact"/>
        <w:rPr>
          <w:sz w:val="20"/>
          <w:szCs w:val="20"/>
          <w:color w:val="auto"/>
        </w:rPr>
      </w:pPr>
    </w:p>
    <w:p>
      <w:pPr>
        <w:jc w:val="both"/>
        <w:ind w:firstLine="8"/>
        <w:spacing w:after="0" w:line="253"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 the amounts redeemed were paid out to stockholders on January 5,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current status and probability of completing a Business Combination as of March 31, 2024 and concluded that it is probable that a contingent liability should be recorded. As of March 31, 2024, the Company recorded $2,523,150 of excise tax liability calculated as 1% of shares redeemed on March 10, 2023 and December 15,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(the “Merger Agreement”) by and among the Company, BurTech Merger Sub Inc., a Delaware corporation and a direct, wholly owned subsidiary of the Company (“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Support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“Lock-up Agreements”) with (i) certain of New Blaize’s directors and officers, (ii) certain stockholders of New Blaize and (iii) Burkhan, in each case, restricting the transfer of New Blaize common stock and any shares of New Blaize common stock issuable upon the exercise or settlement, as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the Merger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22,2024, the Company entered into an amendment of its Merger Agreement which modified certain terms and conditions as follows:</w:t>
      </w:r>
    </w:p>
    <w:p>
      <w:pPr>
        <w:spacing w:after="0" w:line="162" w:lineRule="exact"/>
        <w:rPr>
          <w:sz w:val="20"/>
          <w:szCs w:val="20"/>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which modified its convertible note financing and certain lock-up provisions which will exist in the closing of the Company’s Business Combination.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in connection with its convertible note financing subject to funding conditions which will exist in the closing of the Company’s Business Combination.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 entered into an additional letter agreement, under which the Sponsor agreed to forfeit 2,000,000 Company Shares to be effective immediately prior to the closing of the Business Combination.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Amendment also revised the aggregate reserve size under the Equity Incentive Plan and ESPP to 20% and the evergreen percentage for the Equity Incentive Plan to 7%.</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Merger Sub, Blaize and Burkhan amended the Agreement and Plan of Merger, amending the original Merger Agreement to make the following adjustments:</w:t>
      </w:r>
    </w:p>
    <w:p>
      <w:pPr>
        <w:spacing w:after="0" w:line="146"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Increasing the Base Purchase Price from $700 million to $767 million.</w:t>
      </w:r>
    </w:p>
    <w:p>
      <w:pPr>
        <w:spacing w:after="0" w:line="28" w:lineRule="exact"/>
        <w:rPr>
          <w:rFonts w:ascii="Times New Roman" w:cs="Times New Roman" w:eastAsia="Times New Roman" w:hAnsi="Times New Roman"/>
          <w:sz w:val="18"/>
          <w:szCs w:val="18"/>
          <w:color w:val="auto"/>
        </w:rPr>
      </w:pPr>
    </w:p>
    <w:p>
      <w:pPr>
        <w:ind w:left="1000" w:hanging="324"/>
        <w:spacing w:after="0" w:line="23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Acknowledged that the Blaize Note Financing and the Blaize Warrant Financing constitute a Company Financing for all</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purposes of the Merger Agreement.</w:t>
      </w:r>
    </w:p>
    <w:p>
      <w:pPr>
        <w:ind w:left="1000" w:hanging="324"/>
        <w:spacing w:after="0" w:line="23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Added a new component to the definition of “Base Merger Consideration”, which is the product of (a) the number of shares</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of the Excluded Company Stock multiplied by (b) the Per Company Share Merger Consideration.</w:t>
      </w:r>
    </w:p>
    <w:p>
      <w:pPr>
        <w:ind w:left="1000" w:hanging="324"/>
        <w:spacing w:after="0" w:line="23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Added a new component to the definition of “Available Acquiror Cash”, which is the amount contributed by the Sponsor</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pursuant to the Backstop Subscription Agreement and a new definition of “Cash Ratio,” which means the ratio equal to (x) Available Acquiror Cash, divided by (y) the Minimum Cash Amount.</w:t>
      </w:r>
    </w:p>
    <w:p>
      <w:pPr>
        <w:spacing w:after="0" w:line="2" w:lineRule="exact"/>
        <w:rPr>
          <w:rFonts w:ascii="Times New Roman" w:cs="Times New Roman" w:eastAsia="Times New Roman" w:hAnsi="Times New Roman"/>
          <w:sz w:val="18"/>
          <w:szCs w:val="18"/>
          <w:color w:val="auto"/>
        </w:rPr>
      </w:pPr>
    </w:p>
    <w:p>
      <w:pPr>
        <w:jc w:val="right"/>
        <w:ind w:left="1000" w:hanging="324"/>
        <w:spacing w:after="0" w:line="23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Added a new definition of “Proportionate Shares Number,” which means (a) 325,000 Company Shares multiplied by (b.)</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the Cash Ratio; (viii) Added a closing condition for the benefit of Blaize requiring that the sum of the Trust Amount plus the amount of funds received pursuant to the Backstop Subscription Agreement shall be no less than the Backstop Amount.</w:t>
      </w:r>
    </w:p>
    <w:p>
      <w:pPr>
        <w:spacing w:after="0" w:line="2" w:lineRule="exact"/>
        <w:rPr>
          <w:rFonts w:ascii="Times New Roman" w:cs="Times New Roman" w:eastAsia="Times New Roman" w:hAnsi="Times New Roman"/>
          <w:sz w:val="18"/>
          <w:szCs w:val="18"/>
          <w:color w:val="auto"/>
        </w:rPr>
      </w:pPr>
    </w:p>
    <w:p>
      <w:pPr>
        <w:ind w:left="1000" w:right="20" w:hanging="324"/>
        <w:spacing w:after="0" w:line="24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Additionally, adjustments were made to various definitions and covenants to reflect the funding commitment of the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Sponsor pursuant to the Backstop Subscription Agreement and the amounts of certain convertible notes and pre-funded warrants Burkhan, its Affiliates or nominees purchased from the Company.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Underwriting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31,2024 and December 31, 2023, there were no shares of preferred stock issued or outstanding.</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280,000,000 shares of Class A common stock with a par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$0.0001 per 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March 31, 2024 and December 31, 2023, there were 10,817,000 shares issued and outstanding (excluding 2,285,040 shares to be redeemed as of March 31, 2024 and December 31, 2023 and excluding 4,345,663 shares subject to possible redemption) as of March 31, 2024 and December 31, 2023.</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10, 2023, the Company’s stockholders redeemed 22,119,297 shares at approximately $10.30 per share.</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20,000,000 shares of Class B common stock with a par value of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March 31,2024 and December 31, 2023, there were no shares of Class B common stock issued and outstanding.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225"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8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March 31, 2024 and December 31, 2023 and indicates the fair value hierarchy of the valuation techniques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47,868,795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47,868,795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47,868,795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47,868,795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60" w:type="dxa"/>
            <w:vAlign w:val="bottom"/>
          </w:tcPr>
          <w:p>
            <w:pPr>
              <w:spacing w:after="0"/>
              <w:rPr>
                <w:sz w:val="24"/>
                <w:szCs w:val="24"/>
                <w:color w:val="auto"/>
              </w:rPr>
            </w:pPr>
          </w:p>
        </w:tc>
        <w:tc>
          <w:tcPr>
            <w:tcW w:w="1800" w:type="dxa"/>
            <w:vAlign w:val="bottom"/>
            <w:gridSpan w:val="3"/>
          </w:tcPr>
          <w:p>
            <w:pPr>
              <w:jc w:val="right"/>
              <w:ind w:right="816"/>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2"/>
                <w:szCs w:val="12"/>
                <w:color w:val="auto"/>
              </w:rPr>
            </w:pPr>
          </w:p>
        </w:tc>
        <w:tc>
          <w:tcPr>
            <w:tcW w:w="12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71,432,177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71,432,177</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Based upon this review, the Company did not identify any subsequent events, other than below, that would have required adjustment or disclosure in the unaudited condensed consolidated financial statements.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10, 2024 and May 10, 2024, the Sponsor deposited $130,370 on each date into the Trust account to extend the life of the Company from April 15, 2024 to June 15,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22, 2024, as disclosed in Note 6, the Company amended its Merger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26, 2024, as disclosed in Note 6, the Company amended its 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26, 2024, as disclosed in Note 1, the Company received confirmation of compliance from NASDAQ.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2024, as disclosed in Note 1, the Company received a delisting notice from NASDAQ.</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References in this report (this “Quarterly Report”) to “we,” “us” or the “Company” refer to BurTech Acquisition Corp. References to our “management” or our “management team” refer to our officers and directors, and references to the “Sponsor” refer to BurTech LP, LLC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(as defined below) filed with the U.S. Securities and Exchange Commission (the “SEC”). The Company’s filings with the SEC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holders. Following redemptions, the Company has 6,630,703 shares of Class A common stock outstanding, and approximately $68.0 million will remain in the Company’s trust account.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Second Special Meeting of stockholders held by the Company on December 11, 2023, The Company’s stockholders redeemed 2,285,040 shares during the Second Special Meeting. As a result, approximately $24.5 million (approximately $10.74 per share) was removed from the Company’s trust account to pay such holders. The amount was removed from the Trust Account on January 5,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On December 11, 2023 (the “Second Special Meeting”), the Company entered into an amendment to the investment management trust agreement dated as of December 10, 2021, with Continental Stock Transfer &amp; Trust Company (the “Second Trust Amendment”).</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On January 16, 2024, February 9, 2024, and March 12, 2024, the Sponsor deposited $130,370 on each date into the Trust account to extend the life of the Company from January 15, 2024 to April 15, 2024. On April 10, 2024 and May 10, 2024, the Sponsor deposited $130,370 on each date into the Trust account to extend the life of the Company from April 15, 2024 to June 15, 2024, refer to Note 9.</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unable to complete the initial business combination within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the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announced, on December 22, 2023, the Company entered into an Agreement and Plan of Merger (the “Merger Agreement”) by and among the Company, Merger Sub a Delaware corporation and a direct, wholly owned subsidiary of the Company,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further provides that as soon as reasonably practicable following the date of the Merger Agreement, Burkhan and/or its affiliates and/or nominees shall purchase from Blaize (i) convertible promissory notes of Blaize and (ii) a pre-funded warrant to purchase up to a number of shares of common stock of Blaize, par value $0.00001 per share (“Blaize Common Stock”), that, following the conversion of Blaize Common Stock at the effective time of the Merger (the “Effective Time”) pursuant to the Merger Agreement, would result in up to 6,833,333 shares of The Company Class A common stock (the “Warrant”) for aggregate gross proceeds to Blaize of $25.0 million. Blaize issued the Warrant, which has an aggregate exercise price of $68,333.33 and an assumed purchase price of $68,333.33, to Burkhan concurrently with the execution of the Merger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Among other things, at the Effective Time, (A) the outstanding shares of Blaize Common Stock issued and outstanding immediately prior to the Effective Time, and following the conversion or exercise of the outstanding convertible notes, preferred stock and warrants of Blaize (but excluding any (i) shares of Blaize Common Stock held by Blaize as treasury stock, (ii) shares the holders of which perfect rights of appraisal under Delaware law, and (iii) shares of Blaize Common Stock subject to any Blaize restricted stock unit (“RSU”) and Blaize stock option that will be assumed) will be cancelled in exchange for the right to receive a number of shares of the Company Class A common stock (rounded up to the nearest whole share) equal to the quotient obtained by dividing (a) 77,000,000 by (b) the Aggregate Company Shares (the “Exchange Ratio”), (B) each Blaize stock option that is outstanding and unexercised as of immediately prior to the Effective Time will be converted into an option to purchase shares of The Company Class A common stock (“New Blaize Options”) as set forth in the Merger Agreement, and (C) each Blaize RSU that is outstanding and unsettled as of immediately prior to the Effective Time will be converted into an award of RSUs relating to shares of The Company Class A common stock (“New Blaize RSUs”) as set forth in the Merger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“Aggregate Company Shares” means, without duplication, (i) the sum of the number of shares of Blaize Common Stock that are (a) issued and outstanding immediately prior to the Effective Time (following the conversion or exercise of the outstanding convertible notes, preferred stock and warrants of Blaize but excluding any shares of Burkhan Company Stock (as defined in the Merger Agreement), and any treasury stock to be cancelled) and (b) issuable upon the exercise or settlement of Blaize stock awards (in each case, whether or</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 vested or currently exercisable) that are outstanding immediately prior to the Effective Time minus (ii) a number of shares of Blaize Common Stock equal to the quotient of (x) the sum of the aggregate cash exercise prices of all Blaize stock options divided by (y) the Exchange Ratio.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16.3 million shares of New Blaize common stock may be issued as earnout shares (the “Earnout Shares”) for a period from the closing of the Business Combination (the “Closing”) until the five-year anniversary thereof (the “Earnout Period”), in accordance with the schedule set forth in the Merger Agreement. The earnout shares are to be issued to Burkhan and shareholders of Blaize contingent, in each case, on the closing stock price of the New Blaize common stock exceeding the following thresholds:</w:t>
      </w:r>
    </w:p>
    <w:p>
      <w:pPr>
        <w:spacing w:after="0" w:line="180" w:lineRule="exact"/>
        <w:rPr>
          <w:sz w:val="20"/>
          <w:szCs w:val="20"/>
          <w:color w:val="auto"/>
        </w:rPr>
      </w:pPr>
    </w:p>
    <w:p>
      <w:pPr>
        <w:jc w:val="both"/>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$12.50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$15.00 per share for 20 trading days within any 30 consecutive trading day period during the Earnout Period, then (i) 3,750,000 Earnout Shares will be issued to Blaize shareholders and (ii) 325,000 Earnout Shares will be issued to Burkhan;</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$17.50 per share for 20 trading days within any 30 consecutive trading day period during the Earnout Period, then (i) 3,750,000 Earnout Shares will be issued to Blaize shareholders and (ii) 325,000 Earnout Shares will be issued to Burkhan; and</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stock price of New Blaize common stock is greater than or equal to $20.00 per share for 20 trading days within any 30 consecutive trading day period during the Earnout Period, then (i) 3,750,000 Earnout Shares will be issued to Blaize shareholders and (ii) 325,000 Earnout Shares will be issued to Burkhan.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Blaize shareholders and Burkhan will be entitled to receive all of the remaining Earnout Shares that have not previously been issued to Blaize shareholders and Burkhan in the event there occurs a transaction resulting in a change in control of New Blaize or Blaize during the Earnout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is subject to the satisfaction or waiver of certain customary closing conditions, including, among others, (i) approval of the Business Combination and related agreements and transactions by the respective shareholders of The Company and Blaize, (ii) effectiveness of the registration statement on Form S-4 to be filed by The Company in connection with the Business Combination, (iii) expiration or termination of the waiting period under the Hart-Scott-Rodino Antitrust Improvements Act, if applicable,</w:t>
      </w:r>
    </w:p>
    <w:p>
      <w:pPr>
        <w:spacing w:after="0" w:line="3" w:lineRule="exact"/>
        <w:rPr>
          <w:sz w:val="20"/>
          <w:szCs w:val="20"/>
          <w:color w:val="auto"/>
        </w:rPr>
      </w:pPr>
    </w:p>
    <w:p>
      <w:pPr>
        <w:jc w:val="both"/>
        <w:ind w:firstLine="8"/>
        <w:spacing w:after="0" w:line="255"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under the United Kingdom’s National Security and Investment Act 2021, (v) the absence of any injunction, order, statute, rule, or regulation enjoining or prohibiting the consummation of the Merger, and (vi) receipt of approval for listing on Nasdaq the shares of New Blaize common stock to be issued in connection with the Merger.</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conditions to The Company’s obligations to consummate the Merger include, among others, that as of the Closing, (i) the representations and warranties of Blaize being true and correct, subject to the materiality standards contained in the Merger Agreement,</w:t>
      </w:r>
    </w:p>
    <w:p>
      <w:pPr>
        <w:jc w:val="both"/>
        <w:ind w:firstLine="8"/>
        <w:spacing w:after="0" w:line="253" w:lineRule="auto"/>
        <w:tabs>
          <w:tab w:leader="none" w:pos="2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shall have performed all covenants required to be performed by Blaize in all material respects, (iii) no Company Material Adverse Effect (as defined in the Merger Agreement) shall have occurred between the date of the Merger Agreement and Closing and be continuing, and (iv) Blaize shall have effectuated the conversion or exercise of the outstanding convertible notes, preferred stock and warrants of Blaize.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conditions to Blaize’s obligations to consummate the Merger include, among others, that as of the Closing, (i) the representations and warranties of The Company and Merger Sub being true and correct, subject to the materiality standards contained in the Merger Agreement, (ii) The Company shall have performed all covenants required to be performed by The Company in all material respects, (iii) no Acquiror Material Adverse Effect (as defined in the Merger Agreement) shall have occurred between the date of the Merger Agreement and Closing and be continuing, (iv) the amount of cash available in the trust account into which substantially all of the proceeds of The Company’s initial public offering and private placement of its warrants have been deposited for the benefit of its public shareholders following redemptions by The Company’s stockholders in connection with the The Company stockholder meeting held for purposes of approving the Business Combination (the “Trust Account”), plus the proceeds of any financing transaction of The Company or Blaize prior to the Closing, plus the aggregate gross proceeds of $5.0 million received by Blaize pursuant to a previous convertible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note financing transaction, and subject to the deductions and conditions set forth in the Merger Agreement, including deductions for certain The Company and Blaize transaction expenses, is equal to or greater than $125,000,000 and (v) other than persons designated by the parties to the Merger Agreement to be nominated for election to the board of directors of New Blaize in accordance with the terms of the Merger Agreement, all members of the board of directors and executive officers of The Company shall have executed written resignations effective as of the Effective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use commercially reasonable efforts to conduct their respective businesses in the ordinary course through the Closing, (ii) Blaize to prepare and deliver to The Company certain audited and unaudited consolidated financial statements of Blaize, (iii) The Company to prepare and file a registration statement on Form S-4 and take certain other actions to obtain the requisite approval of The Company shareholders of certain proposals regarding the Business Combination and (iv) the parties to use reasonable best efforts to obtain necessary approvals from governmental agencies.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by The Company, Merger Sub and Blaize that are customary for transactions of this type. The representations and warranties of the respective parties to the Merger Agreement will not survive the Closing.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Closing (i) by mutual written consent of The Company and Blaize, (ii) by The Company or Blaize, if requisite approvals of the shareholders of The Company are not obtained as set forth therein, (iii) by Blaize if there is a Modification in Recommendation (as defined in the Merger Agreement), (iv) by The Company if requisite approvals of the shareholders of Blaize are not obtained as soon as reasonably practicable following the effectiveness of the registration statement on Form S-4 to be filed by The Company in connection with the Business Combination, (v) by Blaize if Burkhan, its affiliates and/or nominees fail to fund certain principal amounts of the Burkhan Convertible Notes (as defined in the Merger Agreement) on the terms and subject to the conditions set forth in the Merger Agreement and (vi) by either The Company or Blaize in certain other circumstances set forth in the Merger Agreement, including (a) if any Governmental Authority (as defined in the Merger Agreement) shall have issued or otherwise entered a final, nonappealable order making consummation of the Merger illegal or otherwise preventing or prohibiting consummation of the Merger, (b) in the event of certain uncured breaches by the other party or (c) if the Closing has not occurred on or before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Between the date of the Merger Agreement and the Closing, The Company has agreed that it will not, directly or indirectly, (i) encourage, solicit, initiate, facilitate or continue inquiries regarding a Business Combination Proposal (as defined below); (ii) enter into discussions or negotiations with, or provide any information to, any person concerning a possible Business Combination Proposal; or (iii) enter into any agreements or other instruments (whether or not binding) regarding a Business Combination Proposal. The Company also agreed to cease and cause to be terminated any existing discussions or negotiations with any persons (other than Blaize and its representatives) previously conducted with respect to, or that could lead to, any Business Combination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is not restricted from responding to unsolicited inbound inquiries to the extent required for the board of directors of The Company to comply with its fiduciary duties. “Business Combination Proposal” means any offer, inquiry, proposal or indication of interest (whether written or oral, binding or non-binding), relating to a Business Combination.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Between the date of the Merger Agreement and the Closing, Blaize has agreed that it will not, directly or indirectly, (i) encourage, solicit, initiate, facilitate or continue inquiries regarding a Company Acquisition Proposal (as defined below); (ii) enter into discussions or negotiations with, or provide any information to, any person concerning a possible Company Acquisition Proposal; or (iii) enter into any agreements or other instruments (whether or not binding) regarding a Company Acquisition Proposal. The Company also agreed that it will cease and cause to be terminated any existing discussions or negotiations with any persons (other than The Company and its representatives) previously conducted with respect to, or that could lead to, any Company Acquisition Proposal. “Company Acquisition Proposal” means any inquiry, proposal or offer concerning a merger, consolidation, liquidation, recapitalization, share exchange or other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involving the sale, lease, exchange or other disposition of more than fifteen percent (15%) of the properties or assets or equity interests of Blaize or any of its subsidiaries, excluding, for the avoidance of doubt, any Company Financing.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Financing” means, subject to certain limited exceptions contained in the Merger Agreement, a private placement of (i) secured convertible promissory notes of Blaize by, or any other form of investment in or financing of (either directly or indirectly), Blaize that is consummated with Burkhan and/or its affiliates and/or nominees after December 22, 2023 and prior to or substantially concurrently with the Closing providing up to an aggregate amount of $25.0 million to Blaize, and (ii) equity, equity-linked or debt securities of Blaize by, or any other form of investment or financing of (either director or indirectly), Blaize that is consummated with any person (other than Burkhan and/or its affiliates and/or nominees) after December 22, 2023 and prior to or substantially concurrently with the Closing.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required under applicable rules of the Nasdaq Global Market (“Nasdaq”), the Company will use its reasonable best efforts to cause the shares of the Company’s Class A common stock to be issued in connection with the Business Combination to be approved for listing on Nasdaq at the Closing. Until the Closing, The Company must use its reasonable best efforts to cause the Company to remain listed as a public company on Nasdaq.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Support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Company’s Capital Stock (as defined in the Company’s Support Agreement), subject to certain exceptions, and termination of certain stockholder agreements and other affiliate agreements of Blaize.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“Sponsor Support Agreement”) with the Sponsor, pursuant to which, among other things, in connection with the Closing, the Sponsor agreed to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is sought, (ii) vote against and withhold consent with respect to any Business Combination Proposal or other business combination transaction (other than the Merger Agreement and the Business Combination), (iii) vote against any proposal, action or agreement that would (a) impede, frustrate, prevent or nullify any provision of the Sponsor Support Agreements, the Merger Agreement or the timely consummation of the Merger, (b) result in a breach in any respect of any covenant, representation, warranty or any other obligation or agreement of the Company or Merger Sub under the Merger Agreement, (c) result in any of the conditions set forth in the Merger Agreement not being fulfilled or (d) result in a breach of any covenant, representation or warranty or other obligation or agreement of the Sponsor contained in the Sponsor Support Agreements, (iv) waive any adjustment to the conversion ratio or any other anti-dilution or similar protection set forth in the governing documents of the Company with respect to the Class B common stock of the Company, in each case, on the terms and subject to the conditions set forth in the Sponsor Support Agreement, and (v) be bound by certain other covenants and agreements related to the Business Combination, including a restriction on the transfer of the Company’s Class B common stock and private placement units of the Company, subject to certain exceptions.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“Lock-up Agreements”)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descriptions of the Merger Agreement, the Company’s Support Agreement, the Sponsor Support Agreement, the Registration Rights Agreement, the Lock-up Agreement, and the Stockholders’ Agreement and the transactions and documents contemplated thereby, are not complete and are subject to and qualified in their entirety by reference to the Merger Agreement, the Company’s Support Agreement, the Sponsor Support Agreement, the form of Registration Rights Agreement, the form of Lock-up Agreement, and the form of Stockholders’ Agreement, copies of which are filed with this Current Report on Form 8-K as Exhibit 2.1, Exhibit 10.1, Exhibit 10.2, Exhibit 10.3, Exhibit 10.4, and Exhibit 10.5 respectively, and the terms of which are incorporated by reference herein.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the Company’s Support Agreement, the Sponsor Support Agreement, the Registration Rights Agreement, the Lock-up Agreement, and the Stockholders’ Agreement and the other documents related thereto (collectively, the “Transaction Documents”) have been included to provide investors with information regarding their terms. They are not intended to provide any other factual information about The Company, Blaize or their respective affiliates. The representations, warranties, covenants and agreements contained in the Transaction Documents were made only for purposes of the Merger Agreement as of the specific dates therein, were solely for the benefit of the parties to the Transaction Documents and may be subject to limitations agreed upon by the contracting parties, including being qualified by confidential disclosures made for the purposes of allocating contractual risk between the parties to the Transaction Documents instead of establishing these matters as facts, and may be subject to standards of materiality applicable to the contracting parties that differ from those applicable to investors. Investors are not third-party beneficiaries under the Transaction Documents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applicable dates of the Transaction Documents, which subsequent information may or may not be fully reflected in The Company’s public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through March 31, 2024 were organizational activities, those necessary to prepare for the Initial Public Offering, described below, and identifying a target company for a Business Combination. We do not expect to generate any operating revenues until after the completion of our Business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Combination. We generate non-operating income in the form of interest dividends on marketable securities held in the Trust Account. We incur expenses as a result of being a public company (for legal, financial reporting, accounting and auditing compliance), as well as for due diligence and transaction expenses.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we had a net loss of $10,633, which consisted of interest from investments held in our Trust Account of $628,074, offset by $475,812 in operating costs and franchise taxes and provision for income taxes of $162,895.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we had a net income of $1,574,791, which consisted of interest from marketable securities held in our Trust Account of $3,075,729, offset by operating costs and franchise taxes of $895,810. and provision for income taxes of $605,128.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$148,736 in its restricted cash account and $47,868,795 in investments held in trust. Restricted cash is held exclusively for payment of current tax liabilities. As of March 31, 2024, $3,369,206 of the amount on deposit in the Trust Account represents interest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needs up to March 31,2024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March 31,2024, the Company had $1,500,000 outstanding under a Convertible Promissory Note and $418,441 outstanding as advances from sponsor.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less than 7 months from its mandatory liquidation as of the time of filing of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financial statements contained in Annual Report on Form 10-K are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March 31,2024.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March 31, 2024 and December 31, 2023, 4,345,663 Class A common stock subject to possible redemption are presented at redemption value as temporary equity, outside of the stockholders’ deficit section of our balance sheets.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or Loss Per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three months ended March 31,2024 and 2023 because the warrants are contingently exercisable, and the contingencies have not yet been met and its inclusion would be anti-dilutive. As a result, diluted net income or loss per common stock is the same as basic net income or loss per common stock for the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We are currently assessing the impact, if any, that ASU 2020-06 would have on our financial position, results of operations or cash flows. We have not adopted this guidance as of March 31,2024.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other recently issued, but not yet effective, accounting standards if currently adopted would have a material effect on the accompanying financial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officer and principal financial officer,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March 31,2024, as such term is defined in Rules 13a-15(e) and 15d-15(e) under the Exchange Act. Based on this evaluation, our principal executive officer and principal financial officer has concluded that during the period covered by this report, our disclosure controls and procedures were not effective. Previously, during the year ended December 31, 2023, we identified material weaknesses in our internal control over financial reporting relating to our inadequate control for the withdrawal of funds from the Trust Account and inadequate control for the accounting for class a common stock subject to possible redemption as of December 31,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 Excise Tax included in the Inflation Reduction Act of 2022 in connection with redemptions of our common stock after December 31, 2023.</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5" w:lineRule="exact"/>
        <w:rPr>
          <w:sz w:val="20"/>
          <w:szCs w:val="20"/>
          <w:color w:val="auto"/>
        </w:rPr>
      </w:pPr>
    </w:p>
    <w:p>
      <w:pPr>
        <w:jc w:val="both"/>
        <w:ind w:firstLine="8"/>
        <w:spacing w:after="0" w:line="253" w:lineRule="auto"/>
        <w:tabs>
          <w:tab w:leader="none" w:pos="3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EE"/>
            </w:tcBorders>
            <w:shd w:val="clear" w:color="auto" w:fill="CCEEFF"/>
          </w:tcPr>
          <w:p>
            <w:pPr>
              <w:spacing w:after="0"/>
              <w:rPr>
                <w:sz w:val="14"/>
                <w:szCs w:val="14"/>
                <w:color w:val="auto"/>
              </w:rPr>
            </w:pPr>
          </w:p>
        </w:tc>
        <w:tc>
          <w:tcPr>
            <w:tcW w:w="842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60" w:type="dxa"/>
            <w:vAlign w:val="bottom"/>
            <w:tcBorders>
              <w:top w:val="single" w:sz="8" w:color="0000EE"/>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5"/>
                <w:szCs w:val="15"/>
                <w:color w:val="auto"/>
              </w:rPr>
            </w:pPr>
          </w:p>
        </w:tc>
        <w:tc>
          <w:tcPr>
            <w:tcW w:w="844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60" w:type="dxa"/>
            <w:vAlign w:val="bottom"/>
            <w:tcBorders>
              <w:top w:val="single" w:sz="8" w:color="0000EE"/>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shd w:val="clear" w:color="auto" w:fill="CCEEFF"/>
          </w:tcPr>
          <w:p>
            <w:pPr>
              <w:spacing w:after="0"/>
              <w:rPr>
                <w:sz w:val="15"/>
                <w:szCs w:val="15"/>
                <w:color w:val="auto"/>
              </w:rPr>
            </w:pPr>
          </w:p>
        </w:tc>
        <w:tc>
          <w:tcPr>
            <w:tcW w:w="84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Borders>
              <w:top w:val="single" w:sz="8" w:color="CCEEFF"/>
            </w:tcBorders>
          </w:tcPr>
          <w:p>
            <w:pPr>
              <w:spacing w:after="0"/>
              <w:rPr>
                <w:sz w:val="18"/>
                <w:szCs w:val="18"/>
                <w:color w:val="auto"/>
              </w:rPr>
            </w:pPr>
          </w:p>
        </w:tc>
        <w:tc>
          <w:tcPr>
            <w:tcW w:w="48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6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260" w:type="dxa"/>
            <w:vAlign w:val="bottom"/>
            <w:shd w:val="clear" w:color="auto" w:fill="CCEEFF"/>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340" w:right="20" w:hanging="332"/>
        <w:spacing w:after="0" w:line="253"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76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BurTech Acquisition Corp.</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2024</w:t>
            </w:r>
          </w:p>
        </w:tc>
        <w:tc>
          <w:tcPr>
            <w:tcW w:w="67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By:/s/ Shahal Khan</w:t>
            </w:r>
          </w:p>
        </w:tc>
      </w:tr>
      <w:tr>
        <w:trPr>
          <w:trHeight w:val="189"/>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Shahal Khan</w:t>
            </w:r>
          </w:p>
        </w:tc>
      </w:tr>
      <w:tr>
        <w:trPr>
          <w:trHeight w:val="236"/>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2024</w:t>
            </w:r>
          </w:p>
        </w:tc>
        <w:tc>
          <w:tcPr>
            <w:tcW w:w="67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By:/s/ Roman Livson</w:t>
            </w:r>
          </w:p>
        </w:tc>
      </w:tr>
      <w:tr>
        <w:trPr>
          <w:trHeight w:val="191"/>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Roman Livson</w:t>
            </w:r>
          </w:p>
        </w:tc>
      </w:tr>
      <w:tr>
        <w:trPr>
          <w:trHeight w:val="214"/>
        </w:trPr>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6"/>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Shahal Khan,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8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5715</wp:posOffset>
            </wp:positionV>
            <wp:extent cx="30175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Livson,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BurTech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5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8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5715</wp:posOffset>
            </wp:positionV>
            <wp:extent cx="30175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BurTech Acquisition Corp. (the “Company”) on Form 10-Q for the quarterly period ended March 31, 2024, as filed with the Securities and Exchange Commission (the “Report”), each of the undersigned, in the capacities and on the dates indicated below, certify, pursuant to 18 U.S.C. §1350, as added by §906 of the Sarbanes-Oxley Act of 2002, that:</w:t>
      </w:r>
    </w:p>
    <w:p>
      <w:pPr>
        <w:spacing w:after="0" w:line="176" w:lineRule="exact"/>
        <w:rPr>
          <w:sz w:val="20"/>
          <w:szCs w:val="20"/>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5715</wp:posOffset>
            </wp:positionV>
            <wp:extent cx="30175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2024</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5715</wp:posOffset>
            </wp:positionV>
            <wp:extent cx="30175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18"/>
          <w:szCs w:val="18"/>
          <w:color w:val="auto"/>
        </w:rPr>
        <w:t>Roman Livson</w:t>
      </w:r>
    </w:p>
    <w:p>
      <w:pPr>
        <w:spacing w:after="0" w:line="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Roman"/>
      <w:start w:val="4"/>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1)"/>
      <w:numFmt w:val="lowerRoman"/>
      <w:start w:val="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2024-06-06T05:17:12Z</dcterms:created>
  <dcterms:modified xsi:type="dcterms:W3CDTF">2024-06-06T05:17:12Z</dcterms:modified>
</cp:coreProperties>
</file>