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Burtech LP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BurTech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BRKHU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BURTECH ACQUISITION CORP.,</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1300 PENNSYLVANIA AVENUE, NW, SUITE 700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WASHINGTON DC</w:t>
            </w:r>
          </w:p>
        </w:tc>
        <w:tc>
          <w:tcPr>
            <w:tcW w:w="780" w:type="dxa"/>
            <w:vAlign w:val="bottom"/>
          </w:tcPr>
          <w:p>
            <w:pPr>
              <w:jc w:val="right"/>
              <w:spacing w:after="0"/>
              <w:rPr>
                <w:sz w:val="20"/>
                <w:szCs w:val="20"/>
                <w:color w:val="auto"/>
              </w:rPr>
            </w:pPr>
            <w:r>
              <w:rPr>
                <w:rFonts w:ascii="Arial" w:cs="Arial" w:eastAsia="Arial" w:hAnsi="Arial"/>
                <w:sz w:val="20"/>
                <w:szCs w:val="20"/>
                <w:color w:val="0000FF"/>
              </w:rPr>
              <w:t>20004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ind w:left="16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3"/>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20" w:type="dxa"/>
            <w:vAlign w:val="bottom"/>
            <w:gridSpan w:val="4"/>
          </w:tcPr>
          <w:p>
            <w:pPr>
              <w:ind w:left="1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9"/>
              </w:rPr>
              <w:t>Ownership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3"/>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gridSpan w:val="3"/>
          </w:tcPr>
          <w:p>
            <w:pPr>
              <w:ind w:left="400"/>
              <w:spacing w:after="0"/>
              <w:rPr>
                <w:sz w:val="20"/>
                <w:szCs w:val="20"/>
                <w:color w:val="auto"/>
              </w:rPr>
            </w:pPr>
            <w:r>
              <w:rPr>
                <w:rFonts w:ascii="Arial" w:cs="Arial" w:eastAsia="Arial" w:hAnsi="Arial"/>
                <w:sz w:val="15"/>
                <w:szCs w:val="15"/>
                <w:b w:val="1"/>
                <w:bCs w:val="1"/>
                <w:color w:val="auto"/>
              </w:rPr>
              <w:t>(I) (Instr. 5)</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740"/>
              <w:spacing w:after="0"/>
              <w:rPr>
                <w:sz w:val="20"/>
                <w:szCs w:val="20"/>
                <w:color w:val="auto"/>
              </w:rPr>
            </w:pPr>
            <w:r>
              <w:rPr>
                <w:rFonts w:ascii="Arial" w:cs="Arial" w:eastAsia="Arial" w:hAnsi="Arial"/>
                <w:sz w:val="20"/>
                <w:szCs w:val="20"/>
                <w:color w:val="0000FF"/>
              </w:rPr>
              <w:t>804,500</w:t>
            </w:r>
            <w:r>
              <w:rPr>
                <w:rFonts w:ascii="Arial" w:cs="Arial" w:eastAsia="Arial" w:hAnsi="Arial"/>
                <w:sz w:val="25"/>
                <w:szCs w:val="25"/>
                <w:color w:val="008000"/>
                <w:vertAlign w:val="superscript"/>
              </w:rPr>
              <w:t>(1)</w:t>
            </w:r>
          </w:p>
        </w:tc>
        <w:tc>
          <w:tcPr>
            <w:tcW w:w="1080" w:type="dxa"/>
            <w:vAlign w:val="bottom"/>
            <w:tcBorders>
              <w:bottom w:val="single" w:sz="8" w:color="2C2C2C"/>
            </w:tcBorders>
            <w:gridSpan w:val="2"/>
          </w:tcPr>
          <w:p>
            <w:pPr>
              <w:ind w:left="780"/>
              <w:spacing w:after="0" w:line="359" w:lineRule="exact"/>
              <w:rPr>
                <w:sz w:val="20"/>
                <w:szCs w:val="20"/>
                <w:color w:val="auto"/>
              </w:rPr>
            </w:pPr>
            <w:r>
              <w:rPr>
                <w:rFonts w:ascii="Arial" w:cs="Arial" w:eastAsia="Arial" w:hAnsi="Arial"/>
                <w:sz w:val="39"/>
                <w:szCs w:val="39"/>
                <w:color w:val="0000FF"/>
                <w:w w:val="80"/>
                <w:vertAlign w:val="subscript"/>
              </w:rPr>
              <w:t>D</w:t>
            </w:r>
            <w:r>
              <w:rPr>
                <w:rFonts w:ascii="Arial" w:cs="Arial" w:eastAsia="Arial" w:hAnsi="Arial"/>
                <w:sz w:val="13"/>
                <w:szCs w:val="13"/>
                <w:color w:val="008000"/>
                <w:w w:val="80"/>
              </w:rPr>
              <w:t>(1)</w:t>
            </w: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300" w:type="dxa"/>
            <w:vAlign w:val="bottom"/>
            <w:tcBorders>
              <w:top w:val="single" w:sz="8" w:color="2C2C2C"/>
            </w:tcBorders>
            <w:gridSpan w:val="6"/>
          </w:tcPr>
          <w:p>
            <w:pPr>
              <w:ind w:left="3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9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00" w:type="dxa"/>
            <w:vAlign w:val="bottom"/>
          </w:tcPr>
          <w:p>
            <w:pPr>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9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Amount or</w:t>
            </w:r>
          </w:p>
        </w:tc>
        <w:tc>
          <w:tcPr>
            <w:tcW w:w="92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40" w:type="dxa"/>
            <w:vAlign w:val="bottom"/>
          </w:tcPr>
          <w:p>
            <w:pPr>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vMerge w:val="continue"/>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5"/>
                <w:szCs w:val="15"/>
                <w:b w:val="1"/>
                <w:bCs w:val="1"/>
                <w:color w:val="auto"/>
              </w:rPr>
              <w:t>Shares</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(2)</w:t>
            </w:r>
          </w:p>
        </w:tc>
        <w:tc>
          <w:tcPr>
            <w:tcW w:w="1840" w:type="dxa"/>
            <w:vAlign w:val="bottom"/>
          </w:tcPr>
          <w:p>
            <w:pPr>
              <w:ind w:left="200"/>
              <w:spacing w:after="0"/>
              <w:rPr>
                <w:sz w:val="20"/>
                <w:szCs w:val="20"/>
                <w:color w:val="auto"/>
              </w:rPr>
            </w:pPr>
            <w:r>
              <w:rPr>
                <w:rFonts w:ascii="Arial" w:cs="Arial" w:eastAsia="Arial" w:hAnsi="Arial"/>
                <w:sz w:val="20"/>
                <w:szCs w:val="20"/>
                <w:color w:val="0000FF"/>
              </w:rPr>
              <w:t>Class A Common</w:t>
            </w:r>
          </w:p>
        </w:tc>
        <w:tc>
          <w:tcPr>
            <w:tcW w:w="1020" w:type="dxa"/>
            <w:vAlign w:val="bottom"/>
            <w:vMerge w:val="restart"/>
          </w:tcPr>
          <w:p>
            <w:pPr>
              <w:ind w:left="20"/>
              <w:spacing w:after="0"/>
              <w:rPr>
                <w:sz w:val="20"/>
                <w:szCs w:val="20"/>
                <w:color w:val="auto"/>
              </w:rPr>
            </w:pPr>
            <w:r>
              <w:rPr>
                <w:rFonts w:ascii="Arial" w:cs="Arial" w:eastAsia="Arial" w:hAnsi="Arial"/>
                <w:sz w:val="20"/>
                <w:szCs w:val="20"/>
                <w:color w:val="0000FF"/>
                <w:w w:val="89"/>
              </w:rPr>
              <w:t>9,487,500</w:t>
            </w:r>
            <w:r>
              <w:rPr>
                <w:rFonts w:ascii="Arial" w:cs="Arial" w:eastAsia="Arial" w:hAnsi="Arial"/>
                <w:sz w:val="25"/>
                <w:szCs w:val="25"/>
                <w:color w:val="008000"/>
                <w:w w:val="89"/>
                <w:vertAlign w:val="superscript"/>
              </w:rPr>
              <w:t>(3)</w:t>
            </w:r>
          </w:p>
        </w:tc>
        <w:tc>
          <w:tcPr>
            <w:tcW w:w="6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008000"/>
              </w:rPr>
              <w:t>(2)</w:t>
            </w:r>
          </w:p>
        </w:tc>
        <w:tc>
          <w:tcPr>
            <w:tcW w:w="420" w:type="dxa"/>
            <w:vAlign w:val="bottom"/>
          </w:tcPr>
          <w:p>
            <w:pPr>
              <w:spacing w:after="0"/>
              <w:rPr>
                <w:sz w:val="24"/>
                <w:szCs w:val="24"/>
                <w:color w:val="auto"/>
              </w:rPr>
            </w:pPr>
          </w:p>
        </w:tc>
        <w:tc>
          <w:tcPr>
            <w:tcW w:w="100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40" w:type="dxa"/>
            <w:vAlign w:val="bottom"/>
            <w:vMerge w:val="restart"/>
          </w:tcPr>
          <w:p>
            <w:pPr>
              <w:ind w:left="660"/>
              <w:spacing w:after="0"/>
              <w:rPr>
                <w:sz w:val="20"/>
                <w:szCs w:val="20"/>
                <w:color w:val="auto"/>
              </w:rPr>
            </w:pPr>
            <w:r>
              <w:rPr>
                <w:rFonts w:ascii="Arial" w:cs="Arial" w:eastAsia="Arial" w:hAnsi="Arial"/>
                <w:sz w:val="20"/>
                <w:szCs w:val="20"/>
                <w:color w:val="0000FF"/>
              </w:rPr>
              <w:t>Stock</w:t>
            </w:r>
          </w:p>
        </w:tc>
        <w:tc>
          <w:tcPr>
            <w:tcW w:w="10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7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804,500 shares of Class A common stock of the issuer held by the Reporting Person included in the Placement Units as described in the issuer's registration statement on Form S-1 (File No. 333-258914) under the heading "Description of Securities".</w:t>
      </w:r>
    </w:p>
    <w:p>
      <w:pPr>
        <w:spacing w:after="0" w:line="26" w:lineRule="exact"/>
        <w:rPr>
          <w:rFonts w:ascii="Arial" w:cs="Arial" w:eastAsia="Arial" w:hAnsi="Arial"/>
          <w:sz w:val="15"/>
          <w:szCs w:val="15"/>
          <w:color w:val="008000"/>
        </w:rPr>
      </w:pPr>
    </w:p>
    <w:p>
      <w:pPr>
        <w:ind w:left="40" w:right="3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333-258914) under the heading "Description of Securities", the shares of Class B common stock will automatically convert into shares of Class A common stock at the time of the registrant's initial business combination on a one-for-one basis, subject to certain adjustments described therein and have no expiration date.</w:t>
      </w:r>
    </w:p>
    <w:p>
      <w:pPr>
        <w:spacing w:after="0" w:line="35" w:lineRule="exact"/>
        <w:rPr>
          <w:rFonts w:ascii="Arial" w:cs="Arial" w:eastAsia="Arial" w:hAnsi="Arial"/>
          <w:sz w:val="15"/>
          <w:szCs w:val="15"/>
          <w:color w:val="008000"/>
        </w:rPr>
      </w:pPr>
    </w:p>
    <w:p>
      <w:pPr>
        <w:ind w:left="40" w:right="5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9,487,500 shares of Class B common stock of the issuer held by the Reporting Person, including an aggregate of up to 1,237,500 shares subject to forfeiture by the Reporting Person to the extent that the underwriter's over-allotment is not exercised in full or in part.</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By: /s/ Shahal Khan,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166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88"/>
              </w:rPr>
              <w:t>Authorized person of</w:t>
            </w:r>
          </w:p>
        </w:tc>
        <w:tc>
          <w:tcPr>
            <w:tcW w:w="52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12/10/2021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36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90"/>
              </w:rPr>
              <w:t>BurTech LP LLC</w:t>
            </w:r>
          </w:p>
        </w:tc>
        <w:tc>
          <w:tcPr>
            <w:tcW w:w="82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8670"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2021-12-10T21:09:21Z</dcterms:created>
  <dcterms:modified xsi:type="dcterms:W3CDTF">2021-12-10T21:09:21Z</dcterms:modified>
</cp:coreProperties>
</file>