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171450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207645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256540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740" w:type="dxa"/>
        <w:tblCellMar>
          <w:top w:w="0" w:type="dxa"/>
          <w:left w:w="0" w:type="dxa"/>
          <w:bottom w:w="0" w:type="dxa"/>
          <w:right w:w="0" w:type="dxa"/>
        </w:tblCellMar>
      </w:tblPr>
      <w:tr>
        <w:trPr>
          <w:trHeight w:val="23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0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38"/>
        </w:trPr>
        <w:tc>
          <w:tcPr>
            <w:tcW w:w="3620" w:type="dxa"/>
            <w:vAlign w:val="bottom"/>
          </w:tcPr>
          <w:p>
            <w:pPr>
              <w:jc w:val="center"/>
              <w:ind w:right="4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40" w:type="dxa"/>
            <w:vAlign w:val="bottom"/>
          </w:tcPr>
          <w:p>
            <w:pPr>
              <w:jc w:val="center"/>
              <w:ind w:right="4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60" w:type="dxa"/>
            <w:vAlign w:val="bottom"/>
          </w:tcPr>
          <w:p>
            <w:pPr>
              <w:jc w:val="center"/>
              <w:ind w:left="9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01"/>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3040" w:type="dxa"/>
            <w:vAlign w:val="bottom"/>
          </w:tcPr>
          <w:p>
            <w:pPr>
              <w:spacing w:after="0"/>
              <w:rPr>
                <w:sz w:val="20"/>
                <w:szCs w:val="20"/>
                <w:color w:val="auto"/>
              </w:rPr>
            </w:pPr>
          </w:p>
        </w:tc>
        <w:tc>
          <w:tcPr>
            <w:tcW w:w="20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40" w:type="dxa"/>
            <w:vAlign w:val="bottom"/>
          </w:tcPr>
          <w:p>
            <w:pPr>
              <w:spacing w:after="0"/>
              <w:rPr>
                <w:sz w:val="15"/>
                <w:szCs w:val="15"/>
                <w:color w:val="auto"/>
              </w:rPr>
            </w:pPr>
          </w:p>
        </w:tc>
        <w:tc>
          <w:tcPr>
            <w:tcW w:w="2060" w:type="dxa"/>
            <w:vAlign w:val="bottom"/>
          </w:tcPr>
          <w:p>
            <w:pPr>
              <w:jc w:val="center"/>
              <w:ind w:left="9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916 347-0050</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380" w:type="dxa"/>
            <w:vAlign w:val="bottom"/>
            <w:gridSpan w:val="2"/>
            <w:vMerge w:val="continue"/>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60" w:type="dxa"/>
            <w:vAlign w:val="bottom"/>
          </w:tcPr>
          <w:p>
            <w:pPr>
              <w:spacing w:after="0"/>
              <w:rPr>
                <w:sz w:val="18"/>
                <w:szCs w:val="18"/>
                <w:color w:val="auto"/>
              </w:rPr>
            </w:pPr>
          </w:p>
        </w:tc>
        <w:tc>
          <w:tcPr>
            <w:tcW w:w="5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89"/>
        </w:trPr>
        <w:tc>
          <w:tcPr>
            <w:tcW w:w="43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84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8"/>
              </w:rPr>
              <w:t>BZAIW</w:t>
            </w:r>
          </w:p>
        </w:tc>
        <w:tc>
          <w:tcPr>
            <w:tcW w:w="5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34"/>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7" w:right="339" w:bottom="46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March 24, 2026, Blaize Holdings, Inc. (“Blaize”) issued a press release announcing its results of operations for the quarter and year ended December 31, 2025. A copy of the press release is attached hereto as Exhibit 99.1.</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filings.</w:t>
      </w:r>
    </w:p>
    <w:p>
      <w:pPr>
        <w:spacing w:after="0" w:line="200" w:lineRule="exact"/>
        <w:rPr>
          <w:sz w:val="20"/>
          <w:szCs w:val="20"/>
          <w:color w:val="auto"/>
        </w:rPr>
      </w:pPr>
    </w:p>
    <w:p>
      <w:pPr>
        <w:spacing w:after="0" w:line="2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4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Press Release, dated March 24, 2026</w:t>
            </w:r>
          </w:p>
        </w:tc>
        <w:tc>
          <w:tcPr>
            <w:tcW w:w="6840" w:type="dxa"/>
            <w:vAlign w:val="bottom"/>
            <w:tcBorders>
              <w:top w:val="single" w:sz="8" w:color="auto"/>
            </w:tcBorders>
          </w:tcPr>
          <w:p>
            <w:pPr>
              <w:spacing w:after="0"/>
              <w:rPr>
                <w:sz w:val="15"/>
                <w:szCs w:val="15"/>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89"/>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24, 2026</w:t>
      </w:r>
      <w:r>
        <w:rPr>
          <w:sz w:val="20"/>
          <w:szCs w:val="20"/>
          <w:color w:val="auto"/>
        </w:rPr>
        <w:tab/>
      </w:r>
      <w:r>
        <w:rPr>
          <w:rFonts w:ascii="Times New Roman" w:cs="Times New Roman" w:eastAsia="Times New Roman" w:hAnsi="Times New Roman"/>
          <w:sz w:val="18"/>
          <w:szCs w:val="18"/>
          <w:b w:val="1"/>
          <w:bCs w:val="1"/>
          <w:color w:val="auto"/>
        </w:rPr>
        <w:t>Blaize Holdings, Inc.</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00"/>
          </w:cols>
          <w:pgMar w:left="320" w:top="968"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Announces Fourth Quarter and Full-Year 2025 Financial Results</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grew </w:t>
      </w:r>
      <w:r>
        <w:rPr>
          <w:rFonts w:ascii="Times New Roman" w:cs="Times New Roman" w:eastAsia="Times New Roman" w:hAnsi="Times New Roman"/>
          <w:sz w:val="18"/>
          <w:szCs w:val="18"/>
          <w:color w:val="auto"/>
        </w:rPr>
        <w:t>approximately 20x in 2025, scaling from approximately $1 million in Q1 2025 to $23.8 million in Q4 2025</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engagements expanded </w:t>
      </w:r>
      <w:r>
        <w:rPr>
          <w:rFonts w:ascii="Times New Roman" w:cs="Times New Roman" w:eastAsia="Times New Roman" w:hAnsi="Times New Roman"/>
          <w:sz w:val="18"/>
          <w:szCs w:val="18"/>
          <w:color w:val="auto"/>
        </w:rPr>
        <w:t>across cloud infrastructure, sovereign AI initiatives, and industrial environments</w:t>
      </w:r>
    </w:p>
    <w:p>
      <w:pPr>
        <w:spacing w:after="0" w:line="9" w:lineRule="exact"/>
        <w:rPr>
          <w:rFonts w:ascii="Times New Roman" w:cs="Times New Roman" w:eastAsia="Times New Roman" w:hAnsi="Times New Roman"/>
          <w:sz w:val="18"/>
          <w:szCs w:val="18"/>
          <w:color w:val="auto"/>
        </w:rPr>
      </w:pPr>
    </w:p>
    <w:p>
      <w:pPr>
        <w:ind w:left="660" w:right="13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progress continued </w:t>
      </w:r>
      <w:r>
        <w:rPr>
          <w:rFonts w:ascii="Times New Roman" w:cs="Times New Roman" w:eastAsia="Times New Roman" w:hAnsi="Times New Roman"/>
          <w:sz w:val="18"/>
          <w:szCs w:val="18"/>
          <w:color w:val="auto"/>
        </w:rPr>
        <w:t>into Q1 2026 through strategic partnerships, sovereign AI initiatives, and go-to-market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expansion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Services platform </w:t>
      </w:r>
      <w:r>
        <w:rPr>
          <w:rFonts w:ascii="Times New Roman" w:cs="Times New Roman" w:eastAsia="Times New Roman" w:hAnsi="Times New Roman"/>
          <w:sz w:val="18"/>
          <w:szCs w:val="18"/>
          <w:color w:val="auto"/>
        </w:rPr>
        <w:t>initiative progressed toward initial release, expected early in the second quarter</w:t>
      </w:r>
    </w:p>
    <w:p>
      <w:pPr>
        <w:spacing w:after="0" w:line="23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 Dorado Hills, Calif. – March 24, 2026 — </w:t>
      </w:r>
      <w:r>
        <w:rPr>
          <w:rFonts w:ascii="Times New Roman" w:cs="Times New Roman" w:eastAsia="Times New Roman" w:hAnsi="Times New Roman"/>
          <w:sz w:val="18"/>
          <w:szCs w:val="18"/>
          <w:u w:val="single" w:color="auto"/>
          <w:color w:val="auto"/>
        </w:rPr>
        <w:t>Blaize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BZAI, NASDAQ: BZAIW) (“Blaize,” the “Company,” “we,” “us,”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 leader in programmable, energy-efficient edge AI computing, today announced financial results for the fourth quarter and full year ended December 31, 2025, reflecting strong execution as AI infrastructure increasingly centers on inference-driven systems, enabled by efficiency-focused architectures designed for real-world AI deployment.</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2025, Blaize delivered $38.6 million in revenue, up from $1.6 million in 2024, marking its first full year of commercial revenue generation. This was driven by expanding engagements with system integrators and solution providers supporting AI inference infrastructure buildout, sovereign AI initiatives, and public safety applications. Fourth-quarter performance also reflected continued sequential growth, with revenue more than doubling from the third quarter.</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This execution reflects increasing demand for efficient, real-world AI deployments and positions Blaize to extend its platform into AI services and application delivery over time.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“AI infrastructure is entering its next phase as the industry moves from model training to inference at global scale,” said Dinakar Munagala, co-founder and CEO of Blaize. “As this evolution continues, customers are increasingly focused on cost per inference, power efficiency, and revenue per rack. Blaize is enabling this through a programmable, hybrid AI platform designed for efficient inference across edge and data center environments. Our focus is execution, expanding commercial engagements and converting pipeline into revenue. We are also progressing toward the initial release of the Blaize AI Services platform in the second quarter, extending our strategy toward monetizable, API-based AI capabilities.”</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delivered strong revenue growth in 2025 and exceeded the upper end of our full-year guidance, reflecting continued execution across our commercial engagements,” said Harminder Sehmi, Chief Financial Officer of Blaize. “We remain focused on disciplined execution as we scale the business, with continued emphasis on efficiency and expanding recurring revenue opportunities over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Highlights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Fourth quarter and full year revenue exceeded </w:t>
      </w:r>
      <w:r>
        <w:rPr>
          <w:rFonts w:ascii="Times New Roman" w:cs="Times New Roman" w:eastAsia="Times New Roman" w:hAnsi="Times New Roman"/>
          <w:sz w:val="18"/>
          <w:szCs w:val="18"/>
          <w:color w:val="auto"/>
        </w:rPr>
        <w:t>the upper end of the Company’s guidance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Fourth quarter net loss of $3.2 million an improvement </w:t>
      </w:r>
      <w:r>
        <w:rPr>
          <w:rFonts w:ascii="Times New Roman" w:cs="Times New Roman" w:eastAsia="Times New Roman" w:hAnsi="Times New Roman"/>
          <w:sz w:val="18"/>
          <w:szCs w:val="18"/>
          <w:color w:val="auto"/>
        </w:rPr>
        <w:t>over $26.3 million net loss from prior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loss of $11.1 million was flat </w:t>
      </w:r>
      <w:r>
        <w:rPr>
          <w:rFonts w:ascii="Times New Roman" w:cs="Times New Roman" w:eastAsia="Times New Roman" w:hAnsi="Times New Roman"/>
          <w:sz w:val="18"/>
          <w:szCs w:val="18"/>
          <w:color w:val="auto"/>
        </w:rPr>
        <w:t>from prior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&amp; Development </w:t>
      </w:r>
      <w:r>
        <w:rPr>
          <w:rFonts w:ascii="Times New Roman" w:cs="Times New Roman" w:eastAsia="Times New Roman" w:hAnsi="Times New Roman"/>
          <w:sz w:val="18"/>
          <w:szCs w:val="18"/>
          <w:color w:val="auto"/>
        </w:rPr>
        <w:t>spend and</w:t>
      </w:r>
      <w:r>
        <w:rPr>
          <w:rFonts w:ascii="Times New Roman" w:cs="Times New Roman" w:eastAsia="Times New Roman" w:hAnsi="Times New Roman"/>
          <w:sz w:val="18"/>
          <w:szCs w:val="18"/>
          <w:b w:val="1"/>
          <w:bCs w:val="1"/>
          <w:color w:val="auto"/>
        </w:rPr>
        <w:t xml:space="preserve"> Sales, General &amp; Administrative </w:t>
      </w:r>
      <w:r>
        <w:rPr>
          <w:rFonts w:ascii="Times New Roman" w:cs="Times New Roman" w:eastAsia="Times New Roman" w:hAnsi="Times New Roman"/>
          <w:sz w:val="18"/>
          <w:szCs w:val="18"/>
          <w:color w:val="auto"/>
        </w:rPr>
        <w:t>costs were flat sequentially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Business Highlights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Blaize’s 2025 growth was driven by increased commercial traction across its core AI infrastructure markets.</w:t>
      </w:r>
    </w:p>
    <w:p>
      <w:pPr>
        <w:spacing w:after="0" w:line="24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Contribution: </w:t>
      </w:r>
      <w:r>
        <w:rPr>
          <w:rFonts w:ascii="Times New Roman" w:cs="Times New Roman" w:eastAsia="Times New Roman" w:hAnsi="Times New Roman"/>
          <w:sz w:val="18"/>
          <w:szCs w:val="18"/>
          <w:color w:val="auto"/>
        </w:rPr>
        <w:t>Converted AI infrastructure opportunities into revenue growth throughout 2025.</w:t>
      </w:r>
    </w:p>
    <w:p>
      <w:pPr>
        <w:spacing w:after="0" w:line="31" w:lineRule="exact"/>
        <w:rPr>
          <w:rFonts w:ascii="Times New Roman" w:cs="Times New Roman" w:eastAsia="Times New Roman" w:hAnsi="Times New Roman"/>
          <w:sz w:val="18"/>
          <w:szCs w:val="18"/>
          <w:color w:val="auto"/>
        </w:rPr>
      </w:pPr>
    </w:p>
    <w:p>
      <w:pPr>
        <w:ind w:left="660" w:right="8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Development: </w:t>
      </w:r>
      <w:r>
        <w:rPr>
          <w:rFonts w:ascii="Times New Roman" w:cs="Times New Roman" w:eastAsia="Times New Roman" w:hAnsi="Times New Roman"/>
          <w:sz w:val="18"/>
          <w:szCs w:val="18"/>
          <w:color w:val="auto"/>
        </w:rPr>
        <w:t>Established partnerships with cloud providers, data center operators, and infrastructure partners, enabling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buildout and revenue generating deployments.</w:t>
      </w:r>
    </w:p>
    <w:p>
      <w:pPr>
        <w:ind w:left="660" w:right="50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Footprint: </w:t>
      </w:r>
      <w:r>
        <w:rPr>
          <w:rFonts w:ascii="Times New Roman" w:cs="Times New Roman" w:eastAsia="Times New Roman" w:hAnsi="Times New Roman"/>
          <w:sz w:val="18"/>
          <w:szCs w:val="18"/>
          <w:color w:val="auto"/>
        </w:rPr>
        <w:t>Increased presence across Asia-Pacific, South Asia, the Middle East, North America, and Europe, strengthening pipeline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infrastructure and application-level opportunities.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 Since Year-End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end of 2025, Blaize has continued to expand its commercial activity and ecosystem partnerships across key markets:</w:t>
      </w:r>
    </w:p>
    <w:p>
      <w:pPr>
        <w:spacing w:after="0" w:line="248" w:lineRule="exact"/>
        <w:rPr>
          <w:sz w:val="20"/>
          <w:szCs w:val="20"/>
          <w:color w:val="auto"/>
        </w:rPr>
      </w:pPr>
    </w:p>
    <w:p>
      <w:pPr>
        <w:ind w:left="660" w:right="3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Nokia Strategic Collaboration: </w:t>
      </w:r>
      <w:r>
        <w:rPr>
          <w:rFonts w:ascii="Times New Roman" w:cs="Times New Roman" w:eastAsia="Times New Roman" w:hAnsi="Times New Roman"/>
          <w:sz w:val="18"/>
          <w:szCs w:val="18"/>
          <w:color w:val="auto"/>
        </w:rPr>
        <w:t>Following its January 2026 strategic announcement with Nokia, Blaize is advancing the joint AI inference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development, expanding regional engagements, and preparing for market showcase at GITEX Asia, with active solution work across Southeast Asia and Australia in safety, retail, and infrastructure use cases.</w:t>
      </w:r>
    </w:p>
    <w:p>
      <w:pPr>
        <w:sectPr>
          <w:pgSz w:w="11900" w:h="16838" w:orient="portrait"/>
          <w:cols w:equalWidth="0" w:num="1">
            <w:col w:w="11240"/>
          </w:cols>
          <w:pgMar w:left="320" w:top="124"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4" w:right="339" w:bottom="1440" w:gutter="0" w:footer="0" w:header="0"/>
          <w:type w:val="continuous"/>
        </w:sectPr>
      </w:pPr>
    </w:p>
    <w:bookmarkStart w:id="5" w:name="page6"/>
    <w:bookmarkEnd w:id="5"/>
    <w:p>
      <w:pPr>
        <w:ind w:left="66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India Cloud AI Innovation Hub: </w:t>
      </w:r>
      <w:r>
        <w:rPr>
          <w:rFonts w:ascii="Times New Roman" w:cs="Times New Roman" w:eastAsia="Times New Roman" w:hAnsi="Times New Roman"/>
          <w:sz w:val="18"/>
          <w:szCs w:val="18"/>
          <w:color w:val="auto"/>
        </w:rPr>
        <w:t>Through its MoU with the Government of Telangana, Blaize plans to establish the AI innovation hub and R&amp;D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supporting applied AI pilots and implementations initiatives across mining safety, smart cities, and agriculture, with real-time monitoring of operations.</w:t>
      </w:r>
    </w:p>
    <w:p>
      <w:pPr>
        <w:ind w:left="660" w:right="28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Industrial AI Validation in Korea: </w:t>
      </w:r>
      <w:r>
        <w:rPr>
          <w:rFonts w:ascii="Times New Roman" w:cs="Times New Roman" w:eastAsia="Times New Roman" w:hAnsi="Times New Roman"/>
          <w:sz w:val="18"/>
          <w:szCs w:val="18"/>
          <w:color w:val="auto"/>
        </w:rPr>
        <w:t>Building on its partnership with GSIL, Blaize is co-developing Physical AI solutions for industrial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enabling real-time risk detection and predictive safety capabilities, starting with pilots in Korea’s manufacturing environments and expanding globally.</w:t>
      </w:r>
    </w:p>
    <w:p>
      <w:pPr>
        <w:spacing w:after="0" w:line="1"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Leadership Expansion: </w:t>
      </w:r>
      <w:r>
        <w:rPr>
          <w:rFonts w:ascii="Times New Roman" w:cs="Times New Roman" w:eastAsia="Times New Roman" w:hAnsi="Times New Roman"/>
          <w:sz w:val="18"/>
          <w:szCs w:val="18"/>
          <w:color w:val="auto"/>
        </w:rPr>
        <w:t>Blaize appointed former Cisco leader Stephen Patak as Chief Revenue Officer to scale AI deployments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public and private sector markets.</w:t>
      </w:r>
    </w:p>
    <w:p>
      <w:pPr>
        <w:spacing w:after="0" w:line="2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developments reflect continued execution of Blaize’s strategy to expand AI infrastructure activity, strengthen ecosystem partnerships, and position the platform for long-term AI services monetization.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Outlook and Execution Readiness</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Blaize expects continued growth as global investment in AI infrastructure expands, with increasing focus on inference economics and AI services monetization.</w:t>
      </w:r>
    </w:p>
    <w:p>
      <w:pPr>
        <w:spacing w:after="0" w:line="189"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Blaize is also seeing an expanding range of AI use cases across its target markets, with increasing traction in public safety, retail analytics, smart infrastructure, and aerial robotics. Recent activities include AI data center buildout, drone detection and airspace awareness, and smart community applications such as patient safety and remote monitoring, with enterprise engagements underway.</w:t>
      </w:r>
    </w:p>
    <w:p>
      <w:pPr>
        <w:spacing w:after="0" w:line="20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These trends position Blaize across both infrastructure and application-level AI services, spanning a broad and expanding set of inference-driven workloads.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execution priorities for 2026 include:</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the AI Services platform in the second quarter to enable API-based AI capabilities and recurring revenue models.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AI services and application delivery to support production-oriented, revenue generating deployments.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pipeline and partner-driven engagements into revenue across infrastructure and application use cases.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Fiscal Year 2026</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forward-looking statements are based on current expectations, and actual results may differ materially, as described below in “Cautionary Statement Regarding Forward-Looking Statements.”</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revenue - $130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 $45.0 million to $50.0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 approximately $34.4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outstanding - approximately 150 million shares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56"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Dinakar Munagala, co-founder and CEO of Blaize, and Harminder Sehmi, CFO of Blaize, will host a conference call at 2:00 p.m. Pacific Time today, March 24, 2026, to discuss the company’s financial results and outlook. A live webcast will be accessible on Blaize’s investor relations website at ir.blaize.com, and an archived conference call webcast will be available on Blaize’s investor relations website for one year following the live call.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Blaize delivers a programmable AI platform, purpose-built for inference in real world environments. Its Hybrid AI architecture enables Practical AI and Physical AI workloads to run efficiently at the edge while integrating seamlessly with cloud and GPU based infrastructure. Blaize solutions support computer vision, multimodal AI, and sensor driven applications across smart cities, industrial automation, telecommunications, retail, logistics, and defense. Blaize is headquartered in El Dorado Hills, California, with a global presence across North America, Europe, the Middle East, and Asia. To learn more, visit www.blaize.com or follow us on LinkedIn @blaizeinc.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765"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reliance on the exception provided by Item 10(e)(1)(i)(B) of Regulation S-K, we have not reconciled the forward-looking Adjusted EBITDA (Non-GAAP) for the full fiscal year 2026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and statement of cash flow, prepared in 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including statements regarding our 2026 financial outlook; stock-based compensation; weighted average shares outstanding; release of the AI Services platform; India Cloud AI Innovation Hub; co-development of Physical AI solutions; the engagements with Nokia and GSIL, or the ultimate value of those contracts; regional growth, the expectations for AI infrastructure ecosystem development and AI services deployment, projected margin improvement,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ability to maintain compliance with stock exchange listing standards; (iii) failure to realize the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the Company to successfully market its products and services; (v) the ability of the Company to successfully deploy its technologies across customer settings;</w:t>
      </w:r>
    </w:p>
    <w:p>
      <w:pPr>
        <w:spacing w:after="0" w:line="11" w:lineRule="exact"/>
        <w:rPr>
          <w:sz w:val="20"/>
          <w:szCs w:val="20"/>
          <w:color w:val="auto"/>
        </w:rPr>
      </w:pPr>
    </w:p>
    <w:p>
      <w:pPr>
        <w:jc w:val="both"/>
        <w:ind w:right="20" w:firstLine="8"/>
        <w:spacing w:after="0" w:line="265" w:lineRule="auto"/>
        <w:tabs>
          <w:tab w:leader="none" w:pos="30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w:t>
      </w:r>
    </w:p>
    <w:p>
      <w:pPr>
        <w:ind w:right="260" w:firstLine="8"/>
        <w:spacing w:after="0" w:line="25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discussed under the heading “Risk Factors” in our Annual Report on Form 10-K filed with the Securities and Exchange Commission (SEC) on March 24, 2026,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Blaize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Blaize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5" w:right="33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t>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press@blaize.com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www.blaize.com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ir@blaize.com</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769"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thousands, except shares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$523 and $420, respectively</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 related party, net of allowance of $34 and $—, respectively</w:t>
            </w: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parties</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71,669</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6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78,495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trade payables</w:t>
            </w: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14,300</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Legacy Blaize convertible notes and warrants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163,340</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186,122</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earnout shares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Polar warrants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188,958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December 31, 2025 and 2024, respectively, and 122,043,966 and 48,376,052 shares issued and</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318,783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(636,155)</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39,000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78,495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thousands, except shares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gridSpan w:val="6"/>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0" w:type="dxa"/>
            <w:vAlign w:val="bottom"/>
          </w:tcPr>
          <w:p>
            <w:pPr>
              <w:spacing w:after="0"/>
              <w:rPr>
                <w:sz w:val="1"/>
                <w:szCs w:val="1"/>
                <w:color w:val="auto"/>
              </w:rPr>
            </w:pPr>
          </w:p>
        </w:tc>
      </w:tr>
      <w:tr>
        <w:trPr>
          <w:trHeight w:val="29"/>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Hardware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23,762</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Software revenue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Hardware revenue - related party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Software revenue - related party</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Strategic consulting services revenue - related party</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0" w:type="dxa"/>
            <w:vAlign w:val="bottom"/>
          </w:tcPr>
          <w:p>
            <w:pPr>
              <w:spacing w:after="0"/>
              <w:rPr>
                <w:sz w:val="1"/>
                <w:szCs w:val="1"/>
                <w:color w:val="auto"/>
              </w:rPr>
            </w:pPr>
          </w:p>
        </w:tc>
      </w:tr>
      <w:tr>
        <w:trPr>
          <w:trHeight w:val="212"/>
        </w:trPr>
        <w:tc>
          <w:tcPr>
            <w:tcW w:w="4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25,094</w:t>
            </w:r>
          </w:p>
        </w:tc>
        <w:tc>
          <w:tcPr>
            <w:tcW w:w="0" w:type="dxa"/>
            <w:vAlign w:val="bottom"/>
          </w:tcPr>
          <w:p>
            <w:pPr>
              <w:spacing w:after="0"/>
              <w:rPr>
                <w:sz w:val="1"/>
                <w:szCs w:val="1"/>
                <w:color w:val="auto"/>
              </w:rPr>
            </w:pPr>
          </w:p>
        </w:tc>
      </w:tr>
      <w:tr>
        <w:trPr>
          <w:trHeight w:val="21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22,228</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 related party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7"/>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17,456</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110,035</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48,610</w:t>
            </w:r>
          </w:p>
        </w:tc>
        <w:tc>
          <w:tcPr>
            <w:tcW w:w="0" w:type="dxa"/>
            <w:vAlign w:val="bottom"/>
          </w:tcPr>
          <w:p>
            <w:pPr>
              <w:spacing w:after="0"/>
              <w:rPr>
                <w:sz w:val="1"/>
                <w:szCs w:val="1"/>
                <w:color w:val="auto"/>
              </w:rPr>
            </w:pPr>
          </w:p>
        </w:tc>
      </w:tr>
      <w:tr>
        <w:trPr>
          <w:trHeight w:val="23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(103,841)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(47,635)</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Change in fair value of Legacy Blaize convertible notes and</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Polar warrants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other earnout shares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unissued shares of common stock</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committed equity facility, net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expense, net</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(102,846)</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(206,687)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(62,147)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(3,296)</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(26,258)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(6,692)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(206,904)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(61,195)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116,573,701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103,585,681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17,476,105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104,275,265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17,476,105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64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Pr>
          <w:p>
            <w:pPr>
              <w:spacing w:after="0"/>
              <w:rPr>
                <w:sz w:val="15"/>
                <w:szCs w:val="15"/>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0" w:type="dxa"/>
            <w:vAlign w:val="bottom"/>
          </w:tcPr>
          <w:p>
            <w:pPr>
              <w:spacing w:after="0"/>
              <w:rPr>
                <w:sz w:val="1"/>
                <w:szCs w:val="1"/>
                <w:color w:val="auto"/>
              </w:rPr>
            </w:pPr>
          </w:p>
        </w:tc>
      </w:tr>
      <w:tr>
        <w:trPr>
          <w:trHeight w:val="29"/>
        </w:trPr>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lease expense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financing charge on Legacy Blaize convertible notes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expense related to issuance of common stock</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financing expense related to issuance of warrants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Legacy Blaize convertible notes and warrants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Polar warrants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other earnout shares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unissued shares of common stock</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committed equity facility,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 - related party</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 - related party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 - related party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trade payables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(73,751)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(53,532)</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0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(902)</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Merger and PIPE financing, net of transaction costs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held in escrow</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sale of common stock to Polar, net of offering expenses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advances from related party</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54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Proceeds from issuance of common stock, net of financing charge on the</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committed equity facility</w:t>
            </w: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short-term demand notes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Legacy Blaize convertible notes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38,328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101,709</w:t>
            </w:r>
          </w:p>
        </w:tc>
        <w:tc>
          <w:tcPr>
            <w:tcW w:w="0" w:type="dxa"/>
            <w:vAlign w:val="bottom"/>
          </w:tcPr>
          <w:p>
            <w:pPr>
              <w:spacing w:after="0"/>
              <w:rPr>
                <w:sz w:val="1"/>
                <w:szCs w:val="1"/>
                <w:color w:val="auto"/>
              </w:rPr>
            </w:pPr>
          </w:p>
        </w:tc>
      </w:tr>
      <w:tr>
        <w:trPr>
          <w:trHeight w:val="20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47,275</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08"/>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46,050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50,488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46,050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50,488</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64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RECONCILIATIONS OF GAAP TO NON-GAAP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4"/>
          </w:tcPr>
          <w:p>
            <w:pPr>
              <w:jc w:val="right"/>
              <w:ind w:right="821"/>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29"/>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4"/>
        </w:trPr>
        <w:tc>
          <w:tcPr>
            <w:tcW w:w="40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21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(61,195)</w:t>
            </w: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13"/>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w:t>
            </w: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(63,165)</w:t>
            </w: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changes and financing charges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16,187</w:t>
            </w: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costs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inventory cost realignment adjustments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6"/>
        </w:trPr>
        <w:tc>
          <w:tcPr>
            <w:tcW w:w="400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6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Roman"/>
      <w:start w:val="6"/>
    </w:lvl>
  </w:abstractNum>
  <w:abstractNum w:abstractNumId="10">
    <w:nsid w:val="1F16E9E8"/>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2026-03-24T15:18:50Z</dcterms:created>
  <dcterms:modified xsi:type="dcterms:W3CDTF">2026-03-24T15:18:50Z</dcterms:modified>
</cp:coreProperties>
</file>