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6,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20004</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6, 2023, BurTech Acquisition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after payment of income and franchise taxes, has a balance of approximately $296,344,283.81 in the trust account held with Contintal Stock &amp; Transfer Company, or approximately $10.31 per redeemable share of the Company’s Class A common stock. The Company reiterates that funds held in the Company’s trust account, including any interest thereon, will not be used to pay for any excise tax liabilities with respect to any future redemptions prior to or in connection with any extension, an initial business combination or the liquidation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directors and executive officers and other persons may be deemed to be participants in the solicitation of proxies from the Company’s stockholders in respect of the Extension. Information regarding the Company’s directors and executive officers is available in its annual report on Form 10-K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Additional information regarding the participants in the proxy solicitation and a description of their direct and indirect interests are contained in the Proxy Statement (defined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No offering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filed with the SEC definitive proxy statement and certain supplements thereto for the Special Meeting (the definitive proxy statement and supplements thereto are collectively referred to as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to consider and vote upon the Extension and other matters and, beginning on February 23, 2023, mailed the Proxy Statement and other relevant documents to its stockholders as of the January 26, 2023 record date for the Special Meeting. The Company’s stockholders and other interested persons are advised to read the Proxy Statement and any other relevant documents that have been or will be filed with the SEC in connection with the Company’s solicitation of proxies for the Special Meeting because these documents will contain important information about the Company, the Extension and related matters. Stockholders may also obtain a free copy of the Proxy Statement, as well as other relevant documents that have been or will be filed with the SEC, without charge, at the SEC’s website located at www.sec.gov or by directing a request to Advantage Proxy at 877-870-8565 (toll free) or by email at KSmith@advantageproxy.com.</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1"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40" w:lineRule="exact"/>
        <w:rPr>
          <w:sz w:val="20"/>
          <w:szCs w:val="20"/>
          <w:color w:val="auto"/>
        </w:rPr>
      </w:pPr>
    </w:p>
    <w:p>
      <w:pPr>
        <w:ind w:left="5580" w:right="4320" w:hanging="5572"/>
        <w:spacing w:after="0" w:line="778"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2023-03-06T15:53:18Z</dcterms:created>
  <dcterms:modified xsi:type="dcterms:W3CDTF">2023-03-06T15:53:18Z</dcterms:modified>
</cp:coreProperties>
</file>