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Washington, D.C. 20549</w:t>
      </w:r>
    </w:p>
    <w:p>
      <w:pPr>
        <w:spacing w:after="0" w:line="146" w:lineRule="exact"/>
        <w:rPr>
          <w:sz w:val="24"/>
          <w:szCs w:val="24"/>
          <w:color w:val="auto"/>
        </w:rPr>
      </w:pPr>
    </w:p>
    <w:p>
      <w:pPr>
        <w:ind w:left="4670"/>
        <w:spacing w:after="0"/>
        <w:rPr>
          <w:sz w:val="20"/>
          <w:szCs w:val="20"/>
          <w:color w:val="auto"/>
        </w:rPr>
      </w:pPr>
      <w:r>
        <w:rPr>
          <w:rFonts w:ascii="Arial" w:cs="Arial" w:eastAsia="Arial" w:hAnsi="Arial"/>
          <w:sz w:val="16"/>
          <w:szCs w:val="16"/>
          <w:b w:val="1"/>
          <w:bCs w:val="1"/>
          <w:color w:val="auto"/>
        </w:rPr>
        <w:t>FORM 10-Q</w:t>
      </w:r>
    </w:p>
    <w:p>
      <w:pPr>
        <w:spacing w:after="0" w:line="167" w:lineRule="exact"/>
        <w:rPr>
          <w:sz w:val="24"/>
          <w:szCs w:val="24"/>
          <w:color w:val="auto"/>
        </w:rPr>
      </w:pPr>
    </w:p>
    <w:p>
      <w:pPr>
        <w:ind w:left="4690"/>
        <w:spacing w:after="0"/>
        <w:rPr>
          <w:sz w:val="20"/>
          <w:szCs w:val="20"/>
          <w:color w:val="auto"/>
        </w:rPr>
      </w:pPr>
      <w:r>
        <w:rPr>
          <w:rFonts w:ascii="Arial" w:cs="Arial" w:eastAsia="Arial" w:hAnsi="Arial"/>
          <w:sz w:val="16"/>
          <w:szCs w:val="16"/>
          <w:b w:val="1"/>
          <w:bCs w:val="1"/>
          <w:color w:val="auto"/>
        </w:rPr>
        <w:t>(Mark One)</w:t>
      </w:r>
    </w:p>
    <w:p>
      <w:pPr>
        <w:spacing w:after="0" w:line="113" w:lineRule="exact"/>
        <w:rPr>
          <w:sz w:val="24"/>
          <w:szCs w:val="24"/>
          <w:color w:val="auto"/>
        </w:rPr>
      </w:pPr>
    </w:p>
    <w:p>
      <w:pPr>
        <w:ind w:left="3350" w:right="2380" w:hanging="3350"/>
        <w:spacing w:after="0" w:line="451" w:lineRule="auto"/>
        <w:tabs>
          <w:tab w:leader="none" w:pos="198"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UNDER SECTION 13 OR 15(d) OF THE SECURITIES EXCHANGE ACT OF 1934 For the quarterly period ended September 30, 2023</w:t>
      </w:r>
    </w:p>
    <w:p>
      <w:pPr>
        <w:spacing w:after="0" w:line="38" w:lineRule="exact"/>
        <w:rPr>
          <w:sz w:val="24"/>
          <w:szCs w:val="24"/>
          <w:color w:val="auto"/>
        </w:rPr>
      </w:pPr>
    </w:p>
    <w:p>
      <w:pPr>
        <w:ind w:left="190" w:hanging="190"/>
        <w:spacing w:after="0"/>
        <w:tabs>
          <w:tab w:leader="none" w:pos="19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0230"/>
          </w:cols>
          <w:pgMar w:left="830" w:top="665" w:right="839" w:bottom="1440" w:gutter="0" w:footer="0" w:header="0"/>
        </w:sectPr>
      </w:pPr>
    </w:p>
    <w:p>
      <w:pPr>
        <w:spacing w:after="0" w:line="181" w:lineRule="exact"/>
        <w:rPr>
          <w:sz w:val="24"/>
          <w:szCs w:val="24"/>
          <w:color w:val="auto"/>
        </w:rPr>
      </w:pPr>
    </w:p>
    <w:p>
      <w:pPr>
        <w:ind w:left="329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0" w:lineRule="exact"/>
        <w:rPr>
          <w:sz w:val="24"/>
          <w:szCs w:val="24"/>
          <w:color w:val="auto"/>
        </w:rPr>
      </w:pPr>
    </w:p>
    <w:p>
      <w:pPr>
        <w:sectPr>
          <w:pgSz w:w="11900" w:h="16838" w:orient="portrait"/>
          <w:cols w:equalWidth="0" w:num="2">
            <w:col w:w="5390" w:space="720"/>
            <w:col w:w="4120"/>
          </w:cols>
          <w:pgMar w:left="830" w:top="665" w:right="839" w:bottom="1440" w:gutter="0" w:footer="0" w:header="0"/>
          <w:type w:val="continuous"/>
        </w:sectPr>
      </w:pPr>
    </w:p>
    <w:p>
      <w:pPr>
        <w:spacing w:after="0" w:line="4" w:lineRule="exact"/>
        <w:rPr>
          <w:sz w:val="24"/>
          <w:szCs w:val="24"/>
          <w:color w:val="auto"/>
        </w:rPr>
      </w:pPr>
    </w:p>
    <w:p>
      <w:pPr>
        <w:jc w:val="center"/>
        <w:ind w:right="-9"/>
        <w:spacing w:after="0"/>
        <w:rPr>
          <w:sz w:val="20"/>
          <w:szCs w:val="20"/>
          <w:color w:val="auto"/>
        </w:rPr>
      </w:pPr>
      <w:r>
        <w:rPr>
          <w:rFonts w:ascii="Arial" w:cs="Arial" w:eastAsia="Arial" w:hAnsi="Arial"/>
          <w:sz w:val="14"/>
          <w:szCs w:val="14"/>
          <w:b w:val="1"/>
          <w:bCs w:val="1"/>
          <w:color w:val="auto"/>
        </w:rPr>
        <w:t>Commission File Number 001-41139</w:t>
      </w:r>
    </w:p>
    <w:p>
      <w:pPr>
        <w:sectPr>
          <w:pgSz w:w="11900" w:h="16838" w:orient="portrait"/>
          <w:cols w:equalWidth="0" w:num="1">
            <w:col w:w="10230"/>
          </w:cols>
          <w:pgMar w:left="830" w:top="665" w:right="839" w:bottom="1440" w:gutter="0" w:footer="0" w:header="0"/>
          <w:type w:val="continuous"/>
        </w:sectPr>
      </w:pPr>
    </w:p>
    <w:p>
      <w:pPr>
        <w:spacing w:after="0" w:line="190" w:lineRule="exact"/>
        <w:rPr>
          <w:sz w:val="24"/>
          <w:szCs w:val="24"/>
          <w:color w:val="auto"/>
        </w:rPr>
      </w:pPr>
    </w:p>
    <w:p>
      <w:pPr>
        <w:jc w:val="center"/>
        <w:ind w:right="-9"/>
        <w:spacing w:after="0"/>
        <w:rPr>
          <w:sz w:val="20"/>
          <w:szCs w:val="20"/>
          <w:color w:val="auto"/>
        </w:rPr>
      </w:pPr>
      <w:r>
        <w:rPr>
          <w:rFonts w:ascii="Arial" w:cs="Arial" w:eastAsia="Arial" w:hAnsi="Arial"/>
          <w:sz w:val="22"/>
          <w:szCs w:val="22"/>
          <w:b w:val="1"/>
          <w:bCs w:val="1"/>
          <w:color w:val="auto"/>
        </w:rPr>
        <w:t>BURTECH ACQUISITION CORP.</w:t>
      </w:r>
    </w:p>
    <w:p>
      <w:pPr>
        <w:spacing w:after="0" w:line="22"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(Exact name of registrant as specified in its charter)</w:t>
      </w:r>
    </w:p>
    <w:p>
      <w:pPr>
        <w:spacing w:after="0" w:line="95" w:lineRule="exact"/>
        <w:rPr>
          <w:sz w:val="24"/>
          <w:szCs w:val="24"/>
          <w:color w:val="auto"/>
        </w:rPr>
      </w:pPr>
    </w:p>
    <w:tbl>
      <w:tblPr>
        <w:tblLayout w:type="fixed"/>
        <w:tblInd w:w="10" w:type="dxa"/>
        <w:tblCellMar>
          <w:top w:w="0" w:type="dxa"/>
          <w:left w:w="0" w:type="dxa"/>
          <w:bottom w:w="0" w:type="dxa"/>
          <w:right w:w="0" w:type="dxa"/>
        </w:tblCellMar>
      </w:tblPr>
      <w:tr>
        <w:trPr>
          <w:trHeight w:val="213"/>
        </w:trPr>
        <w:tc>
          <w:tcPr>
            <w:tcW w:w="6960" w:type="dxa"/>
            <w:vAlign w:val="bottom"/>
            <w:gridSpan w:val="3"/>
          </w:tcPr>
          <w:p>
            <w:pPr>
              <w:jc w:val="center"/>
              <w:ind w:right="1980"/>
              <w:spacing w:after="0"/>
              <w:rPr>
                <w:sz w:val="20"/>
                <w:szCs w:val="20"/>
                <w:color w:val="auto"/>
              </w:rPr>
            </w:pPr>
            <w:r>
              <w:rPr>
                <w:rFonts w:ascii="Arial" w:cs="Arial" w:eastAsia="Arial" w:hAnsi="Arial"/>
                <w:sz w:val="16"/>
                <w:szCs w:val="16"/>
                <w:b w:val="1"/>
                <w:bCs w:val="1"/>
                <w:color w:val="auto"/>
                <w:w w:val="93"/>
              </w:rPr>
              <w:t>Delaware</w:t>
            </w:r>
          </w:p>
        </w:tc>
        <w:tc>
          <w:tcPr>
            <w:tcW w:w="3260" w:type="dxa"/>
            <w:vAlign w:val="bottom"/>
          </w:tcPr>
          <w:p>
            <w:pPr>
              <w:jc w:val="center"/>
              <w:ind w:right="1679"/>
              <w:spacing w:after="0"/>
              <w:rPr>
                <w:sz w:val="20"/>
                <w:szCs w:val="20"/>
                <w:color w:val="auto"/>
              </w:rPr>
            </w:pPr>
            <w:r>
              <w:rPr>
                <w:rFonts w:ascii="Arial" w:cs="Arial" w:eastAsia="Arial" w:hAnsi="Arial"/>
                <w:sz w:val="16"/>
                <w:szCs w:val="16"/>
                <w:b w:val="1"/>
                <w:bCs w:val="1"/>
                <w:color w:val="auto"/>
                <w:w w:val="91"/>
              </w:rPr>
              <w:t>85-2708752</w:t>
            </w:r>
          </w:p>
        </w:tc>
      </w:tr>
      <w:tr>
        <w:trPr>
          <w:trHeight w:val="189"/>
        </w:trPr>
        <w:tc>
          <w:tcPr>
            <w:tcW w:w="50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(State or other jurisdiction of</w:t>
            </w:r>
          </w:p>
        </w:tc>
        <w:tc>
          <w:tcPr>
            <w:tcW w:w="220" w:type="dxa"/>
            <w:vAlign w:val="bottom"/>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3260" w:type="dxa"/>
            <w:vAlign w:val="bottom"/>
            <w:tcBorders>
              <w:top w:val="single" w:sz="8" w:color="auto"/>
            </w:tcBorders>
          </w:tcPr>
          <w:p>
            <w:pPr>
              <w:jc w:val="center"/>
              <w:ind w:right="1679"/>
              <w:spacing w:after="0"/>
              <w:rPr>
                <w:sz w:val="20"/>
                <w:szCs w:val="20"/>
                <w:color w:val="auto"/>
              </w:rPr>
            </w:pPr>
            <w:r>
              <w:rPr>
                <w:rFonts w:ascii="Arial" w:cs="Arial" w:eastAsia="Arial" w:hAnsi="Arial"/>
                <w:sz w:val="16"/>
                <w:szCs w:val="16"/>
                <w:color w:val="auto"/>
                <w:w w:val="94"/>
              </w:rPr>
              <w:t>(IRS Employer</w:t>
            </w:r>
          </w:p>
        </w:tc>
      </w:tr>
      <w:tr>
        <w:trPr>
          <w:trHeight w:val="206"/>
        </w:trPr>
        <w:tc>
          <w:tcPr>
            <w:tcW w:w="6960" w:type="dxa"/>
            <w:vAlign w:val="bottom"/>
            <w:gridSpan w:val="3"/>
          </w:tcPr>
          <w:p>
            <w:pPr>
              <w:jc w:val="center"/>
              <w:ind w:right="1980"/>
              <w:spacing w:after="0"/>
              <w:rPr>
                <w:sz w:val="20"/>
                <w:szCs w:val="20"/>
                <w:color w:val="auto"/>
              </w:rPr>
            </w:pPr>
            <w:r>
              <w:rPr>
                <w:rFonts w:ascii="Arial" w:cs="Arial" w:eastAsia="Arial" w:hAnsi="Arial"/>
                <w:sz w:val="16"/>
                <w:szCs w:val="16"/>
                <w:color w:val="auto"/>
                <w:w w:val="93"/>
              </w:rPr>
              <w:t>incorporation or organization)</w:t>
            </w:r>
          </w:p>
        </w:tc>
        <w:tc>
          <w:tcPr>
            <w:tcW w:w="3260" w:type="dxa"/>
            <w:vAlign w:val="bottom"/>
          </w:tcPr>
          <w:p>
            <w:pPr>
              <w:jc w:val="center"/>
              <w:ind w:right="1719"/>
              <w:spacing w:after="0"/>
              <w:rPr>
                <w:sz w:val="20"/>
                <w:szCs w:val="20"/>
                <w:color w:val="auto"/>
              </w:rPr>
            </w:pPr>
            <w:r>
              <w:rPr>
                <w:rFonts w:ascii="Arial" w:cs="Arial" w:eastAsia="Arial" w:hAnsi="Arial"/>
                <w:sz w:val="16"/>
                <w:szCs w:val="16"/>
                <w:color w:val="auto"/>
                <w:w w:val="97"/>
              </w:rPr>
              <w:t>Identification No.)</w:t>
            </w:r>
          </w:p>
        </w:tc>
      </w:tr>
      <w:tr>
        <w:trPr>
          <w:trHeight w:val="321"/>
        </w:trPr>
        <w:tc>
          <w:tcPr>
            <w:tcW w:w="6960" w:type="dxa"/>
            <w:vAlign w:val="bottom"/>
            <w:gridSpan w:val="3"/>
          </w:tcPr>
          <w:p>
            <w:pPr>
              <w:jc w:val="center"/>
              <w:ind w:left="3159"/>
              <w:spacing w:after="0"/>
              <w:rPr>
                <w:sz w:val="20"/>
                <w:szCs w:val="20"/>
                <w:color w:val="auto"/>
              </w:rPr>
            </w:pPr>
            <w:r>
              <w:rPr>
                <w:rFonts w:ascii="Arial" w:cs="Arial" w:eastAsia="Arial" w:hAnsi="Arial"/>
                <w:sz w:val="16"/>
                <w:szCs w:val="16"/>
                <w:b w:val="1"/>
                <w:bCs w:val="1"/>
                <w:color w:val="auto"/>
                <w:w w:val="90"/>
              </w:rPr>
              <w:t>1300 Pennsylvania Ave NW, Suite 700</w:t>
            </w:r>
          </w:p>
        </w:tc>
        <w:tc>
          <w:tcPr>
            <w:tcW w:w="3260" w:type="dxa"/>
            <w:vAlign w:val="bottom"/>
          </w:tcPr>
          <w:p>
            <w:pPr>
              <w:spacing w:after="0"/>
              <w:rPr>
                <w:sz w:val="24"/>
                <w:szCs w:val="24"/>
                <w:color w:val="auto"/>
              </w:rPr>
            </w:pPr>
          </w:p>
        </w:tc>
      </w:tr>
      <w:tr>
        <w:trPr>
          <w:trHeight w:val="242"/>
        </w:trPr>
        <w:tc>
          <w:tcPr>
            <w:tcW w:w="6960" w:type="dxa"/>
            <w:vAlign w:val="bottom"/>
            <w:gridSpan w:val="3"/>
          </w:tcPr>
          <w:p>
            <w:pPr>
              <w:jc w:val="center"/>
              <w:ind w:left="3159"/>
              <w:spacing w:after="0"/>
              <w:rPr>
                <w:sz w:val="20"/>
                <w:szCs w:val="20"/>
                <w:color w:val="auto"/>
              </w:rPr>
            </w:pPr>
            <w:r>
              <w:rPr>
                <w:rFonts w:ascii="Arial" w:cs="Arial" w:eastAsia="Arial" w:hAnsi="Arial"/>
                <w:sz w:val="16"/>
                <w:szCs w:val="16"/>
                <w:b w:val="1"/>
                <w:bCs w:val="1"/>
                <w:color w:val="auto"/>
                <w:w w:val="92"/>
              </w:rPr>
              <w:t xml:space="preserve">Washington, DC </w:t>
            </w:r>
            <w:r>
              <w:rPr>
                <w:rFonts w:ascii="Arial" w:cs="Arial" w:eastAsia="Arial" w:hAnsi="Arial"/>
                <w:sz w:val="19"/>
                <w:szCs w:val="19"/>
                <w:b w:val="1"/>
                <w:bCs w:val="1"/>
                <w:color w:val="auto"/>
                <w:w w:val="92"/>
              </w:rPr>
              <w:t>20004</w:t>
            </w:r>
          </w:p>
        </w:tc>
        <w:tc>
          <w:tcPr>
            <w:tcW w:w="3260" w:type="dxa"/>
            <w:vAlign w:val="bottom"/>
          </w:tcPr>
          <w:p>
            <w:pPr>
              <w:spacing w:after="0"/>
              <w:rPr>
                <w:sz w:val="21"/>
                <w:szCs w:val="21"/>
                <w:color w:val="auto"/>
              </w:rPr>
            </w:pPr>
          </w:p>
        </w:tc>
      </w:tr>
      <w:tr>
        <w:trPr>
          <w:trHeight w:val="206"/>
        </w:trPr>
        <w:tc>
          <w:tcPr>
            <w:tcW w:w="6960" w:type="dxa"/>
            <w:vAlign w:val="bottom"/>
            <w:gridSpan w:val="3"/>
          </w:tcPr>
          <w:p>
            <w:pPr>
              <w:jc w:val="center"/>
              <w:ind w:left="3159"/>
              <w:spacing w:after="0"/>
              <w:rPr>
                <w:sz w:val="20"/>
                <w:szCs w:val="20"/>
                <w:color w:val="auto"/>
              </w:rPr>
            </w:pPr>
            <w:r>
              <w:rPr>
                <w:rFonts w:ascii="Arial" w:cs="Arial" w:eastAsia="Arial" w:hAnsi="Arial"/>
                <w:sz w:val="16"/>
                <w:szCs w:val="16"/>
                <w:color w:val="auto"/>
                <w:w w:val="93"/>
              </w:rPr>
              <w:t>(Address of principal executive offices and zip code)</w:t>
            </w:r>
          </w:p>
        </w:tc>
        <w:tc>
          <w:tcPr>
            <w:tcW w:w="3260" w:type="dxa"/>
            <w:vAlign w:val="bottom"/>
          </w:tcPr>
          <w:p>
            <w:pPr>
              <w:spacing w:after="0"/>
              <w:rPr>
                <w:sz w:val="17"/>
                <w:szCs w:val="17"/>
                <w:color w:val="auto"/>
              </w:rPr>
            </w:pPr>
          </w:p>
        </w:tc>
      </w:tr>
      <w:tr>
        <w:trPr>
          <w:trHeight w:val="293"/>
        </w:trPr>
        <w:tc>
          <w:tcPr>
            <w:tcW w:w="6960" w:type="dxa"/>
            <w:vAlign w:val="bottom"/>
            <w:gridSpan w:val="3"/>
          </w:tcPr>
          <w:p>
            <w:pPr>
              <w:jc w:val="center"/>
              <w:ind w:left="3179"/>
              <w:spacing w:after="0"/>
              <w:rPr>
                <w:sz w:val="20"/>
                <w:szCs w:val="20"/>
                <w:color w:val="auto"/>
              </w:rPr>
            </w:pPr>
            <w:r>
              <w:rPr>
                <w:rFonts w:ascii="Arial" w:cs="Arial" w:eastAsia="Arial" w:hAnsi="Arial"/>
                <w:sz w:val="16"/>
                <w:szCs w:val="16"/>
                <w:b w:val="1"/>
                <w:bCs w:val="1"/>
                <w:color w:val="auto"/>
                <w:w w:val="93"/>
              </w:rPr>
              <w:t>(202) 600-5757</w:t>
            </w:r>
          </w:p>
        </w:tc>
        <w:tc>
          <w:tcPr>
            <w:tcW w:w="3260" w:type="dxa"/>
            <w:vAlign w:val="bottom"/>
          </w:tcPr>
          <w:p>
            <w:pPr>
              <w:spacing w:after="0"/>
              <w:rPr>
                <w:sz w:val="24"/>
                <w:szCs w:val="24"/>
                <w:color w:val="auto"/>
              </w:rPr>
            </w:pPr>
          </w:p>
        </w:tc>
      </w:tr>
      <w:tr>
        <w:trPr>
          <w:trHeight w:val="206"/>
        </w:trPr>
        <w:tc>
          <w:tcPr>
            <w:tcW w:w="6960" w:type="dxa"/>
            <w:vAlign w:val="bottom"/>
            <w:gridSpan w:val="3"/>
          </w:tcPr>
          <w:p>
            <w:pPr>
              <w:jc w:val="center"/>
              <w:ind w:left="3159"/>
              <w:spacing w:after="0"/>
              <w:rPr>
                <w:sz w:val="20"/>
                <w:szCs w:val="20"/>
                <w:color w:val="auto"/>
              </w:rPr>
            </w:pPr>
            <w:r>
              <w:rPr>
                <w:rFonts w:ascii="Arial" w:cs="Arial" w:eastAsia="Arial" w:hAnsi="Arial"/>
                <w:sz w:val="16"/>
                <w:szCs w:val="16"/>
                <w:color w:val="auto"/>
                <w:w w:val="91"/>
              </w:rPr>
              <w:t>(Registrant’s telephone number, including area code)</w:t>
            </w:r>
          </w:p>
        </w:tc>
        <w:tc>
          <w:tcPr>
            <w:tcW w:w="3260" w:type="dxa"/>
            <w:vAlign w:val="bottom"/>
          </w:tcPr>
          <w:p>
            <w:pPr>
              <w:spacing w:after="0"/>
              <w:rPr>
                <w:sz w:val="17"/>
                <w:szCs w:val="17"/>
                <w:color w:val="auto"/>
              </w:rPr>
            </w:pPr>
          </w:p>
        </w:tc>
      </w:tr>
    </w:tbl>
    <w:p>
      <w:pPr>
        <w:spacing w:after="0" w:line="8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N/A</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09"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41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313"/>
        </w:trPr>
        <w:tc>
          <w:tcPr>
            <w:tcW w:w="20" w:type="dxa"/>
            <w:vAlign w:val="bottom"/>
          </w:tcPr>
          <w:p>
            <w:pPr>
              <w:spacing w:after="0"/>
              <w:rPr>
                <w:sz w:val="24"/>
                <w:szCs w:val="24"/>
                <w:color w:val="auto"/>
              </w:rPr>
            </w:pPr>
          </w:p>
        </w:tc>
        <w:tc>
          <w:tcPr>
            <w:tcW w:w="4160" w:type="dxa"/>
            <w:vAlign w:val="bottom"/>
            <w:gridSpan w:val="2"/>
          </w:tcPr>
          <w:p>
            <w:pPr>
              <w:ind w:left="1300"/>
              <w:spacing w:after="0"/>
              <w:rPr>
                <w:sz w:val="20"/>
                <w:szCs w:val="20"/>
                <w:color w:val="auto"/>
              </w:rPr>
            </w:pPr>
            <w:r>
              <w:rPr>
                <w:rFonts w:ascii="Arial" w:cs="Arial" w:eastAsia="Arial" w:hAnsi="Arial"/>
                <w:sz w:val="16"/>
                <w:szCs w:val="16"/>
                <w:b w:val="1"/>
                <w:bCs w:val="1"/>
                <w:color w:val="auto"/>
              </w:rPr>
              <w:t>Title of each class</w:t>
            </w:r>
          </w:p>
        </w:tc>
        <w:tc>
          <w:tcPr>
            <w:tcW w:w="2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Trading Symbol(s)</w:t>
            </w:r>
          </w:p>
        </w:tc>
        <w:tc>
          <w:tcPr>
            <w:tcW w:w="376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89"/>
        </w:trPr>
        <w:tc>
          <w:tcPr>
            <w:tcW w:w="20" w:type="dxa"/>
            <w:vAlign w:val="bottom"/>
          </w:tcPr>
          <w:p>
            <w:pPr>
              <w:spacing w:after="0"/>
              <w:rPr>
                <w:sz w:val="16"/>
                <w:szCs w:val="16"/>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7"/>
              </w:rPr>
              <w:t>Units, each consisting of one share of Class A Common</w:t>
            </w:r>
          </w:p>
        </w:tc>
        <w:tc>
          <w:tcPr>
            <w:tcW w:w="300" w:type="dxa"/>
            <w:vAlign w:val="bottom"/>
          </w:tcPr>
          <w:p>
            <w:pPr>
              <w:spacing w:after="0"/>
              <w:rPr>
                <w:sz w:val="16"/>
                <w:szCs w:val="16"/>
                <w:color w:val="auto"/>
              </w:rPr>
            </w:pP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BRKHU</w:t>
            </w:r>
          </w:p>
        </w:tc>
        <w:tc>
          <w:tcPr>
            <w:tcW w:w="300" w:type="dxa"/>
            <w:vAlign w:val="bottom"/>
          </w:tcPr>
          <w:p>
            <w:pPr>
              <w:spacing w:after="0"/>
              <w:rPr>
                <w:sz w:val="16"/>
                <w:szCs w:val="16"/>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The Nasdaq Stock Market LLC</w:t>
            </w:r>
          </w:p>
        </w:tc>
      </w:tr>
      <w:tr>
        <w:trPr>
          <w:trHeight w:val="203"/>
        </w:trPr>
        <w:tc>
          <w:tcPr>
            <w:tcW w:w="4180" w:type="dxa"/>
            <w:vAlign w:val="bottom"/>
            <w:gridSpan w:val="3"/>
          </w:tcPr>
          <w:p>
            <w:pPr>
              <w:spacing w:after="0"/>
              <w:rPr>
                <w:sz w:val="20"/>
                <w:szCs w:val="20"/>
                <w:color w:val="auto"/>
              </w:rPr>
            </w:pPr>
            <w:r>
              <w:rPr>
                <w:rFonts w:ascii="Arial" w:cs="Arial" w:eastAsia="Arial" w:hAnsi="Arial"/>
                <w:sz w:val="16"/>
                <w:szCs w:val="16"/>
                <w:color w:val="auto"/>
                <w:w w:val="98"/>
              </w:rPr>
              <w:t>Stock and one Redeemable Warrant to purchase one share</w:t>
            </w: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03"/>
        </w:trPr>
        <w:tc>
          <w:tcPr>
            <w:tcW w:w="4180" w:type="dxa"/>
            <w:vAlign w:val="bottom"/>
            <w:gridSpan w:val="3"/>
          </w:tcPr>
          <w:p>
            <w:pPr>
              <w:spacing w:after="0"/>
              <w:rPr>
                <w:sz w:val="20"/>
                <w:szCs w:val="20"/>
                <w:color w:val="auto"/>
              </w:rPr>
            </w:pPr>
            <w:r>
              <w:rPr>
                <w:rFonts w:ascii="Arial" w:cs="Arial" w:eastAsia="Arial" w:hAnsi="Arial"/>
                <w:sz w:val="16"/>
                <w:szCs w:val="16"/>
                <w:color w:val="auto"/>
              </w:rPr>
              <w:t>of Class A common stock for $11.50 per share</w:t>
            </w: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03"/>
        </w:trPr>
        <w:tc>
          <w:tcPr>
            <w:tcW w:w="4180" w:type="dxa"/>
            <w:vAlign w:val="bottom"/>
            <w:gridSpan w:val="3"/>
          </w:tcPr>
          <w:p>
            <w:pPr>
              <w:spacing w:after="0"/>
              <w:rPr>
                <w:sz w:val="20"/>
                <w:szCs w:val="20"/>
                <w:color w:val="auto"/>
              </w:rPr>
            </w:pPr>
            <w:r>
              <w:rPr>
                <w:rFonts w:ascii="Arial" w:cs="Arial" w:eastAsia="Arial" w:hAnsi="Arial"/>
                <w:sz w:val="16"/>
                <w:szCs w:val="16"/>
                <w:color w:val="auto"/>
              </w:rPr>
              <w:t>Class A Common Stock, par value $0.0001 per share</w:t>
            </w:r>
          </w:p>
        </w:tc>
        <w:tc>
          <w:tcPr>
            <w:tcW w:w="2280" w:type="dxa"/>
            <w:vAlign w:val="bottom"/>
            <w:gridSpan w:val="2"/>
          </w:tcPr>
          <w:p>
            <w:pPr>
              <w:jc w:val="center"/>
              <w:ind w:right="320"/>
              <w:spacing w:after="0"/>
              <w:rPr>
                <w:sz w:val="20"/>
                <w:szCs w:val="20"/>
                <w:color w:val="auto"/>
              </w:rPr>
            </w:pPr>
            <w:r>
              <w:rPr>
                <w:rFonts w:ascii="Arial" w:cs="Arial" w:eastAsia="Arial" w:hAnsi="Arial"/>
                <w:sz w:val="16"/>
                <w:szCs w:val="16"/>
                <w:color w:val="auto"/>
                <w:w w:val="98"/>
              </w:rPr>
              <w:t>BRKH</w:t>
            </w:r>
          </w:p>
        </w:tc>
        <w:tc>
          <w:tcPr>
            <w:tcW w:w="3760" w:type="dxa"/>
            <w:vAlign w:val="bottom"/>
          </w:tcPr>
          <w:p>
            <w:pPr>
              <w:jc w:val="center"/>
              <w:spacing w:after="0"/>
              <w:rPr>
                <w:sz w:val="20"/>
                <w:szCs w:val="20"/>
                <w:color w:val="auto"/>
              </w:rPr>
            </w:pPr>
            <w:r>
              <w:rPr>
                <w:rFonts w:ascii="Arial" w:cs="Arial" w:eastAsia="Arial" w:hAnsi="Arial"/>
                <w:sz w:val="16"/>
                <w:szCs w:val="16"/>
                <w:color w:val="auto"/>
                <w:w w:val="94"/>
              </w:rPr>
              <w:t>The Nasdaq Stock Market LLC</w:t>
            </w:r>
          </w:p>
        </w:tc>
      </w:tr>
      <w:tr>
        <w:trPr>
          <w:trHeight w:val="203"/>
        </w:trPr>
        <w:tc>
          <w:tcPr>
            <w:tcW w:w="4180" w:type="dxa"/>
            <w:vAlign w:val="bottom"/>
            <w:gridSpan w:val="3"/>
          </w:tcPr>
          <w:p>
            <w:pPr>
              <w:spacing w:after="0"/>
              <w:rPr>
                <w:sz w:val="20"/>
                <w:szCs w:val="20"/>
                <w:color w:val="auto"/>
              </w:rPr>
            </w:pPr>
            <w:r>
              <w:rPr>
                <w:rFonts w:ascii="Arial" w:cs="Arial" w:eastAsia="Arial" w:hAnsi="Arial"/>
                <w:sz w:val="16"/>
                <w:szCs w:val="16"/>
                <w:color w:val="auto"/>
              </w:rPr>
              <w:t>Warrants, each exercisable for one share of Class A</w:t>
            </w:r>
          </w:p>
        </w:tc>
        <w:tc>
          <w:tcPr>
            <w:tcW w:w="2280" w:type="dxa"/>
            <w:vAlign w:val="bottom"/>
            <w:gridSpan w:val="2"/>
          </w:tcPr>
          <w:p>
            <w:pPr>
              <w:jc w:val="center"/>
              <w:ind w:right="320"/>
              <w:spacing w:after="0"/>
              <w:rPr>
                <w:sz w:val="20"/>
                <w:szCs w:val="20"/>
                <w:color w:val="auto"/>
              </w:rPr>
            </w:pPr>
            <w:r>
              <w:rPr>
                <w:rFonts w:ascii="Arial" w:cs="Arial" w:eastAsia="Arial" w:hAnsi="Arial"/>
                <w:sz w:val="16"/>
                <w:szCs w:val="16"/>
                <w:color w:val="auto"/>
              </w:rPr>
              <w:t>BRKHW</w:t>
            </w:r>
          </w:p>
        </w:tc>
        <w:tc>
          <w:tcPr>
            <w:tcW w:w="3760" w:type="dxa"/>
            <w:vAlign w:val="bottom"/>
          </w:tcPr>
          <w:p>
            <w:pPr>
              <w:jc w:val="center"/>
              <w:spacing w:after="0"/>
              <w:rPr>
                <w:sz w:val="20"/>
                <w:szCs w:val="20"/>
                <w:color w:val="auto"/>
              </w:rPr>
            </w:pPr>
            <w:r>
              <w:rPr>
                <w:rFonts w:ascii="Arial" w:cs="Arial" w:eastAsia="Arial" w:hAnsi="Arial"/>
                <w:sz w:val="16"/>
                <w:szCs w:val="16"/>
                <w:color w:val="auto"/>
                <w:w w:val="94"/>
              </w:rPr>
              <w:t>The Nasdaq Stock Market LLC</w:t>
            </w:r>
          </w:p>
        </w:tc>
      </w:tr>
      <w:tr>
        <w:trPr>
          <w:trHeight w:val="206"/>
        </w:trPr>
        <w:tc>
          <w:tcPr>
            <w:tcW w:w="4180" w:type="dxa"/>
            <w:vAlign w:val="bottom"/>
            <w:gridSpan w:val="3"/>
          </w:tcPr>
          <w:p>
            <w:pPr>
              <w:spacing w:after="0"/>
              <w:rPr>
                <w:sz w:val="20"/>
                <w:szCs w:val="20"/>
                <w:color w:val="auto"/>
              </w:rPr>
            </w:pPr>
            <w:r>
              <w:rPr>
                <w:rFonts w:ascii="Arial" w:cs="Arial" w:eastAsia="Arial" w:hAnsi="Arial"/>
                <w:sz w:val="16"/>
                <w:szCs w:val="16"/>
                <w:color w:val="auto"/>
              </w:rPr>
              <w:t>Common Stock for $11.50 per share</w:t>
            </w: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60" w:type="dxa"/>
            <w:vAlign w:val="bottom"/>
          </w:tcPr>
          <w:p>
            <w:pPr>
              <w:spacing w:after="0"/>
              <w:rPr>
                <w:sz w:val="17"/>
                <w:szCs w:val="17"/>
                <w:color w:val="auto"/>
              </w:rPr>
            </w:pPr>
          </w:p>
        </w:tc>
      </w:tr>
    </w:tbl>
    <w:p>
      <w:pPr>
        <w:spacing w:after="0" w:line="91" w:lineRule="exact"/>
        <w:rPr>
          <w:sz w:val="24"/>
          <w:szCs w:val="24"/>
          <w:color w:val="auto"/>
        </w:rPr>
      </w:pPr>
    </w:p>
    <w:p>
      <w:pPr>
        <w:jc w:val="both"/>
        <w:ind w:left="10"/>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jc w:val="both"/>
        <w:ind w:left="1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jc w:val="both"/>
        <w:ind w:left="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 b-2 of the Exchange Act:</w:t>
      </w:r>
    </w:p>
    <w:p>
      <w:pPr>
        <w:sectPr>
          <w:pgSz w:w="11900" w:h="16838" w:orient="portrait"/>
          <w:cols w:equalWidth="0" w:num="1">
            <w:col w:w="10230"/>
          </w:cols>
          <w:pgMar w:left="830" w:top="665" w:right="839" w:bottom="1440" w:gutter="0" w:footer="0" w:header="0"/>
          <w:type w:val="continuous"/>
        </w:sectPr>
      </w:pPr>
    </w:p>
    <w:p>
      <w:pPr>
        <w:spacing w:after="0" w:line="23" w:lineRule="exact"/>
        <w:rPr>
          <w:sz w:val="24"/>
          <w:szCs w:val="24"/>
          <w:color w:val="auto"/>
        </w:rPr>
      </w:pPr>
    </w:p>
    <w:p>
      <w:pPr>
        <w:ind w:left="1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96" w:lineRule="exact"/>
        <w:rPr>
          <w:sz w:val="24"/>
          <w:szCs w:val="24"/>
          <w:color w:val="auto"/>
        </w:rPr>
      </w:pPr>
    </w:p>
    <w:p>
      <w:pPr>
        <w:ind w:left="1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2" w:lineRule="exact"/>
        <w:rPr>
          <w:sz w:val="24"/>
          <w:szCs w:val="24"/>
          <w:color w:val="auto"/>
        </w:rPr>
      </w:pPr>
    </w:p>
    <w:p>
      <w:pPr>
        <w:sectPr>
          <w:pgSz w:w="11900" w:h="16838" w:orient="portrait"/>
          <w:cols w:equalWidth="0" w:num="2">
            <w:col w:w="3910" w:space="720"/>
            <w:col w:w="5600"/>
          </w:cols>
          <w:pgMar w:left="830" w:top="665" w:right="839" w:bottom="1440" w:gutter="0" w:footer="0" w:header="0"/>
          <w:type w:val="continuous"/>
        </w:sectPr>
      </w:pPr>
    </w:p>
    <w:p>
      <w:pPr>
        <w:ind w:left="1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3" w:lineRule="exact"/>
        <w:rPr>
          <w:sz w:val="24"/>
          <w:szCs w:val="24"/>
          <w:color w:val="auto"/>
        </w:rPr>
      </w:pPr>
    </w:p>
    <w:p>
      <w:pPr>
        <w:ind w:left="10" w:firstLine="324"/>
        <w:spacing w:after="0" w:line="293" w:lineRule="auto"/>
        <w:rPr>
          <w:sz w:val="20"/>
          <w:szCs w:val="20"/>
          <w:color w:val="auto"/>
        </w:rPr>
      </w:pPr>
      <w:r>
        <w:rPr>
          <w:rFonts w:ascii="Arial" w:cs="Arial" w:eastAsia="Arial" w:hAnsi="Arial"/>
          <w:sz w:val="16"/>
          <w:szCs w:val="16"/>
          <w:color w:val="auto"/>
        </w:rPr>
        <w:t>As of November 13, 2023, there were 7,960,203 shares of Class A common stock, par value $0.0001 per share, and 9,487,500 shares of Class B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458470</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29845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72390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21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960" w:type="dxa"/>
            <w:vAlign w:val="bottom"/>
            <w:gridSpan w:val="24"/>
            <w:shd w:val="clear" w:color="auto" w:fill="CCEEFF"/>
          </w:tcPr>
          <w:p>
            <w:pPr>
              <w:spacing w:after="0" w:line="156" w:lineRule="exact"/>
              <w:rPr>
                <w:sz w:val="20"/>
                <w:szCs w:val="20"/>
                <w:color w:val="auto"/>
              </w:rPr>
            </w:pPr>
            <w:r>
              <w:rPr>
                <w:rFonts w:ascii="Arial" w:cs="Arial" w:eastAsia="Arial" w:hAnsi="Arial"/>
                <w:sz w:val="18"/>
                <w:szCs w:val="18"/>
                <w:b w:val="1"/>
                <w:bCs w:val="1"/>
                <w:color w:val="0000EE"/>
              </w:rPr>
              <w:t>PART 1 – FINANCIAL INFORMATION</w:t>
            </w: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Item 1.</w:t>
            </w:r>
          </w:p>
        </w:tc>
        <w:tc>
          <w:tcPr>
            <w:tcW w:w="790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Condensed Balance Sheets as of September 30, 2023 (Unaudited) and December 31, 2022</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900" w:type="dxa"/>
            <w:vAlign w:val="bottom"/>
            <w:gridSpan w:val="21"/>
            <w:shd w:val="clear" w:color="auto" w:fill="CCEEFF"/>
          </w:tcPr>
          <w:p>
            <w:pPr>
              <w:spacing w:after="0" w:line="142" w:lineRule="exact"/>
              <w:rPr>
                <w:sz w:val="20"/>
                <w:szCs w:val="20"/>
                <w:color w:val="auto"/>
              </w:rPr>
            </w:pPr>
            <w:r>
              <w:rPr>
                <w:rFonts w:ascii="Arial" w:cs="Arial" w:eastAsia="Arial" w:hAnsi="Arial"/>
                <w:sz w:val="16"/>
                <w:szCs w:val="16"/>
                <w:color w:val="0000EE"/>
                <w:w w:val="93"/>
              </w:rPr>
              <w:t>Condensed Statements of Operations for the three and nine months ended September 30, 2023 and 2022 (Unaudited)</w:t>
            </w:r>
          </w:p>
        </w:tc>
        <w:tc>
          <w:tcPr>
            <w:tcW w:w="94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7840" w:type="dxa"/>
            <w:vAlign w:val="bottom"/>
            <w:tcBorders>
              <w:bottom w:val="single" w:sz="8" w:color="0000EE"/>
            </w:tcBorders>
            <w:gridSpan w:val="20"/>
            <w:shd w:val="clear" w:color="auto" w:fill="CCEEFF"/>
          </w:tcPr>
          <w:p>
            <w:pPr>
              <w:spacing w:after="0" w:line="162" w:lineRule="exact"/>
              <w:rPr>
                <w:sz w:val="20"/>
                <w:szCs w:val="20"/>
                <w:color w:val="auto"/>
              </w:rPr>
            </w:pPr>
            <w:r>
              <w:rPr>
                <w:rFonts w:ascii="Arial" w:cs="Arial" w:eastAsia="Arial" w:hAnsi="Arial"/>
                <w:sz w:val="16"/>
                <w:szCs w:val="16"/>
                <w:color w:val="0000EE"/>
                <w:w w:val="90"/>
              </w:rPr>
              <w:t>Condensed Statements of Changes in Stockholders’ Deficit for the three and nine months ended September 30, 2023 and</w:t>
            </w:r>
          </w:p>
        </w:tc>
        <w:tc>
          <w:tcPr>
            <w:tcW w:w="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900" w:type="dxa"/>
            <w:vAlign w:val="bottom"/>
            <w:gridSpan w:val="21"/>
            <w:shd w:val="clear" w:color="auto" w:fill="CCEEFF"/>
          </w:tcPr>
          <w:p>
            <w:pPr>
              <w:spacing w:after="0" w:line="183" w:lineRule="exact"/>
              <w:rPr>
                <w:sz w:val="20"/>
                <w:szCs w:val="20"/>
                <w:color w:val="auto"/>
              </w:rPr>
            </w:pPr>
            <w:r>
              <w:rPr>
                <w:rFonts w:ascii="Arial" w:cs="Arial" w:eastAsia="Arial" w:hAnsi="Arial"/>
                <w:sz w:val="16"/>
                <w:szCs w:val="16"/>
                <w:color w:val="0000EE"/>
              </w:rPr>
              <w:t>2022 (Unaudited)</w:t>
            </w: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 xml:space="preserve">Condensed </w:t>
            </w:r>
            <w:r>
              <w:rPr>
                <w:rFonts w:ascii="Arial" w:cs="Arial" w:eastAsia="Arial" w:hAnsi="Arial"/>
                <w:sz w:val="16"/>
                <w:szCs w:val="16"/>
                <w:color w:val="0000EE"/>
              </w:rPr>
              <w:t>Statements of Cash Flows for the nine months ended September 30, 2023 and 2022 (Unaudited)</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Notes to Condensed Financial Statements (Unaudited)</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7"/>
              </w:rPr>
              <w:t>Item 2.</w:t>
            </w:r>
          </w:p>
        </w:tc>
        <w:tc>
          <w:tcPr>
            <w:tcW w:w="560" w:type="dxa"/>
            <w:vAlign w:val="bottom"/>
            <w:tcBorders>
              <w:bottom w:val="single" w:sz="8" w:color="CCEEFF"/>
            </w:tcBorders>
            <w:gridSpan w:val="2"/>
            <w:shd w:val="clear" w:color="auto" w:fill="CCEEFF"/>
          </w:tcPr>
          <w:p>
            <w:pPr>
              <w:spacing w:after="0"/>
              <w:rPr>
                <w:sz w:val="15"/>
                <w:szCs w:val="15"/>
                <w:color w:val="auto"/>
              </w:rPr>
            </w:pPr>
          </w:p>
        </w:tc>
        <w:tc>
          <w:tcPr>
            <w:tcW w:w="778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7"/>
              </w:rPr>
              <w:t>MANAGEMENT’S DISCUSSION AND ANALYSIS OF FINANCIAL CONDITION AND RESULTS OF</w:t>
            </w: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900" w:type="dxa"/>
            <w:vAlign w:val="bottom"/>
            <w:gridSpan w:val="21"/>
            <w:shd w:val="clear" w:color="auto" w:fill="CCEEFF"/>
          </w:tcPr>
          <w:p>
            <w:pPr>
              <w:spacing w:after="0" w:line="196" w:lineRule="exact"/>
              <w:rPr>
                <w:sz w:val="20"/>
                <w:szCs w:val="20"/>
                <w:color w:val="auto"/>
              </w:rPr>
            </w:pPr>
            <w:r>
              <w:rPr>
                <w:rFonts w:ascii="Arial" w:cs="Arial" w:eastAsia="Arial" w:hAnsi="Arial"/>
                <w:sz w:val="18"/>
                <w:szCs w:val="18"/>
                <w:color w:val="0000EE"/>
              </w:rPr>
              <w:t>OPERATIONS</w:t>
            </w:r>
          </w:p>
        </w:tc>
        <w:tc>
          <w:tcPr>
            <w:tcW w:w="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3.</w:t>
            </w: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1.</w:t>
            </w: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1A.</w:t>
            </w: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2.</w:t>
            </w: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3.</w:t>
            </w: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5.</w:t>
            </w: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6.</w:t>
            </w:r>
          </w:p>
        </w:tc>
        <w:tc>
          <w:tcPr>
            <w:tcW w:w="79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9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SIGNATURES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2023</w:t>
            </w:r>
          </w:p>
        </w:tc>
        <w:tc>
          <w:tcPr>
            <w:tcW w:w="1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56,665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Investments held in Trust Account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70,796,551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295,802,694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70,853,574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296,011,458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1,185,052</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Franchise tax payable</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 - related party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Income tax payable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952,909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Excise Tax Payable</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2,277,760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4,515,696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10,062,500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10,062,500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14,578,196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11,359,210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Class A common stock subject to possible redemption, 6,630,703 and 28,750,000 shares at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redemption value of $10.65 and $10.25 as of September 30, 2023 and December 31, 2022,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70,583,505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294,796,918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w w:val="96"/>
              </w:rPr>
              <w:t>Preferred stock, $0.0001 par value; 1,000,000 shares authorized; none issued and outstanding</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spacing w:after="0" w:line="201" w:lineRule="exact"/>
              <w:rPr>
                <w:sz w:val="20"/>
                <w:szCs w:val="20"/>
                <w:color w:val="auto"/>
              </w:rPr>
            </w:pPr>
            <w:r>
              <w:rPr>
                <w:rFonts w:ascii="Arial" w:cs="Arial" w:eastAsia="Arial" w:hAnsi="Arial"/>
                <w:sz w:val="18"/>
                <w:szCs w:val="18"/>
                <w:color w:val="auto"/>
                <w:w w:val="97"/>
              </w:rPr>
              <w:t>Class A common stock, $0.0001 par value; 280,000,000 shares authorized; 1,329,500 shares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20"/>
              <w:spacing w:after="0"/>
              <w:rPr>
                <w:sz w:val="20"/>
                <w:szCs w:val="20"/>
                <w:color w:val="auto"/>
              </w:rPr>
            </w:pPr>
            <w:r>
              <w:rPr>
                <w:rFonts w:ascii="Arial" w:cs="Arial" w:eastAsia="Arial" w:hAnsi="Arial"/>
                <w:sz w:val="18"/>
                <w:szCs w:val="18"/>
                <w:color w:val="auto"/>
              </w:rPr>
              <w:t>issued and outstanding (excluding 6,630,703 and 28,750,000 shares subject to possible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120"/>
              <w:spacing w:after="0"/>
              <w:rPr>
                <w:sz w:val="20"/>
                <w:szCs w:val="20"/>
                <w:color w:val="auto"/>
              </w:rPr>
            </w:pPr>
            <w:r>
              <w:rPr>
                <w:rFonts w:ascii="Arial" w:cs="Arial" w:eastAsia="Arial" w:hAnsi="Arial"/>
                <w:sz w:val="18"/>
                <w:szCs w:val="18"/>
                <w:color w:val="auto"/>
              </w:rPr>
              <w:t>redemption) as of September 30, 2023 and December 31, 2022, respectively</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B common stock, $0.0001 par value; 20,000,000 shares authorized; 9,487,500 shares issued</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outstanding as of September 30, 2023 and December 31, 2022</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(14,309,209)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(10,145,752)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Deficit</w:t>
            </w: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(14,308,127)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(10,144,670)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70,853,574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296,011,458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8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08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1,885,697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Franchise Tax Expense</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121,985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294,271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(727,703)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(402,504)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(2,179,968)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(748,860)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income earned on Trust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910,391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1,317,125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4,809,802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1,740,557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other income</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910,391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1,317,125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4,809,802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1,740,557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182,688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914,621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2,629,834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991,697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(179,326)</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(252,738)</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(952,909)</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(333,414)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661,883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1,676,925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658,283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shares outstanding of Class A common stock subject to</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6,630,703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28,750,000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12,059,248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28,750,000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redemption, basic and diluted</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spacing w:after="0" w:line="191" w:lineRule="exact"/>
              <w:rPr>
                <w:sz w:val="20"/>
                <w:szCs w:val="20"/>
                <w:color w:val="auto"/>
              </w:rPr>
            </w:pPr>
            <w:r>
              <w:rPr>
                <w:rFonts w:ascii="Arial" w:cs="Arial" w:eastAsia="Arial" w:hAnsi="Arial"/>
                <w:sz w:val="18"/>
                <w:szCs w:val="18"/>
                <w:b w:val="1"/>
                <w:bCs w:val="1"/>
                <w:color w:val="auto"/>
                <w:w w:val="93"/>
              </w:rPr>
              <w:t>Basic and diluted net income per common stock, Class A subject to</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460" w:type="dxa"/>
            <w:vAlign w:val="bottom"/>
            <w:vMerge w:val="continue"/>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0.00</w:t>
            </w:r>
          </w:p>
        </w:tc>
        <w:tc>
          <w:tcPr>
            <w:tcW w:w="16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0.02</w:t>
            </w:r>
          </w:p>
        </w:tc>
        <w:tc>
          <w:tcPr>
            <w:tcW w:w="16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0.07</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b w:val="1"/>
                <w:bCs w:val="1"/>
                <w:color w:val="auto"/>
              </w:rPr>
              <w:t>redemption</w:t>
            </w:r>
          </w:p>
        </w:tc>
        <w:tc>
          <w:tcPr>
            <w:tcW w:w="120" w:type="dxa"/>
            <w:vAlign w:val="bottom"/>
            <w:tcBorders>
              <w:bottom w:val="single" w:sz="8" w:color="auto"/>
            </w:tcBorders>
            <w:vMerge w:val="continue"/>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6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Weighted average shares outstanding of non-redeemable Class A</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1,329,500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1,329,500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1,329,500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1,329,500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common stock, basic and diluted</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spacing w:after="0" w:line="191" w:lineRule="exact"/>
              <w:rPr>
                <w:sz w:val="20"/>
                <w:szCs w:val="20"/>
                <w:color w:val="auto"/>
              </w:rPr>
            </w:pPr>
            <w:r>
              <w:rPr>
                <w:rFonts w:ascii="Arial" w:cs="Arial" w:eastAsia="Arial" w:hAnsi="Arial"/>
                <w:sz w:val="18"/>
                <w:szCs w:val="18"/>
                <w:b w:val="1"/>
                <w:bCs w:val="1"/>
                <w:color w:val="auto"/>
                <w:w w:val="96"/>
              </w:rPr>
              <w:t>Basic and diluted net income per common stock, non-redeemable</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460" w:type="dxa"/>
            <w:vAlign w:val="bottom"/>
            <w:vMerge w:val="continue"/>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0.00</w:t>
            </w:r>
          </w:p>
        </w:tc>
        <w:tc>
          <w:tcPr>
            <w:tcW w:w="16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0.02</w:t>
            </w:r>
          </w:p>
        </w:tc>
        <w:tc>
          <w:tcPr>
            <w:tcW w:w="16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0.07</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b w:val="1"/>
                <w:bCs w:val="1"/>
                <w:color w:val="auto"/>
              </w:rPr>
              <w:t>Class A</w:t>
            </w:r>
          </w:p>
        </w:tc>
        <w:tc>
          <w:tcPr>
            <w:tcW w:w="120" w:type="dxa"/>
            <w:vAlign w:val="bottom"/>
            <w:tcBorders>
              <w:bottom w:val="single" w:sz="8" w:color="auto"/>
            </w:tcBorders>
            <w:vMerge w:val="continue"/>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6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Weighted average shares outstanding of Class B common stock, basic</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9,487,500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9,487,500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9,487,500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9,487,500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and diluted</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income per Class B common stock</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0.02</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0.07</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NINE MONTHS ENDED SEPTEMBER 30,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5"/>
          </w:tcPr>
          <w:p>
            <w:pPr>
              <w:jc w:val="center"/>
              <w:ind w:left="268"/>
              <w:spacing w:after="0"/>
              <w:rPr>
                <w:sz w:val="20"/>
                <w:szCs w:val="20"/>
                <w:color w:val="auto"/>
              </w:rPr>
            </w:pPr>
            <w:r>
              <w:rPr>
                <w:rFonts w:ascii="Arial" w:cs="Arial" w:eastAsia="Arial" w:hAnsi="Arial"/>
                <w:sz w:val="14"/>
                <w:szCs w:val="14"/>
                <w:b w:val="1"/>
                <w:bCs w:val="1"/>
                <w:color w:val="auto"/>
                <w:w w:val="89"/>
              </w:rPr>
              <w:t>Class A</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5"/>
          </w:tcPr>
          <w:p>
            <w:pPr>
              <w:jc w:val="center"/>
              <w:ind w:left="248"/>
              <w:spacing w:after="0"/>
              <w:rPr>
                <w:sz w:val="20"/>
                <w:szCs w:val="20"/>
                <w:color w:val="auto"/>
              </w:rPr>
            </w:pPr>
            <w:r>
              <w:rPr>
                <w:rFonts w:ascii="Arial" w:cs="Arial" w:eastAsia="Arial" w:hAnsi="Arial"/>
                <w:sz w:val="14"/>
                <w:szCs w:val="14"/>
                <w:b w:val="1"/>
                <w:bCs w:val="1"/>
                <w:color w:val="auto"/>
                <w:w w:val="89"/>
              </w:rPr>
              <w:t>Class B</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5"/>
          </w:tcPr>
          <w:p>
            <w:pP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102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1"/>
              </w:rPr>
              <w:t>Common Stock</w:t>
            </w:r>
          </w:p>
        </w:tc>
        <w:tc>
          <w:tcPr>
            <w:tcW w:w="40" w:type="dxa"/>
            <w:vAlign w:val="bottom"/>
          </w:tcPr>
          <w:p>
            <w:pPr>
              <w:spacing w:after="0"/>
              <w:rPr>
                <w:sz w:val="14"/>
                <w:szCs w:val="14"/>
                <w:color w:val="auto"/>
              </w:rPr>
            </w:pPr>
          </w:p>
        </w:tc>
        <w:tc>
          <w:tcPr>
            <w:tcW w:w="158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1"/>
              </w:rPr>
              <w:t>Common Stock</w:t>
            </w:r>
          </w:p>
        </w:tc>
        <w:tc>
          <w:tcPr>
            <w:tcW w:w="40" w:type="dxa"/>
            <w:vAlign w:val="bottom"/>
          </w:tcPr>
          <w:p>
            <w:pPr>
              <w:spacing w:after="0"/>
              <w:rPr>
                <w:sz w:val="14"/>
                <w:szCs w:val="14"/>
                <w:color w:val="auto"/>
              </w:rPr>
            </w:pPr>
          </w:p>
        </w:tc>
        <w:tc>
          <w:tcPr>
            <w:tcW w:w="700" w:type="dxa"/>
            <w:vAlign w:val="bottom"/>
            <w:gridSpan w:val="4"/>
          </w:tcPr>
          <w:p>
            <w:pPr>
              <w:ind w:left="6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56"/>
        </w:trPr>
        <w:tc>
          <w:tcPr>
            <w:tcW w:w="40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as of January 1, 2023</w:t>
            </w:r>
          </w:p>
        </w:tc>
        <w:tc>
          <w:tcPr>
            <w:tcW w:w="66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6"/>
              </w:rPr>
              <w:t>1,329,500</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133</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6"/>
              </w:rPr>
              <w:t>9,487,500</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gridSpan w:val="2"/>
            <w:shd w:val="clear" w:color="auto" w:fill="CCEEFF"/>
          </w:tcPr>
          <w:p>
            <w:pPr>
              <w:jc w:val="right"/>
              <w:ind w:right="158"/>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949</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shd w:val="clear" w:color="auto" w:fill="CCEEFF"/>
          </w:tcPr>
          <w:p>
            <w:pPr>
              <w:ind w:left="300"/>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4"/>
              </w:rPr>
              <w:t>$ (10,145,752)</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4"/>
              </w:rPr>
              <w:t>$ (10,144,670)</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Stockholder Non-Redemption Agreement</w:t>
            </w:r>
          </w:p>
        </w:tc>
        <w:tc>
          <w:tcPr>
            <w:tcW w:w="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8,758,683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8,758,683</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 Non-Redemption Agreement</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(8,758,683)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(8,758,683)</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Excise tax liability arising from redemption of Class A shares</w:t>
            </w:r>
          </w:p>
        </w:tc>
        <w:tc>
          <w:tcPr>
            <w:tcW w:w="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(2,277,760)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(2,277,760)</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for common stock subject to redemption amount</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(2,276,329)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(2,276,329)</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1,574,791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1,574,791</w:t>
            </w:r>
          </w:p>
        </w:tc>
        <w:tc>
          <w:tcPr>
            <w:tcW w:w="0" w:type="dxa"/>
            <w:vAlign w:val="bottom"/>
          </w:tcPr>
          <w:p>
            <w:pPr>
              <w:spacing w:after="0"/>
              <w:rPr>
                <w:sz w:val="1"/>
                <w:szCs w:val="1"/>
                <w:color w:val="auto"/>
              </w:rPr>
            </w:pPr>
          </w:p>
        </w:tc>
      </w:tr>
      <w:tr>
        <w:trPr>
          <w:trHeight w:val="142"/>
        </w:trPr>
        <w:tc>
          <w:tcPr>
            <w:tcW w:w="40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March 31, 2023</w:t>
            </w: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1,329,500</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133</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9,487,500</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gridSpan w:val="2"/>
            <w:shd w:val="clear" w:color="auto" w:fill="CCEEFF"/>
          </w:tcPr>
          <w:p>
            <w:pPr>
              <w:jc w:val="right"/>
              <w:ind w:right="158"/>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949</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 (13,125,050)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 (13,123,968)</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Accretion for common stock subject to redemption amount</w:t>
            </w:r>
          </w:p>
        </w:tc>
        <w:tc>
          <w:tcPr>
            <w:tcW w:w="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(605,227)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(605,227)</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98,772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98,772</w:t>
            </w:r>
          </w:p>
        </w:tc>
        <w:tc>
          <w:tcPr>
            <w:tcW w:w="0" w:type="dxa"/>
            <w:vAlign w:val="bottom"/>
          </w:tcPr>
          <w:p>
            <w:pPr>
              <w:spacing w:after="0"/>
              <w:rPr>
                <w:sz w:val="1"/>
                <w:szCs w:val="1"/>
                <w:color w:val="auto"/>
              </w:rPr>
            </w:pPr>
          </w:p>
        </w:tc>
      </w:tr>
      <w:tr>
        <w:trPr>
          <w:trHeight w:val="142"/>
        </w:trPr>
        <w:tc>
          <w:tcPr>
            <w:tcW w:w="400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as of June 30, 2023</w:t>
            </w: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1,329,500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gridSpan w:val="2"/>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9,487,500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gridSpan w:val="2"/>
          </w:tcPr>
          <w:p>
            <w:pPr>
              <w:jc w:val="right"/>
              <w:ind w:right="158"/>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949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4"/>
              </w:rPr>
              <w:t>$ (13,631,505)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4"/>
              </w:rPr>
              <w:t>$ (13,630,423)</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for common stock subject to redemption amount</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(681,066)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(681,066)</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3,362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3,362</w:t>
            </w:r>
          </w:p>
        </w:tc>
        <w:tc>
          <w:tcPr>
            <w:tcW w:w="0" w:type="dxa"/>
            <w:vAlign w:val="bottom"/>
          </w:tcPr>
          <w:p>
            <w:pPr>
              <w:spacing w:after="0"/>
              <w:rPr>
                <w:sz w:val="1"/>
                <w:szCs w:val="1"/>
                <w:color w:val="auto"/>
              </w:rPr>
            </w:pPr>
          </w:p>
        </w:tc>
      </w:tr>
      <w:tr>
        <w:trPr>
          <w:trHeight w:val="142"/>
        </w:trPr>
        <w:tc>
          <w:tcPr>
            <w:tcW w:w="40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September 30, 2023</w:t>
            </w:r>
          </w:p>
        </w:tc>
        <w:tc>
          <w:tcPr>
            <w:tcW w:w="6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1,329,500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133</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9,487,500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gridSpan w:val="2"/>
            <w:shd w:val="clear" w:color="auto" w:fill="CCEEFF"/>
          </w:tcPr>
          <w:p>
            <w:pPr>
              <w:jc w:val="right"/>
              <w:ind w:right="158"/>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949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 (14,309,209)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 (14,308,127)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980" w:type="dxa"/>
            <w:vAlign w:val="bottom"/>
            <w:gridSpan w:val="24"/>
          </w:tcPr>
          <w:p>
            <w:pPr>
              <w:ind w:left="2380"/>
              <w:spacing w:after="0"/>
              <w:rPr>
                <w:sz w:val="20"/>
                <w:szCs w:val="20"/>
                <w:color w:val="auto"/>
              </w:rPr>
            </w:pPr>
            <w:r>
              <w:rPr>
                <w:rFonts w:ascii="Arial" w:cs="Arial" w:eastAsia="Arial" w:hAnsi="Arial"/>
                <w:sz w:val="16"/>
                <w:szCs w:val="16"/>
                <w:b w:val="1"/>
                <w:bCs w:val="1"/>
                <w:color w:val="auto"/>
              </w:rPr>
              <w:t>FOR THE THREE AND NINE MONTHS ENDED SEPTEMBER 30, 2022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5"/>
          </w:tcPr>
          <w:p>
            <w:pPr>
              <w:jc w:val="center"/>
              <w:ind w:left="328"/>
              <w:spacing w:after="0"/>
              <w:rPr>
                <w:sz w:val="20"/>
                <w:szCs w:val="20"/>
                <w:color w:val="auto"/>
              </w:rPr>
            </w:pPr>
            <w:r>
              <w:rPr>
                <w:rFonts w:ascii="Arial" w:cs="Arial" w:eastAsia="Arial" w:hAnsi="Arial"/>
                <w:sz w:val="14"/>
                <w:szCs w:val="14"/>
                <w:b w:val="1"/>
                <w:bCs w:val="1"/>
                <w:color w:val="auto"/>
                <w:w w:val="93"/>
              </w:rPr>
              <w:t>Class A</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5"/>
          </w:tcPr>
          <w:p>
            <w:pPr>
              <w:jc w:val="center"/>
              <w:ind w:left="328"/>
              <w:spacing w:after="0"/>
              <w:rPr>
                <w:sz w:val="20"/>
                <w:szCs w:val="20"/>
                <w:color w:val="auto"/>
              </w:rPr>
            </w:pPr>
            <w:r>
              <w:rPr>
                <w:rFonts w:ascii="Arial" w:cs="Arial" w:eastAsia="Arial" w:hAnsi="Arial"/>
                <w:sz w:val="14"/>
                <w:szCs w:val="14"/>
                <w:b w:val="1"/>
                <w:bCs w:val="1"/>
                <w:color w:val="auto"/>
                <w:w w:val="89"/>
              </w:rPr>
              <w:t>Class B</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w w:val="99"/>
              </w:rPr>
              <w:t>Additional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3"/>
              </w:rPr>
              <w:t>Common Stock</w:t>
            </w:r>
          </w:p>
        </w:tc>
        <w:tc>
          <w:tcPr>
            <w:tcW w:w="40" w:type="dxa"/>
            <w:vAlign w:val="bottom"/>
          </w:tcPr>
          <w:p>
            <w:pPr>
              <w:spacing w:after="0"/>
              <w:rPr>
                <w:sz w:val="14"/>
                <w:szCs w:val="14"/>
                <w:color w:val="auto"/>
              </w:rPr>
            </w:pPr>
          </w:p>
        </w:tc>
        <w:tc>
          <w:tcPr>
            <w:tcW w:w="158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42"/>
        </w:trPr>
        <w:tc>
          <w:tcPr>
            <w:tcW w:w="40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2021</w:t>
            </w: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1,329,500</w:t>
            </w: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133</w:t>
            </w: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9,487,500</w:t>
            </w: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949</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gridSpan w:val="2"/>
            <w:shd w:val="clear" w:color="auto" w:fill="CCEEFF"/>
          </w:tcPr>
          <w:p>
            <w:pPr>
              <w:ind w:left="36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97"/>
              </w:rPr>
              <w:t>(8,834,941)</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(8,833,859)</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(96,922)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(96,922)</w:t>
            </w:r>
          </w:p>
        </w:tc>
        <w:tc>
          <w:tcPr>
            <w:tcW w:w="0" w:type="dxa"/>
            <w:vAlign w:val="bottom"/>
          </w:tcPr>
          <w:p>
            <w:pPr>
              <w:spacing w:after="0"/>
              <w:rPr>
                <w:sz w:val="1"/>
                <w:szCs w:val="1"/>
                <w:color w:val="auto"/>
              </w:rPr>
            </w:pPr>
          </w:p>
        </w:tc>
      </w:tr>
      <w:tr>
        <w:trPr>
          <w:trHeight w:val="142"/>
        </w:trPr>
        <w:tc>
          <w:tcPr>
            <w:tcW w:w="40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March 31, 2022</w:t>
            </w: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1,329,500</w:t>
            </w: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133</w:t>
            </w: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9,487,500</w:t>
            </w: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949</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gridSpan w:val="2"/>
            <w:shd w:val="clear" w:color="auto" w:fill="CCEEFF"/>
          </w:tcPr>
          <w:p>
            <w:pPr>
              <w:ind w:left="36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97"/>
              </w:rPr>
              <w:t>(8,931,863)</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(8,930,781)</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Accretion for common stock subject to redemption amount</w:t>
            </w:r>
          </w:p>
        </w:tc>
        <w:tc>
          <w:tcPr>
            <w:tcW w:w="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(301,602)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(301,602)</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93,322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93,322</w:t>
            </w:r>
          </w:p>
        </w:tc>
        <w:tc>
          <w:tcPr>
            <w:tcW w:w="0" w:type="dxa"/>
            <w:vAlign w:val="bottom"/>
          </w:tcPr>
          <w:p>
            <w:pPr>
              <w:spacing w:after="0"/>
              <w:rPr>
                <w:sz w:val="1"/>
                <w:szCs w:val="1"/>
                <w:color w:val="auto"/>
              </w:rPr>
            </w:pPr>
          </w:p>
        </w:tc>
      </w:tr>
      <w:tr>
        <w:trPr>
          <w:trHeight w:val="142"/>
        </w:trPr>
        <w:tc>
          <w:tcPr>
            <w:tcW w:w="400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as of June 30, 2022</w:t>
            </w: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1,329,500</w:t>
            </w: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133</w:t>
            </w: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9,487,500</w:t>
            </w: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949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36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7"/>
              </w:rPr>
              <w:t>(9,140,143)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(9,139,061)</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for common stock subject to redemption amount</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(942,422)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(942,422)</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661,883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661,883</w:t>
            </w:r>
          </w:p>
        </w:tc>
        <w:tc>
          <w:tcPr>
            <w:tcW w:w="0" w:type="dxa"/>
            <w:vAlign w:val="bottom"/>
          </w:tcPr>
          <w:p>
            <w:pPr>
              <w:spacing w:after="0"/>
              <w:rPr>
                <w:sz w:val="1"/>
                <w:szCs w:val="1"/>
                <w:color w:val="auto"/>
              </w:rPr>
            </w:pPr>
          </w:p>
        </w:tc>
      </w:tr>
      <w:tr>
        <w:trPr>
          <w:trHeight w:val="142"/>
        </w:trPr>
        <w:tc>
          <w:tcPr>
            <w:tcW w:w="40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September 30, 2022</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1,329,500</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133</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9,487,500</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949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gridSpan w:val="2"/>
            <w:shd w:val="clear" w:color="auto" w:fill="CCEEFF"/>
          </w:tcPr>
          <w:p>
            <w:pPr>
              <w:ind w:left="36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97"/>
              </w:rPr>
              <w:t>(9,420,682)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(9,419,600)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1,676,925</w:t>
            </w:r>
          </w:p>
        </w:tc>
        <w:tc>
          <w:tcPr>
            <w:tcW w:w="10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658,283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Arial" w:cs="Arial" w:eastAsia="Arial" w:hAnsi="Arial"/>
                <w:sz w:val="18"/>
                <w:szCs w:val="18"/>
                <w:color w:val="auto"/>
              </w:rPr>
              <w:t>Interest earned on cash and investments held in Trust Account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(4,809,802)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(1,740,557)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current assets and liabilities: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129,867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Due to related party</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Franchise tax payable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 payable</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161,151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(2,161,759)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(914,454)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Cash withdrawn from Trust Account to pay franchise and income taxes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2,039,910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withdrawn from Trust Account in connection with redemptions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227,776,035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229,815,945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 of note payable-related party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Arial" w:cs="Arial" w:eastAsia="Arial" w:hAnsi="Arial"/>
                <w:sz w:val="18"/>
                <w:szCs w:val="18"/>
                <w:color w:val="auto"/>
              </w:rPr>
              <w:t>Redemption of Common Stock</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(227,776,035)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(227,676,060)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(21,874)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(1,059,200)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beginning of the period</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end of the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Excise tax liability arising from redemption of Class A shares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2,277,760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Accretion of Class A common stock subject to possible redemption</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3,562,622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1,244,024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Business Operation, 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Combination”).The Company is an emerging growth company and, as such, the Company is subject to all of the risks associated with emerging growth companies.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2023, the Company had not commenced any operations. All activity for the period from March 2, 2021 (inception) through September 30, 2023 relates to the Company’s formation and the Initial Public Offering (the “IPO”).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sponsor is BurTech LP LLC, (the “Sponsor”).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Transaction costs amounted to $16,919,619 consisting of $2,875,000 of underwriting commissions, $10,062,500 of deferred underwriting commissions, $3,456,652 fair value of class A shares issued to the underwriters and $525,467 of other offering costs. In addition, $1,539,541 of cash was held outside of the Trust Account (as defined below) and is available for working capital purposes.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Following the closing of the IPO on December 15, 2021, $291,812,500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second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w:t>
      </w:r>
    </w:p>
    <w:p>
      <w:pPr>
        <w:spacing w:after="0" w:line="18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will have only 15 months from the closing of the IPO (the “Combination Period”) to complete the initial Business Combination.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w:t>
      </w:r>
    </w:p>
    <w:p>
      <w:pPr>
        <w:spacing w:after="0" w:line="5" w:lineRule="exact"/>
        <w:rPr>
          <w:sz w:val="20"/>
          <w:szCs w:val="20"/>
          <w:color w:val="auto"/>
        </w:rPr>
      </w:pPr>
    </w:p>
    <w:p>
      <w:pPr>
        <w:jc w:val="both"/>
        <w:ind w:firstLine="8"/>
        <w:spacing w:after="0" w:line="255" w:lineRule="auto"/>
        <w:tabs>
          <w:tab w:leader="none" w:pos="322" w:val="left"/>
        </w:tabs>
        <w:numPr>
          <w:ilvl w:val="0"/>
          <w:numId w:val="3"/>
        </w:numPr>
        <w:rPr>
          <w:rFonts w:ascii="Arial" w:cs="Arial" w:eastAsia="Arial" w:hAnsi="Arial"/>
          <w:sz w:val="18"/>
          <w:szCs w:val="18"/>
          <w:color w:val="auto"/>
        </w:rPr>
      </w:pPr>
      <w:r>
        <w:rPr>
          <w:rFonts w:ascii="Arial" w:cs="Arial" w:eastAsia="Arial" w:hAnsi="Arial"/>
          <w:sz w:val="18"/>
          <w:szCs w:val="18"/>
          <w:color w:val="auto"/>
        </w:rPr>
        <w:t>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24, 2023, the Company issued a press release stating that it has entered into a non-binding letter of intent for a potential business combination with CleanBay Renewables Inc., a late-stage enviro-tech company focused on the production of sustainable renewable natural gas, green hydrogen and natural controlled-release fertilizer.</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On June 30, 2023, the Company’s non-binding letter of intent for a potential business combination with CleanBay Renewables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expired. Following thorough initial negotiations, the Company has chosen not to pursue the business combination.</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10, 2023, the Company and Sponsor entered into a non-redemption agreements (“Non-Redemption Agreements”) with one or more unaffiliated third party or parties in exchange for such third party or third parties agreeing not to redeem up to an aggregate of 4,597,648 shares of the Company’s Class A common stock sold in its initial public offering (“Non-Redeemed Shares”) in connection with the special meeting of the stockholders called by the Company (the “Special Meeting”), In exchange for the foregoing commitments not to redeem such Non-Redeemed Shares, the Sponsor has agreed to transfer to such third party or third parties up to an aggregate of 1,274,412 shares of the Company’s Class B common stock held by the Sponsor immediately following the consummation of an initial business combination if they continue to hold such Non-Redeemed Shares through the Special Meeting. During the Special Meeting the Shareholders approved an extension of time for the Company to consummate an initial business combination from March 15, 2023 to December 15, 2023 (the “Extension”), and to amend the Trust Management Agreement with Continental Stock &amp; Transfer Company, dated as of December 10, 2021.</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stockholders redeemed 22,119,297 shares. As a result, approximately $227.8 million (approximately $10.30 per share) was removed from the Company’s trust account to pay such holders. Following redemptions, the Company will have 6,630,703 shares of Class A common stock outstanding, and approximately $68.0 million will remain in the Company’s trust account.</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Company has agreed that funds held in the Company’s trust account, including any interest thereon, will not be used to pay for any excise tax liabilities with respect to any future redemptions prior to or in connection with the Extension, an initial business combination or the liquidation of the Company. The Sponsor of the Company will pay the excise tax when it becomes due.</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second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 (iii) 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September 30, 2023, the Company had $358 in its operating bank accounts, $70,796,551 in investments held in the Trust Account to be used for a Business Combination or to repurchase or redeem its Public Shares in connection therewith and working capital deficit of $4,458,673. As of September 30, 2023, $3,494,914 of the amount on deposit in the Trust Account represented interest income.</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liquidity needs up to September 30, 2023 had been satisfied through a payment from our sponsor of $25,000 for the Founder Shares to cover certain offering costs, the loan under an unsecured promissory note from the Sponsor of $144,746 and the net proceeds from the consummation of the Initial Public Offering held outside of the trust account. As of September 30, 2023, the Company had $99,975 outstanding under a Working Capital Loans. As of December 31, 2022, no working capital loans were outstanding. The Company has withdrawn $2,039,910 from the trust fund to pay its outstanding tax liabilities.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less than 7 months from its mandatory liquidation as of the time of filing this Quarterly Report on Form 10-Q. 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condensed financial statements are issued.</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conditions raise substantial doubt about the Company’s ability to continue as a going concern. These unaudited condensed financial statements do not include any adjustments relating to the recovery of the recorded assets or the classification of the liabilities that might be necessary should the Company be unable to continue as a going concern.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results of operations and ability to complete an initial business combination may be adversely affected by various factors that could cause economic uncertainty and volatility in the financial markets, many of which are beyond the Company’s control. The Company’s business could be impacted by, among other things, downturns in the financial markets or in economic conditions, increases in oil prices, inflation, increases in interest rates, supply chain disruptions, declines in consumer confidence and spending, the ongoing effects of the COVID-19 pandemic, including reassurance and the emergence of new variants, and geopolitical instability, such as the military conflict in the Ukraine. The Company cannot at this time fully predict the likelihood of one or more of the above events, their duration or magnitude or the extent to which they may negatively impact our business and the Company’s ability to complete an initial business combination.</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condensed financial statements are presented in U.S. dollars in conformity with accounting principles generally accepted in the United States of America (“U.S. GAAP”) for financial information and pursuant to the rules and regulations of the Securities and Exchange Commission (“SEC”). Accordingly, they do not include all of the information and footnotes required by U.S. GAAP. In the opinion of management, the unaudited condensed financial statements reflect all adjustments, which include only normal recurring adjustments necessary for the fair statement of the balances and results for the periods presented. The interim results for the three and nine months ended September 30, 2023 are not necessarily indicative of the results to be expected for the year ending December 31, 2023 or for any future interim periods.</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accompanying unaudited condensed financial statements should be read in conjunction with the audited financial statements and notes thereto included in the Company’s Annual Report on Form 10-K as of and for the year ended December 31,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preparation of the unaudited condensed financial statements in conformity with GAAP requires the Company’s management to make estimates and assumptions that affect the reported amounts of assets and liabilities and disclosure of contingent assets and liabilities at the date of the unaudited condensed financial statements and the reported amounts of revenues and expenses during the reporting period.</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unaudited condensed financial statements, which management considered in formulating its estimate, could change in the near term due to one or more future confirming events. One of the more significant accounting estimates included in these unaudited condensed financial statements is the determination of fair value of the warrant liabilities. Such estimates may be subject to change as more current information becomes available and accordingly, the actual results could differ significantly from those estimates.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As of September 30, 2023 and December 31, 2022, the Company had $358 and $22,232 in cash, respectively, and no cash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Held in Trust Account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September 30, 2023 and December 31, 2022, the Company had $70,796,551 and $295,802,694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The estimated fair values of investments held in the Trust Account are determined using available market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accounts for its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to be outside of the Company’s control and subject to the occurrence of uncertain future events. Accordingly, as of September 30, 2023 and December 31, 2022, 6,630,703 and 28,750,000 Class A common stock subject to possible redemption are presented at redemption value as temporary equity, outside of the stockholders’ deficit section of the Company’s balance sheets, respectively.</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 associated with the Initial Public Offering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complies with the requirements of ASC 340-10-S99-1, SEC Staff Accounting bulletin Topic 5A – “Expenses of Offering”, and SEC Staff Accounting bulletin Topic 5T – “Accounting for Expenses 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 as a result of the IPO (consisting of $2,875,000 of underwriting fees, $10,062,500 of deferred underwriting fees, $3,456,652 fair value of the Class A common stock issued to the underwriters and $525,467 of other offering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income taxes under ASC 740, “Income Taxes.” ASC 740, Income Taxes, requires the recognition of deferred tax assets and liabilities for both the expected impact of differences between the unaudited condensed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September 30, 2023 and December 31, 2022, the Company’s deferred tax asset had a full valuation allowance recorded against it.</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effective tax rate was 98.16% and 27.63% for the three months ended September 30, 2023 and 2022, respectively, and 36.23% and 33.62% for the nine months ended September 30, 2023 and 2022, respectively. The effective tax rate differs from the statutory tax rate of 21% due to the valuation allowance on the deferred tax assets and deductibility of penalties on tax obligations.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accrued interest and penalties related to unrecognized tax benefits as income tax expense. There were no unrecognized tax benefits and no amounts accrued for interest and penalties as of September 30, 2023 and December 31, 2022. The Company is currently not aware of any issues under review that could result in significant payments, accruals or material deviation from its position.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Common Stock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two classes of shares, which are referred to as Class A common stock and Class B common stock. Earnings and losses are shared pro rata between the two classes of shares. The 29,648,250 potential common stocks for outstanding warrants to purchase the Company’s shares were excluded from diluted earnings per share for the three and nine months ended September 30, 2023 and 2022 because the warrants are contingently exercisable, and the contingencies have not yet been met and its inclusion would be anti- dilutive. As a result, diluted net income per common stock is the same as basic net income per common stock for the periods. The table below presents a reconciliation of the numerator and denominator used to compute basic and diluted net income per share for each class of common stock:</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40" w:type="dxa"/>
            <w:vAlign w:val="bottom"/>
            <w:gridSpan w:val="10"/>
          </w:tcPr>
          <w:p>
            <w:pPr>
              <w:jc w:val="center"/>
              <w:ind w:right="2"/>
              <w:spacing w:after="0"/>
              <w:rPr>
                <w:sz w:val="20"/>
                <w:szCs w:val="20"/>
                <w:color w:val="auto"/>
              </w:rPr>
            </w:pPr>
            <w:r>
              <w:rPr>
                <w:rFonts w:ascii="Arial" w:cs="Arial" w:eastAsia="Arial" w:hAnsi="Arial"/>
                <w:sz w:val="12"/>
                <w:szCs w:val="12"/>
                <w:b w:val="1"/>
                <w:bCs w:val="1"/>
                <w:color w:val="auto"/>
                <w:w w:val="88"/>
              </w:rPr>
              <w:t>For the three-month period ended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80" w:type="dxa"/>
            <w:vAlign w:val="bottom"/>
            <w:gridSpan w:val="10"/>
          </w:tcPr>
          <w:p>
            <w:pPr>
              <w:ind w:left="460"/>
              <w:spacing w:after="0"/>
              <w:rPr>
                <w:sz w:val="20"/>
                <w:szCs w:val="20"/>
                <w:color w:val="auto"/>
              </w:rPr>
            </w:pPr>
            <w:r>
              <w:rPr>
                <w:rFonts w:ascii="Arial" w:cs="Arial" w:eastAsia="Arial" w:hAnsi="Arial"/>
                <w:sz w:val="12"/>
                <w:szCs w:val="12"/>
                <w:b w:val="1"/>
                <w:bCs w:val="1"/>
                <w:color w:val="auto"/>
              </w:rPr>
              <w:t>For the three-month period ended</w:t>
            </w:r>
          </w:p>
        </w:tc>
      </w:tr>
      <w:tr>
        <w:trPr>
          <w:trHeight w:val="143"/>
        </w:trPr>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6"/>
          </w:tcPr>
          <w:p>
            <w:pPr>
              <w:jc w:val="center"/>
              <w:ind w:left="42"/>
              <w:spacing w:after="0"/>
              <w:rPr>
                <w:sz w:val="20"/>
                <w:szCs w:val="20"/>
                <w:color w:val="auto"/>
              </w:rPr>
            </w:pPr>
            <w:r>
              <w:rPr>
                <w:rFonts w:ascii="Arial" w:cs="Arial" w:eastAsia="Arial" w:hAnsi="Arial"/>
                <w:sz w:val="12"/>
                <w:szCs w:val="12"/>
                <w:b w:val="1"/>
                <w:bCs w:val="1"/>
                <w:color w:val="auto"/>
                <w:w w:val="87"/>
              </w:rPr>
              <w:t>September 30, 2023</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7"/>
          </w:tcPr>
          <w:p>
            <w:pPr>
              <w:spacing w:after="0"/>
              <w:rPr>
                <w:sz w:val="20"/>
                <w:szCs w:val="20"/>
                <w:color w:val="auto"/>
              </w:rPr>
            </w:pPr>
            <w:r>
              <w:rPr>
                <w:rFonts w:ascii="Arial" w:cs="Arial" w:eastAsia="Arial" w:hAnsi="Arial"/>
                <w:sz w:val="12"/>
                <w:szCs w:val="12"/>
                <w:b w:val="1"/>
                <w:bCs w:val="1"/>
                <w:color w:val="auto"/>
                <w:w w:val="92"/>
              </w:rPr>
              <w:t>September 30, 2022</w:t>
            </w:r>
          </w:p>
        </w:tc>
        <w:tc>
          <w:tcPr>
            <w:tcW w:w="800" w:type="dxa"/>
            <w:vAlign w:val="bottom"/>
            <w:tcBorders>
              <w:bottom w:val="single" w:sz="8" w:color="auto"/>
            </w:tcBorders>
          </w:tcPr>
          <w:p>
            <w:pPr>
              <w:spacing w:after="0"/>
              <w:rPr>
                <w:sz w:val="12"/>
                <w:szCs w:val="12"/>
                <w:color w:val="auto"/>
              </w:rPr>
            </w:pPr>
          </w:p>
        </w:tc>
      </w:tr>
      <w:tr>
        <w:trPr>
          <w:trHeight w:val="128"/>
        </w:trPr>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jc w:val="right"/>
              <w:ind w:right="22"/>
              <w:spacing w:after="0" w:line="129" w:lineRule="exact"/>
              <w:rPr>
                <w:sz w:val="20"/>
                <w:szCs w:val="20"/>
                <w:color w:val="auto"/>
              </w:rPr>
            </w:pPr>
            <w:r>
              <w:rPr>
                <w:rFonts w:ascii="Arial" w:cs="Arial" w:eastAsia="Arial" w:hAnsi="Arial"/>
                <w:sz w:val="12"/>
                <w:szCs w:val="12"/>
                <w:b w:val="1"/>
                <w:bCs w:val="1"/>
                <w:color w:val="auto"/>
              </w:rPr>
              <w:t>Class A</w:t>
            </w: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62"/>
              <w:spacing w:after="0" w:line="129" w:lineRule="exact"/>
              <w:rPr>
                <w:sz w:val="20"/>
                <w:szCs w:val="20"/>
                <w:color w:val="auto"/>
              </w:rPr>
            </w:pPr>
            <w:r>
              <w:rPr>
                <w:rFonts w:ascii="Arial" w:cs="Arial" w:eastAsia="Arial" w:hAnsi="Arial"/>
                <w:sz w:val="12"/>
                <w:szCs w:val="12"/>
                <w:b w:val="1"/>
                <w:bCs w:val="1"/>
                <w:color w:val="auto"/>
                <w:w w:val="86"/>
              </w:rPr>
              <w:t>Class B</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ind w:left="620"/>
              <w:spacing w:after="0" w:line="129" w:lineRule="exact"/>
              <w:rPr>
                <w:sz w:val="20"/>
                <w:szCs w:val="20"/>
                <w:color w:val="auto"/>
              </w:rPr>
            </w:pPr>
            <w:r>
              <w:rPr>
                <w:rFonts w:ascii="Arial" w:cs="Arial" w:eastAsia="Arial" w:hAnsi="Arial"/>
                <w:sz w:val="12"/>
                <w:szCs w:val="12"/>
                <w:b w:val="1"/>
                <w:bCs w:val="1"/>
                <w:color w:val="auto"/>
                <w:w w:val="99"/>
              </w:rPr>
              <w:t>Class A</w:t>
            </w: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2"/>
              <w:spacing w:after="0" w:line="129" w:lineRule="exact"/>
              <w:rPr>
                <w:sz w:val="20"/>
                <w:szCs w:val="20"/>
                <w:color w:val="auto"/>
              </w:rPr>
            </w:pPr>
            <w:r>
              <w:rPr>
                <w:rFonts w:ascii="Arial" w:cs="Arial" w:eastAsia="Arial" w:hAnsi="Arial"/>
                <w:sz w:val="12"/>
                <w:szCs w:val="12"/>
                <w:b w:val="1"/>
                <w:bCs w:val="1"/>
                <w:color w:val="auto"/>
                <w:w w:val="86"/>
              </w:rPr>
              <w:t>Class B</w:t>
            </w:r>
          </w:p>
        </w:tc>
      </w:tr>
      <w:tr>
        <w:trPr>
          <w:trHeight w:val="120"/>
        </w:trPr>
        <w:tc>
          <w:tcPr>
            <w:tcW w:w="4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center"/>
              <w:ind w:right="2"/>
              <w:spacing w:after="0" w:line="121" w:lineRule="exact"/>
              <w:rPr>
                <w:sz w:val="20"/>
                <w:szCs w:val="20"/>
                <w:color w:val="auto"/>
              </w:rPr>
            </w:pPr>
            <w:r>
              <w:rPr>
                <w:rFonts w:ascii="Arial" w:cs="Arial" w:eastAsia="Arial" w:hAnsi="Arial"/>
                <w:sz w:val="12"/>
                <w:szCs w:val="12"/>
                <w:b w:val="1"/>
                <w:bCs w:val="1"/>
                <w:color w:val="auto"/>
                <w:w w:val="84"/>
              </w:rPr>
              <w:t>Redeemable</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3"/>
          </w:tcPr>
          <w:p>
            <w:pPr>
              <w:jc w:val="center"/>
              <w:ind w:right="20"/>
              <w:spacing w:after="0" w:line="121" w:lineRule="exact"/>
              <w:rPr>
                <w:sz w:val="20"/>
                <w:szCs w:val="20"/>
                <w:color w:val="auto"/>
              </w:rPr>
            </w:pPr>
            <w:r>
              <w:rPr>
                <w:rFonts w:ascii="Arial" w:cs="Arial" w:eastAsia="Arial" w:hAnsi="Arial"/>
                <w:sz w:val="12"/>
                <w:szCs w:val="12"/>
                <w:b w:val="1"/>
                <w:bCs w:val="1"/>
                <w:color w:val="auto"/>
                <w:w w:val="87"/>
              </w:rPr>
              <w:t>Non-redeemable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tcPr>
          <w:p>
            <w:pPr>
              <w:jc w:val="center"/>
              <w:spacing w:after="0" w:line="121" w:lineRule="exact"/>
              <w:rPr>
                <w:sz w:val="20"/>
                <w:szCs w:val="20"/>
                <w:color w:val="auto"/>
              </w:rPr>
            </w:pPr>
            <w:r>
              <w:rPr>
                <w:rFonts w:ascii="Arial" w:cs="Arial" w:eastAsia="Arial" w:hAnsi="Arial"/>
                <w:sz w:val="12"/>
                <w:szCs w:val="12"/>
                <w:b w:val="1"/>
                <w:bCs w:val="1"/>
                <w:color w:val="auto"/>
                <w:w w:val="87"/>
              </w:rPr>
              <w:t>Non-redeemable</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center"/>
              <w:ind w:right="22"/>
              <w:spacing w:after="0" w:line="121" w:lineRule="exact"/>
              <w:rPr>
                <w:sz w:val="20"/>
                <w:szCs w:val="20"/>
                <w:color w:val="auto"/>
              </w:rPr>
            </w:pPr>
            <w:r>
              <w:rPr>
                <w:rFonts w:ascii="Arial" w:cs="Arial" w:eastAsia="Arial" w:hAnsi="Arial"/>
                <w:sz w:val="12"/>
                <w:szCs w:val="12"/>
                <w:b w:val="1"/>
                <w:bCs w:val="1"/>
                <w:color w:val="auto"/>
                <w:w w:val="87"/>
              </w:rPr>
              <w:t>Redeemable</w:t>
            </w:r>
          </w:p>
        </w:tc>
        <w:tc>
          <w:tcPr>
            <w:tcW w:w="120" w:type="dxa"/>
            <w:vAlign w:val="bottom"/>
          </w:tcPr>
          <w:p>
            <w:pPr>
              <w:spacing w:after="0"/>
              <w:rPr>
                <w:sz w:val="10"/>
                <w:szCs w:val="10"/>
                <w:color w:val="auto"/>
              </w:rPr>
            </w:pPr>
          </w:p>
        </w:tc>
        <w:tc>
          <w:tcPr>
            <w:tcW w:w="860" w:type="dxa"/>
            <w:vAlign w:val="bottom"/>
            <w:gridSpan w:val="4"/>
          </w:tcPr>
          <w:p>
            <w:pPr>
              <w:jc w:val="right"/>
              <w:ind w:right="20"/>
              <w:spacing w:after="0" w:line="121" w:lineRule="exact"/>
              <w:rPr>
                <w:sz w:val="20"/>
                <w:szCs w:val="20"/>
                <w:color w:val="auto"/>
              </w:rPr>
            </w:pPr>
            <w:r>
              <w:rPr>
                <w:rFonts w:ascii="Arial" w:cs="Arial" w:eastAsia="Arial" w:hAnsi="Arial"/>
                <w:sz w:val="12"/>
                <w:szCs w:val="12"/>
                <w:b w:val="1"/>
                <w:bCs w:val="1"/>
                <w:color w:val="auto"/>
                <w:w w:val="87"/>
              </w:rPr>
              <w:t>Non-redeemable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tcPr>
          <w:p>
            <w:pPr>
              <w:jc w:val="center"/>
              <w:spacing w:after="0" w:line="121" w:lineRule="exact"/>
              <w:rPr>
                <w:sz w:val="20"/>
                <w:szCs w:val="20"/>
                <w:color w:val="auto"/>
              </w:rPr>
            </w:pPr>
            <w:r>
              <w:rPr>
                <w:rFonts w:ascii="Arial" w:cs="Arial" w:eastAsia="Arial" w:hAnsi="Arial"/>
                <w:sz w:val="12"/>
                <w:szCs w:val="12"/>
                <w:b w:val="1"/>
                <w:bCs w:val="1"/>
                <w:color w:val="auto"/>
                <w:w w:val="87"/>
              </w:rPr>
              <w:t>Non-redeemable</w:t>
            </w:r>
          </w:p>
        </w:tc>
      </w:tr>
      <w:tr>
        <w:trPr>
          <w:trHeight w:val="143"/>
        </w:trPr>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4"/>
              </w:rPr>
              <w:t>common stock</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4"/>
              </w:rPr>
              <w:t>common stock</w:t>
            </w:r>
          </w:p>
        </w:tc>
        <w:tc>
          <w:tcPr>
            <w:tcW w:w="20" w:type="dxa"/>
            <w:vAlign w:val="bottom"/>
          </w:tcPr>
          <w:p>
            <w:pPr>
              <w:spacing w:after="0"/>
              <w:rPr>
                <w:sz w:val="12"/>
                <w:szCs w:val="12"/>
                <w:color w:val="auto"/>
              </w:rPr>
            </w:pPr>
          </w:p>
        </w:tc>
        <w:tc>
          <w:tcPr>
            <w:tcW w:w="8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Common stock</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4"/>
              </w:rPr>
              <w:t>common 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2"/>
              </w:rPr>
              <w:t>common stock</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22"/>
              <w:spacing w:after="0"/>
              <w:rPr>
                <w:sz w:val="20"/>
                <w:szCs w:val="20"/>
                <w:color w:val="auto"/>
              </w:rPr>
            </w:pPr>
            <w:r>
              <w:rPr>
                <w:rFonts w:ascii="Arial" w:cs="Arial" w:eastAsia="Arial" w:hAnsi="Arial"/>
                <w:sz w:val="12"/>
                <w:szCs w:val="12"/>
                <w:b w:val="1"/>
                <w:bCs w:val="1"/>
                <w:color w:val="auto"/>
                <w:w w:val="84"/>
              </w:rPr>
              <w:t>common stock</w:t>
            </w:r>
          </w:p>
        </w:tc>
      </w:tr>
      <w:tr>
        <w:trPr>
          <w:trHeight w:val="129"/>
        </w:trPr>
        <w:tc>
          <w:tcPr>
            <w:tcW w:w="42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Basic and diluted net income per share:</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b w:val="1"/>
                <w:bCs w:val="1"/>
                <w:color w:val="auto"/>
              </w:rPr>
              <w:t>Numerator: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42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Allocation of net income</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1,278</w:t>
            </w:r>
          </w:p>
        </w:tc>
        <w:tc>
          <w:tcPr>
            <w:tcW w:w="380" w:type="dxa"/>
            <w:vAlign w:val="bottom"/>
            <w:gridSpan w:val="3"/>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1,828</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480,935</w:t>
            </w:r>
          </w:p>
        </w:tc>
        <w:tc>
          <w:tcPr>
            <w:tcW w:w="2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22,240</w:t>
            </w:r>
          </w:p>
        </w:tc>
        <w:tc>
          <w:tcPr>
            <w:tcW w:w="20" w:type="dxa"/>
            <w:vAlign w:val="bottom"/>
            <w:shd w:val="clear" w:color="auto" w:fill="CCEEFF"/>
          </w:tcPr>
          <w:p>
            <w:pPr>
              <w:spacing w:after="0"/>
              <w:rPr>
                <w:sz w:val="11"/>
                <w:szCs w:val="11"/>
                <w:color w:val="auto"/>
              </w:rPr>
            </w:pP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158,708</w:t>
            </w:r>
          </w:p>
        </w:tc>
      </w:tr>
      <w:tr>
        <w:trPr>
          <w:trHeight w:val="135"/>
        </w:trPr>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42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b w:val="1"/>
                <w:bCs w:val="1"/>
                <w:color w:val="auto"/>
              </w:rPr>
              <w:t>Denominator:</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w w:val="90"/>
              </w:rPr>
              <w:t>Weighted-average shares outstanding including common stock subject to redemption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6,630,703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7"/>
              </w:rPr>
              <w:t>1,329,500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9,487,500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28,750,000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1,329,500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9,487,500</w:t>
            </w:r>
          </w:p>
        </w:tc>
      </w:tr>
      <w:tr>
        <w:trPr>
          <w:trHeight w:val="135"/>
        </w:trPr>
        <w:tc>
          <w:tcPr>
            <w:tcW w:w="42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b w:val="1"/>
                <w:bCs w:val="1"/>
                <w:color w:val="auto"/>
              </w:rPr>
              <w:t>Basic and diluted net income per share</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0.00</w:t>
            </w:r>
          </w:p>
        </w:tc>
        <w:tc>
          <w:tcPr>
            <w:tcW w:w="380" w:type="dxa"/>
            <w:vAlign w:val="bottom"/>
            <w:gridSpan w:val="3"/>
            <w:shd w:val="clear" w:color="auto" w:fill="CCEEFF"/>
          </w:tcPr>
          <w:p>
            <w:pPr>
              <w:jc w:val="right"/>
              <w:ind w:right="122"/>
              <w:spacing w:after="0" w:line="135" w:lineRule="exact"/>
              <w:rPr>
                <w:sz w:val="20"/>
                <w:szCs w:val="20"/>
                <w:color w:val="auto"/>
              </w:rPr>
            </w:pPr>
            <w:r>
              <w:rPr>
                <w:rFonts w:ascii="Arial" w:cs="Arial" w:eastAsia="Arial" w:hAnsi="Arial"/>
                <w:sz w:val="12"/>
                <w:szCs w:val="12"/>
                <w:b w:val="1"/>
                <w:bCs w:val="1"/>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0.00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22"/>
              <w:spacing w:after="0" w:line="135" w:lineRule="exact"/>
              <w:rPr>
                <w:sz w:val="20"/>
                <w:szCs w:val="20"/>
                <w:color w:val="auto"/>
              </w:rPr>
            </w:pPr>
            <w:r>
              <w:rPr>
                <w:rFonts w:ascii="Arial" w:cs="Arial" w:eastAsia="Arial" w:hAnsi="Arial"/>
                <w:sz w:val="12"/>
                <w:szCs w:val="12"/>
                <w:b w:val="1"/>
                <w:bCs w:val="1"/>
                <w:color w:val="auto"/>
                <w:w w:val="89"/>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0.00</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0.02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0.02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0.02</w:t>
            </w:r>
          </w:p>
        </w:tc>
      </w:tr>
      <w:tr>
        <w:trPr>
          <w:trHeight w:val="356"/>
        </w:trPr>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gridSpan w:val="10"/>
          </w:tcPr>
          <w:p>
            <w:pPr>
              <w:jc w:val="center"/>
              <w:ind w:right="22"/>
              <w:spacing w:after="0"/>
              <w:rPr>
                <w:sz w:val="20"/>
                <w:szCs w:val="20"/>
                <w:color w:val="auto"/>
              </w:rPr>
            </w:pPr>
            <w:r>
              <w:rPr>
                <w:rFonts w:ascii="Arial" w:cs="Arial" w:eastAsia="Arial" w:hAnsi="Arial"/>
                <w:sz w:val="12"/>
                <w:szCs w:val="12"/>
                <w:b w:val="1"/>
                <w:bCs w:val="1"/>
                <w:color w:val="auto"/>
                <w:w w:val="87"/>
              </w:rPr>
              <w:t>For the nine-month period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gridSpan w:val="10"/>
          </w:tcPr>
          <w:p>
            <w:pPr>
              <w:ind w:left="460"/>
              <w:spacing w:after="0"/>
              <w:rPr>
                <w:sz w:val="20"/>
                <w:szCs w:val="20"/>
                <w:color w:val="auto"/>
              </w:rPr>
            </w:pPr>
            <w:r>
              <w:rPr>
                <w:rFonts w:ascii="Arial" w:cs="Arial" w:eastAsia="Arial" w:hAnsi="Arial"/>
                <w:sz w:val="12"/>
                <w:szCs w:val="12"/>
                <w:b w:val="1"/>
                <w:bCs w:val="1"/>
                <w:color w:val="auto"/>
              </w:rPr>
              <w:t>For the nine-month period ended</w:t>
            </w:r>
          </w:p>
        </w:tc>
      </w:tr>
      <w:tr>
        <w:trPr>
          <w:trHeight w:val="143"/>
        </w:trPr>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6"/>
          </w:tcPr>
          <w:p>
            <w:pPr>
              <w:jc w:val="center"/>
              <w:ind w:left="42"/>
              <w:spacing w:after="0"/>
              <w:rPr>
                <w:sz w:val="20"/>
                <w:szCs w:val="20"/>
                <w:color w:val="auto"/>
              </w:rPr>
            </w:pPr>
            <w:r>
              <w:rPr>
                <w:rFonts w:ascii="Arial" w:cs="Arial" w:eastAsia="Arial" w:hAnsi="Arial"/>
                <w:sz w:val="12"/>
                <w:szCs w:val="12"/>
                <w:b w:val="1"/>
                <w:bCs w:val="1"/>
                <w:color w:val="auto"/>
                <w:w w:val="87"/>
              </w:rPr>
              <w:t>September 30, 2023</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8"/>
          </w:tcPr>
          <w:p>
            <w:pPr>
              <w:ind w:left="120"/>
              <w:spacing w:after="0"/>
              <w:rPr>
                <w:sz w:val="20"/>
                <w:szCs w:val="20"/>
                <w:color w:val="auto"/>
              </w:rPr>
            </w:pPr>
            <w:r>
              <w:rPr>
                <w:rFonts w:ascii="Arial" w:cs="Arial" w:eastAsia="Arial" w:hAnsi="Arial"/>
                <w:sz w:val="12"/>
                <w:szCs w:val="12"/>
                <w:b w:val="1"/>
                <w:bCs w:val="1"/>
                <w:color w:val="auto"/>
                <w:w w:val="92"/>
              </w:rPr>
              <w:t>September 30, 2022</w:t>
            </w:r>
          </w:p>
        </w:tc>
        <w:tc>
          <w:tcPr>
            <w:tcW w:w="800" w:type="dxa"/>
            <w:vAlign w:val="bottom"/>
            <w:tcBorders>
              <w:bottom w:val="single" w:sz="8" w:color="auto"/>
            </w:tcBorders>
          </w:tcPr>
          <w:p>
            <w:pPr>
              <w:spacing w:after="0"/>
              <w:rPr>
                <w:sz w:val="12"/>
                <w:szCs w:val="12"/>
                <w:color w:val="auto"/>
              </w:rPr>
            </w:pPr>
          </w:p>
        </w:tc>
      </w:tr>
      <w:tr>
        <w:trPr>
          <w:trHeight w:val="129"/>
        </w:trPr>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jc w:val="right"/>
              <w:ind w:right="22"/>
              <w:spacing w:after="0" w:line="129" w:lineRule="exact"/>
              <w:rPr>
                <w:sz w:val="20"/>
                <w:szCs w:val="20"/>
                <w:color w:val="auto"/>
              </w:rPr>
            </w:pPr>
            <w:r>
              <w:rPr>
                <w:rFonts w:ascii="Arial" w:cs="Arial" w:eastAsia="Arial" w:hAnsi="Arial"/>
                <w:sz w:val="12"/>
                <w:szCs w:val="12"/>
                <w:b w:val="1"/>
                <w:bCs w:val="1"/>
                <w:color w:val="auto"/>
              </w:rPr>
              <w:t>Class A</w:t>
            </w:r>
          </w:p>
        </w:tc>
        <w:tc>
          <w:tcPr>
            <w:tcW w:w="5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02"/>
              <w:spacing w:after="0" w:line="129" w:lineRule="exact"/>
              <w:rPr>
                <w:sz w:val="20"/>
                <w:szCs w:val="20"/>
                <w:color w:val="auto"/>
              </w:rPr>
            </w:pPr>
            <w:r>
              <w:rPr>
                <w:rFonts w:ascii="Arial" w:cs="Arial" w:eastAsia="Arial" w:hAnsi="Arial"/>
                <w:sz w:val="12"/>
                <w:szCs w:val="12"/>
                <w:b w:val="1"/>
                <w:bCs w:val="1"/>
                <w:color w:val="auto"/>
                <w:w w:val="86"/>
              </w:rPr>
              <w:t>Class B</w:t>
            </w: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ind w:left="600"/>
              <w:spacing w:after="0" w:line="129" w:lineRule="exact"/>
              <w:rPr>
                <w:sz w:val="20"/>
                <w:szCs w:val="20"/>
                <w:color w:val="auto"/>
              </w:rPr>
            </w:pPr>
            <w:r>
              <w:rPr>
                <w:rFonts w:ascii="Arial" w:cs="Arial" w:eastAsia="Arial" w:hAnsi="Arial"/>
                <w:sz w:val="12"/>
                <w:szCs w:val="12"/>
                <w:b w:val="1"/>
                <w:bCs w:val="1"/>
                <w:color w:val="auto"/>
              </w:rPr>
              <w:t>Class A</w:t>
            </w:r>
          </w:p>
        </w:tc>
        <w:tc>
          <w:tcPr>
            <w:tcW w:w="5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2"/>
              <w:spacing w:after="0" w:line="129" w:lineRule="exact"/>
              <w:rPr>
                <w:sz w:val="20"/>
                <w:szCs w:val="20"/>
                <w:color w:val="auto"/>
              </w:rPr>
            </w:pPr>
            <w:r>
              <w:rPr>
                <w:rFonts w:ascii="Arial" w:cs="Arial" w:eastAsia="Arial" w:hAnsi="Arial"/>
                <w:sz w:val="12"/>
                <w:szCs w:val="12"/>
                <w:b w:val="1"/>
                <w:bCs w:val="1"/>
                <w:color w:val="auto"/>
                <w:w w:val="86"/>
              </w:rPr>
              <w:t>Class B</w:t>
            </w:r>
          </w:p>
        </w:tc>
      </w:tr>
      <w:tr>
        <w:trPr>
          <w:trHeight w:val="120"/>
        </w:trPr>
        <w:tc>
          <w:tcPr>
            <w:tcW w:w="4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5"/>
          </w:tcPr>
          <w:p>
            <w:pPr>
              <w:jc w:val="right"/>
              <w:spacing w:after="0" w:line="121" w:lineRule="exact"/>
              <w:rPr>
                <w:sz w:val="20"/>
                <w:szCs w:val="20"/>
                <w:color w:val="auto"/>
              </w:rPr>
            </w:pPr>
            <w:r>
              <w:rPr>
                <w:rFonts w:ascii="Arial" w:cs="Arial" w:eastAsia="Arial" w:hAnsi="Arial"/>
                <w:sz w:val="12"/>
                <w:szCs w:val="12"/>
                <w:b w:val="1"/>
                <w:bCs w:val="1"/>
                <w:color w:val="auto"/>
                <w:w w:val="93"/>
              </w:rPr>
              <w:t>Redeemable   Non-redeemable</w:t>
            </w:r>
          </w:p>
        </w:tc>
        <w:tc>
          <w:tcPr>
            <w:tcW w:w="120" w:type="dxa"/>
            <w:vAlign w:val="bottom"/>
            <w:gridSpan w:val="2"/>
          </w:tcPr>
          <w:p>
            <w:pPr>
              <w:spacing w:after="0"/>
              <w:rPr>
                <w:sz w:val="10"/>
                <w:szCs w:val="10"/>
                <w:color w:val="auto"/>
              </w:rPr>
            </w:pPr>
          </w:p>
        </w:tc>
        <w:tc>
          <w:tcPr>
            <w:tcW w:w="860" w:type="dxa"/>
            <w:vAlign w:val="bottom"/>
            <w:gridSpan w:val="3"/>
          </w:tcPr>
          <w:p>
            <w:pPr>
              <w:jc w:val="center"/>
              <w:spacing w:after="0" w:line="121" w:lineRule="exact"/>
              <w:rPr>
                <w:sz w:val="20"/>
                <w:szCs w:val="20"/>
                <w:color w:val="auto"/>
              </w:rPr>
            </w:pPr>
            <w:r>
              <w:rPr>
                <w:rFonts w:ascii="Arial" w:cs="Arial" w:eastAsia="Arial" w:hAnsi="Arial"/>
                <w:sz w:val="12"/>
                <w:szCs w:val="12"/>
                <w:b w:val="1"/>
                <w:bCs w:val="1"/>
                <w:color w:val="auto"/>
                <w:w w:val="87"/>
              </w:rPr>
              <w:t>Non-redeemable</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5"/>
          </w:tcPr>
          <w:p>
            <w:pPr>
              <w:jc w:val="right"/>
              <w:spacing w:after="0" w:line="121" w:lineRule="exact"/>
              <w:rPr>
                <w:sz w:val="20"/>
                <w:szCs w:val="20"/>
                <w:color w:val="auto"/>
              </w:rPr>
            </w:pPr>
            <w:r>
              <w:rPr>
                <w:rFonts w:ascii="Arial" w:cs="Arial" w:eastAsia="Arial" w:hAnsi="Arial"/>
                <w:sz w:val="12"/>
                <w:szCs w:val="12"/>
                <w:b w:val="1"/>
                <w:bCs w:val="1"/>
                <w:color w:val="auto"/>
                <w:w w:val="93"/>
              </w:rPr>
              <w:t>Redeemable   Non-redeemable</w:t>
            </w:r>
          </w:p>
        </w:tc>
        <w:tc>
          <w:tcPr>
            <w:tcW w:w="120" w:type="dxa"/>
            <w:vAlign w:val="bottom"/>
            <w:gridSpan w:val="2"/>
          </w:tcPr>
          <w:p>
            <w:pPr>
              <w:spacing w:after="0"/>
              <w:rPr>
                <w:sz w:val="10"/>
                <w:szCs w:val="10"/>
                <w:color w:val="auto"/>
              </w:rPr>
            </w:pPr>
          </w:p>
        </w:tc>
        <w:tc>
          <w:tcPr>
            <w:tcW w:w="900" w:type="dxa"/>
            <w:vAlign w:val="bottom"/>
            <w:gridSpan w:val="3"/>
          </w:tcPr>
          <w:p>
            <w:pPr>
              <w:jc w:val="center"/>
              <w:spacing w:after="0" w:line="121" w:lineRule="exact"/>
              <w:rPr>
                <w:sz w:val="20"/>
                <w:szCs w:val="20"/>
                <w:color w:val="auto"/>
              </w:rPr>
            </w:pPr>
            <w:r>
              <w:rPr>
                <w:rFonts w:ascii="Arial" w:cs="Arial" w:eastAsia="Arial" w:hAnsi="Arial"/>
                <w:sz w:val="12"/>
                <w:szCs w:val="12"/>
                <w:b w:val="1"/>
                <w:bCs w:val="1"/>
                <w:color w:val="auto"/>
                <w:w w:val="87"/>
              </w:rPr>
              <w:t>Non-redeemable</w:t>
            </w:r>
          </w:p>
        </w:tc>
      </w:tr>
      <w:tr>
        <w:trPr>
          <w:trHeight w:val="143"/>
        </w:trPr>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4"/>
              </w:rPr>
              <w:t>common stock</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4"/>
              </w:rPr>
              <w:t>common stock</w:t>
            </w:r>
          </w:p>
        </w:tc>
        <w:tc>
          <w:tcPr>
            <w:tcW w:w="20" w:type="dxa"/>
            <w:vAlign w:val="bottom"/>
          </w:tcPr>
          <w:p>
            <w:pPr>
              <w:spacing w:after="0"/>
              <w:rPr>
                <w:sz w:val="12"/>
                <w:szCs w:val="12"/>
                <w:color w:val="auto"/>
              </w:rPr>
            </w:pPr>
          </w:p>
        </w:tc>
        <w:tc>
          <w:tcPr>
            <w:tcW w:w="8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5"/>
              </w:rPr>
              <w:t>Common stock</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4"/>
              </w:rPr>
              <w:t>common stock</w:t>
            </w:r>
          </w:p>
        </w:tc>
        <w:tc>
          <w:tcPr>
            <w:tcW w:w="120" w:type="dxa"/>
            <w:vAlign w:val="bottom"/>
          </w:tcPr>
          <w:p>
            <w:pPr>
              <w:spacing w:after="0"/>
              <w:rPr>
                <w:sz w:val="12"/>
                <w:szCs w:val="12"/>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w w:val="89"/>
              </w:rPr>
              <w:t>common stock</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22"/>
              <w:spacing w:after="0"/>
              <w:rPr>
                <w:sz w:val="20"/>
                <w:szCs w:val="20"/>
                <w:color w:val="auto"/>
              </w:rPr>
            </w:pPr>
            <w:r>
              <w:rPr>
                <w:rFonts w:ascii="Arial" w:cs="Arial" w:eastAsia="Arial" w:hAnsi="Arial"/>
                <w:sz w:val="12"/>
                <w:szCs w:val="12"/>
                <w:b w:val="1"/>
                <w:bCs w:val="1"/>
                <w:color w:val="auto"/>
                <w:w w:val="84"/>
              </w:rPr>
              <w:t>common stock</w:t>
            </w:r>
          </w:p>
        </w:tc>
      </w:tr>
      <w:tr>
        <w:trPr>
          <w:trHeight w:val="128"/>
        </w:trPr>
        <w:tc>
          <w:tcPr>
            <w:tcW w:w="42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Basic and diluted net income per share:</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b w:val="1"/>
                <w:bCs w:val="1"/>
                <w:color w:val="auto"/>
              </w:rPr>
              <w:t>Numerator: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42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Allocation of net income</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883,994</w:t>
            </w:r>
          </w:p>
        </w:tc>
        <w:tc>
          <w:tcPr>
            <w:tcW w:w="380" w:type="dxa"/>
            <w:vAlign w:val="bottom"/>
            <w:gridSpan w:val="3"/>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97,458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695,474</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478,319</w:t>
            </w:r>
          </w:p>
        </w:tc>
        <w:tc>
          <w:tcPr>
            <w:tcW w:w="2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22,119</w:t>
            </w:r>
          </w:p>
        </w:tc>
        <w:tc>
          <w:tcPr>
            <w:tcW w:w="20" w:type="dxa"/>
            <w:vAlign w:val="bottom"/>
            <w:shd w:val="clear" w:color="auto" w:fill="CCEEFF"/>
          </w:tcPr>
          <w:p>
            <w:pPr>
              <w:spacing w:after="0"/>
              <w:rPr>
                <w:sz w:val="11"/>
                <w:szCs w:val="11"/>
                <w:color w:val="auto"/>
              </w:rPr>
            </w:pP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157,845</w:t>
            </w:r>
          </w:p>
        </w:tc>
      </w:tr>
      <w:tr>
        <w:trPr>
          <w:trHeight w:val="135"/>
        </w:trPr>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42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b w:val="1"/>
                <w:bCs w:val="1"/>
                <w:color w:val="auto"/>
              </w:rPr>
              <w:t>Denominator:</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w w:val="90"/>
              </w:rPr>
              <w:t>Weighted-average shares outstanding including common stock subject to redemption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12,059,248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7"/>
              </w:rPr>
              <w:t>1,329,500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9,487,500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28,750,000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7"/>
              </w:rPr>
              <w:t>1,329,500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9,487,500</w:t>
            </w:r>
          </w:p>
        </w:tc>
      </w:tr>
      <w:tr>
        <w:trPr>
          <w:trHeight w:val="135"/>
        </w:trPr>
        <w:tc>
          <w:tcPr>
            <w:tcW w:w="42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b w:val="1"/>
                <w:bCs w:val="1"/>
                <w:color w:val="auto"/>
              </w:rPr>
              <w:t>Basic and diluted net income per share</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0.07</w:t>
            </w:r>
          </w:p>
        </w:tc>
        <w:tc>
          <w:tcPr>
            <w:tcW w:w="380" w:type="dxa"/>
            <w:vAlign w:val="bottom"/>
            <w:gridSpan w:val="3"/>
            <w:shd w:val="clear" w:color="auto" w:fill="CCEEFF"/>
          </w:tcPr>
          <w:p>
            <w:pPr>
              <w:jc w:val="right"/>
              <w:ind w:right="142"/>
              <w:spacing w:after="0" w:line="135" w:lineRule="exact"/>
              <w:rPr>
                <w:sz w:val="20"/>
                <w:szCs w:val="20"/>
                <w:color w:val="auto"/>
              </w:rPr>
            </w:pPr>
            <w:r>
              <w:rPr>
                <w:rFonts w:ascii="Arial" w:cs="Arial" w:eastAsia="Arial" w:hAnsi="Arial"/>
                <w:sz w:val="12"/>
                <w:szCs w:val="12"/>
                <w:b w:val="1"/>
                <w:bCs w:val="1"/>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0.07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42"/>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0.07</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0.02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0.02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0.02</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 Insurance Corporation coverage of $250,000. At December 31, 2022 and 2021, the Company had not experienced losses on this account and management believes the Company is not exposed to significant risks on such account.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820, “Fair Value Measurements and Disclosures,” approximates the carrying amounts represented in the balance sheet, primarily due to its short-term nature.</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1" w:lineRule="exact"/>
        <w:rPr>
          <w:sz w:val="20"/>
          <w:szCs w:val="20"/>
          <w:color w:val="auto"/>
        </w:rPr>
      </w:pPr>
    </w:p>
    <w:p>
      <w:pPr>
        <w:ind w:left="680" w:hanging="321"/>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1—Assets and liabilities with unadjusted, quoted prices listed on active market exchanges. Inputs to the fair value measurement are observable inputs, such as quoted prices in active markets for identical assets or liabilities.</w:t>
      </w:r>
    </w:p>
    <w:p>
      <w:pPr>
        <w:spacing w:after="0" w:line="170"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83"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3—Inputs to the fair value measurement are unobservable inputs, such as estimates, assumptions, and valuation techniques when little or no market data exists for the assets or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Classification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Company’s has analyzed the warrants issued in the Initial Public Offering (“Public Warrants”) and warrants included in the Private Placement Units (the “Private Warrants”) and determined they are considered to be freestanding instruments and do not exhibit any of the characteristics in ASC 480 and therefore are not classified as liabilities under ASC 480. The warrants meet all of the requirements for equity classification under ASC 815 and therefore are classified in equity.</w:t>
      </w:r>
    </w:p>
    <w:p>
      <w:pPr>
        <w:sectPr>
          <w:pgSz w:w="11900" w:h="16838" w:orient="portrait"/>
          <w:cols w:equalWidth="0" w:num="1">
            <w:col w:w="9920"/>
          </w:cols>
          <w:pgMar w:left="980" w:top="665" w:right="99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The Company is currently assessing the impact, if any, that ASU 2020-06 would have on its financial position, results of operations or cash flows. The Company has not adopted this guidance as of September 30, 2023.</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June 2016, the FASB issued Accounting Standards Update (“ASU”) 2016-13 –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(“ASU 2016-13”). </w:t>
      </w:r>
      <w:r>
        <w:rPr>
          <w:rFonts w:ascii="Arial" w:cs="Arial" w:eastAsia="Arial" w:hAnsi="Arial"/>
          <w:sz w:val="17"/>
          <w:szCs w:val="17"/>
          <w:color w:val="auto"/>
        </w:rPr>
        <w:t>This update requires financial assets measured at amortized</w:t>
      </w:r>
      <w:r>
        <w:rPr>
          <w:rFonts w:ascii="Arial" w:cs="Arial" w:eastAsia="Arial" w:hAnsi="Arial"/>
          <w:sz w:val="17"/>
          <w:szCs w:val="17"/>
          <w:i w:val="1"/>
          <w:iCs w:val="1"/>
          <w:color w:val="auto"/>
        </w:rPr>
        <w:t xml:space="preserve"> </w:t>
      </w:r>
      <w:r>
        <w:rPr>
          <w:rFonts w:ascii="Arial" w:cs="Arial" w:eastAsia="Arial" w:hAnsi="Arial"/>
          <w:sz w:val="17"/>
          <w:szCs w:val="17"/>
          <w:color w:val="auto"/>
        </w:rPr>
        <w:t>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Since June 2016, the FASB issued clarifying updates to the new standard including changing the effective date for smaller reporting companies. The guidance is effective for fiscal years beginning after December 15, 2022, and interim periods within those fiscal years, with early adoption permitted. The Company adopted ASU 2016-13 on January 1, 2023. The adoption of ASU 2016-13 did not have a material impact on its financial statements.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management does not believe that any other recently issued, but not yet effective, accounting standards if currently adopted would have a material effect on the accompanying financial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Units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470-20.</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recognized the accretion from initial book value to redemption amount value. The change in the carrying value of redeemable common stock resulted in charges against additional paid-in capital and accumulated deficit.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and December 31, 2022, the common stock subject to redemption reflected on the balance sheet are reconciled in the following table:</w:t>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stock subject to possible redemption, January 1, 2022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291,812,500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Plus:</w:t>
            </w:r>
          </w:p>
        </w:tc>
        <w:tc>
          <w:tcPr>
            <w:tcW w:w="1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Accretion of carrying value to redemption value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2,984,418</w:t>
            </w:r>
          </w:p>
        </w:tc>
      </w:tr>
      <w:tr>
        <w:trPr>
          <w:trHeight w:val="210"/>
        </w:trPr>
        <w:tc>
          <w:tcPr>
            <w:tcW w:w="6840" w:type="dxa"/>
            <w:vAlign w:val="bottom"/>
          </w:tcPr>
          <w:p>
            <w:pPr>
              <w:spacing w:after="0"/>
              <w:rPr>
                <w:sz w:val="20"/>
                <w:szCs w:val="20"/>
                <w:color w:val="auto"/>
              </w:rPr>
            </w:pPr>
            <w:r>
              <w:rPr>
                <w:rFonts w:ascii="Arial" w:cs="Arial" w:eastAsia="Arial" w:hAnsi="Arial"/>
                <w:sz w:val="18"/>
                <w:szCs w:val="18"/>
                <w:b w:val="1"/>
                <w:bCs w:val="1"/>
                <w:color w:val="auto"/>
              </w:rPr>
              <w:t>Class A common stock subject to possible redemption, December 31, 2022</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294,796,918</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Redemptions</w:t>
            </w:r>
          </w:p>
        </w:tc>
        <w:tc>
          <w:tcPr>
            <w:tcW w:w="1100" w:type="dxa"/>
            <w:vAlign w:val="bottom"/>
          </w:tcPr>
          <w:p>
            <w:pPr>
              <w:jc w:val="right"/>
              <w:spacing w:after="0"/>
              <w:rPr>
                <w:sz w:val="20"/>
                <w:szCs w:val="20"/>
                <w:color w:val="auto"/>
              </w:rPr>
            </w:pPr>
            <w:r>
              <w:rPr>
                <w:rFonts w:ascii="Arial" w:cs="Arial" w:eastAsia="Arial" w:hAnsi="Arial"/>
                <w:sz w:val="18"/>
                <w:szCs w:val="18"/>
                <w:color w:val="auto"/>
                <w:w w:val="94"/>
              </w:rPr>
              <w:t>(227,776,035)</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100" w:type="dxa"/>
            <w:vAlign w:val="bottom"/>
            <w:shd w:val="clear" w:color="auto" w:fill="CCEEFF"/>
          </w:tcPr>
          <w:p>
            <w:pPr>
              <w:spacing w:after="0"/>
              <w:rPr>
                <w:sz w:val="18"/>
                <w:szCs w:val="18"/>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Accretion of carrying value to redemption value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2,276,329</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stock subject to possible redemption, March 31, 2023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69,297,212</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Plus:</w:t>
            </w:r>
          </w:p>
        </w:tc>
        <w:tc>
          <w:tcPr>
            <w:tcW w:w="1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Accretion of carrying value to redemption value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605,227</w:t>
            </w:r>
          </w:p>
        </w:tc>
      </w:tr>
      <w:tr>
        <w:trPr>
          <w:trHeight w:val="209"/>
        </w:trPr>
        <w:tc>
          <w:tcPr>
            <w:tcW w:w="6840" w:type="dxa"/>
            <w:vAlign w:val="bottom"/>
          </w:tcPr>
          <w:p>
            <w:pPr>
              <w:spacing w:after="0"/>
              <w:rPr>
                <w:sz w:val="20"/>
                <w:szCs w:val="20"/>
                <w:color w:val="auto"/>
              </w:rPr>
            </w:pPr>
            <w:r>
              <w:rPr>
                <w:rFonts w:ascii="Arial" w:cs="Arial" w:eastAsia="Arial" w:hAnsi="Arial"/>
                <w:sz w:val="18"/>
                <w:szCs w:val="18"/>
                <w:b w:val="1"/>
                <w:bCs w:val="1"/>
                <w:color w:val="auto"/>
              </w:rPr>
              <w:t>Class A common stock subject to possible redemption, June 30, 2023</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69,902,439</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100" w:type="dxa"/>
            <w:vAlign w:val="bottom"/>
            <w:shd w:val="clear" w:color="auto" w:fill="CCEEFF"/>
          </w:tcPr>
          <w:p>
            <w:pPr>
              <w:spacing w:after="0"/>
              <w:rPr>
                <w:sz w:val="18"/>
                <w:szCs w:val="18"/>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Accretion of carrying value to redemption value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681,066</w:t>
            </w:r>
          </w:p>
        </w:tc>
      </w:tr>
      <w:tr>
        <w:trPr>
          <w:trHeight w:val="210"/>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Class A common stock subject to possible redemption, September 30, 2023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70,583,505</w:t>
            </w:r>
          </w:p>
        </w:tc>
      </w:tr>
      <w:tr>
        <w:trPr>
          <w:trHeight w:val="20"/>
        </w:trPr>
        <w:tc>
          <w:tcPr>
            <w:tcW w:w="6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Private Placement Unit will consist of one share of Class A common stock and one redeemable warrant. Each private warrant entitles the holder to purchase one share of Common Stock at a purchase price of $11.50 per share.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As of September 30, 2023 and December 31, 2022, the Company incurred and paid $90,000 and $112,903 for the administrative service fees,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Sponsors agreed to loan the Company up to $300,000 to be used for a portion of the expenses of the IPO. These loans are non-interest bearing, unsecured and due on demand. As of September 30, 2023 and December 31, 2022, the Company had no borrowings outstanding under the promissory note, respectively. As of the Initial Public Offering date, December 15, 2021, the Company no longer has the ability to utilize the Promissory note.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 Loans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w:t>
      </w:r>
    </w:p>
    <w:p>
      <w:pPr>
        <w:spacing w:after="0" w:line="18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February 1, 2023, the Company issued an unsecured convertible promissory note to the Sponsor, pursuant to which the Company borrowed $1,500,000 from the Sponsor for general corporate purposes. Such loan may, at the Sponsor’s discretion, be converted into Units of the Company (as defined above), at a conversion shall be an amount determined by dividing (x) the sum of the outstanding principal amount payable to such Payee by (y) $10.00. The terms of the Working Capital Shares will be identical to those of the Private Units that were issued to the Sponsor in connection with the Initial Public Offering. The Working Capital Loan will not bear any interest and will be repayable by the Company to the Sponsor, if not converted or repaid on the effective date of a Business Combination involving the Company and one or more businesses. The maturity date of the Working Capital Loan may be accelerated upon the occurrence of an Event of Default (as defined under the Working Capital Loan). As of September 30, 2023, $99,975 in working capital loans were outstanding. As of December 31, 2022, no working capital loans were outstanding.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December 15, 2021, the Company paid a cash underwriting discount of 1.0% per Unit, or $2,875,000, as part of the underwriting fee.</w:t>
      </w:r>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Additionally, the underwriter is entitled to a deferred underwriting discount of 3.5% of the IPO gross proceeds or $10,062,500, as a result of the underwriter’s over-allotment exercised in full upon the completion of the Company’s initial Business Combination.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Representative shares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15, 2021, the Company issued to the representative or its designees 431,250 of Class A common stock (“Representative Shares”). The aggregate fair value of the Representative shares was $3,456,652, or $8.02 per share and recorded as offering costs. The Company accounted for the Representative Shares as an offering cost of the Initial Public Offering, with a corresponding credit to stockholders’ equity.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 (ii) to waive their rights to liquidating distributions from the Trust Account with respect to such shares if the Company fails to complete its initial Business Combination within 15 months from the closing of the IPO. The representative shares are deemed to be underwriters’ compensation by FINRA pursuant to FINRA Rule 5110. Please see Note 8 for valuation methodology and assumptions used to determine the fair value of the Representative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Non-redemption Agreements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Sponsor entered into Non-Redemption Agreements with various stockholders of the Company (the “Non-Redeeming Stockholders”), pursuant to which these stockholders agreed not to redeem a portion of their shares of Company common stock (the “Non-Redeemed Shares”) in connection with the Special Meeting held on March 10, 2023, but such stockholders retained their right to require the Company to redeem such Non-Redeemed Shares in connection with the closing of the Business Combination. The Sponsor has agreed to transfer to such Non-Redeeming Stockholders an aggregate of 1,149,412 the Founder Shares held by the Sponsor immediately following the consummation of an initial Business Combination. The Company estimated the aggregate fair value of such 1,149,412 Founder Shares transferrable to the Non-Redeeming Stockholders pursuant to the Non-Redemption Agreement to be $8,758,683 or $7.62 per share. The fair value was determined using the probability of a successful Business Combination of 75%, an implied volatility of 4.16%, and the value per shares as of the valuation date of $10.24 derived from an option pricing model for publicly traded warrants. Each Non-Redeeming Stockholder acquired from the Sponsor an indirect economic interest in such Founder Shares. The excess of the fair value of such Founder Shares was determined to be an offering cost in accordance with Staff Accounting Bulletin Topic 5A. Accordingly, in substance, it was recognized by the Company as a capital contribution by the Sponsor to induce these Non-Redeeming Stockholders not to redeem the Non-Redeemed Shares, with a corresponding charge to additional paid-in capital to recognize the fair value of the Founder Shares subject to transfer as an offering cost.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Reduction Act of 2022 (the “IR Act”)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w:t>
      </w:r>
    </w:p>
    <w:p>
      <w:pPr>
        <w:spacing w:after="0" w:line="4" w:lineRule="exact"/>
        <w:rPr>
          <w:sz w:val="20"/>
          <w:szCs w:val="20"/>
          <w:color w:val="auto"/>
        </w:rPr>
      </w:pPr>
    </w:p>
    <w:p>
      <w:pPr>
        <w:jc w:val="both"/>
        <w:ind w:firstLine="8"/>
        <w:spacing w:after="0" w:line="271" w:lineRule="auto"/>
        <w:tabs>
          <w:tab w:leader="none" w:pos="33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w:t>
      </w:r>
    </w:p>
    <w:p>
      <w:pPr>
        <w:spacing w:after="0" w:line="17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March 10, 2023, in connection with the Company’s general meeting, the Company’s stockholders redeemed 22,119,297 Class A shares of Common Stock for a total of $227,776,035. The Company evaluated the current status and probability of completing a Business Combination as of September 30, 2023 and concluded that it is probable that a contingent liability should be recorded. As of September 30, 2023, the Company recorded $2,277,760 of excise tax liability calculated as 1% of shares redeemed on March 10, 2023.</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DEFICIT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2023 and December 31, 2022, there were no shares of preferred stock issued or outstanding.</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280,000,000 shares of Class A common stock with a par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$0.0001 per share. Holders of Class A common stock are entitled to one vote for each share. At September 30, 2023 and December 31, 2022, there were 1,329,500 Class A common stock issued or outstanding, excluding 6,630,703 and 28,750,000 Class A common stock subject to possible redemption,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 common stock with a par value of $0.0001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share. Holders of the Class B common stock are entitled to one vote for each share. On September 24, 2021, the Company issued 862,500 shares of Class B common stock in connection with a 1.1 stock split. As of September 30, 2023 and December 31, 2022, there were 9,487,500 shares of Class B common stock issued and outstanding.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etc.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based on the total number of all shares of common stock outstanding upon the completion of the IPO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redeem the outstanding warrants:</w:t>
      </w:r>
    </w:p>
    <w:p>
      <w:pPr>
        <w:spacing w:after="0" w:line="225" w:lineRule="exact"/>
        <w:rPr>
          <w:sz w:val="20"/>
          <w:szCs w:val="20"/>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given after the warrants become exercisable (the “30-day redemption period”) to each warrant holder;</w:t>
      </w:r>
    </w:p>
    <w:p>
      <w:pPr>
        <w:spacing w:after="0" w:line="170" w:lineRule="exact"/>
        <w:rPr>
          <w:rFonts w:ascii="Arial" w:cs="Arial" w:eastAsia="Arial" w:hAnsi="Arial"/>
          <w:sz w:val="18"/>
          <w:szCs w:val="18"/>
          <w:color w:val="auto"/>
        </w:rPr>
      </w:pPr>
    </w:p>
    <w:p>
      <w:pPr>
        <w:jc w:val="both"/>
        <w:ind w:left="680" w:hanging="321"/>
        <w:spacing w:after="0" w:line="259"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186"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Class A common stock underlying such warrants.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information about the Company’s assets and liabilities that were measured at fair value on a recurring basis as of September 30, 2023 and December 31, 2022 and indicates the fair value hierarchy of the valuation techniques the Company utilized to determine such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Quoted Prices In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4"/>
                <w:szCs w:val="14"/>
                <w:color w:val="auto"/>
              </w:rPr>
            </w:pPr>
          </w:p>
        </w:tc>
        <w:tc>
          <w:tcPr>
            <w:tcW w:w="120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September 30, 2023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13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Pr>
          <w:p>
            <w:pPr>
              <w:spacing w:after="0"/>
              <w:rPr>
                <w:sz w:val="14"/>
                <w:szCs w:val="14"/>
                <w:color w:val="auto"/>
              </w:rPr>
            </w:pPr>
          </w:p>
        </w:tc>
        <w:tc>
          <w:tcPr>
            <w:tcW w:w="120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U.S. Money Market Funds held in Trust Account</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70,796,551</w:t>
            </w:r>
          </w:p>
        </w:tc>
        <w:tc>
          <w:tcPr>
            <w:tcW w:w="4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70,796,551</w:t>
            </w:r>
          </w:p>
        </w:tc>
        <w:tc>
          <w:tcPr>
            <w:tcW w:w="340" w:type="dxa"/>
            <w:vAlign w:val="bottom"/>
            <w:gridSpan w:val="4"/>
          </w:tcPr>
          <w:p>
            <w:pPr>
              <w:jc w:val="right"/>
              <w:ind w:right="48"/>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70,796,551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70,796,551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Quoted Prices In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24"/>
                <w:szCs w:val="24"/>
                <w:color w:val="auto"/>
              </w:rPr>
            </w:pPr>
          </w:p>
        </w:tc>
        <w:tc>
          <w:tcPr>
            <w:tcW w:w="120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December 31, 2022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120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U.S. Money Market Funds held in Trust Account</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295,802,694</w:t>
            </w:r>
          </w:p>
        </w:tc>
        <w:tc>
          <w:tcPr>
            <w:tcW w:w="4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$ 295,802,694</w:t>
            </w:r>
          </w:p>
        </w:tc>
        <w:tc>
          <w:tcPr>
            <w:tcW w:w="340" w:type="dxa"/>
            <w:vAlign w:val="bottom"/>
            <w:gridSpan w:val="4"/>
          </w:tcPr>
          <w:p>
            <w:pPr>
              <w:jc w:val="right"/>
              <w:ind w:right="28"/>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295,802,694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$ 295,802,694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 up to the date that the unaudited condensed financial statements were issued. Based upon this review, the Company did not identify any subsequent events, other than below, that would have required adjustment or disclosure in the unaudited condensed financial statements.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11, 2023, the Company received a notification letter (the “Notice”) from the Listing Qualifications Department of NASDAQ indicating that it was not in compliance with Nasdaq Listing Rule 5450(a)(2) (the “Listing Rule”) for failing to maintain a minimum of 400 Total Holders for continued listing, which is required by the Nasdaq Global Market. The Notice has no immediate effect on the listing or trading of the Company’s common stock on the Nasdaq Global Market. The Notice states that the Company has 45 calendar days from the date of the Notice, or until November 27, 2023, to submit a plan to regain compliance with the Listing Rule, and if accepted, Nasdaq may grant the Company up to 180 calendar days from the date of the Notice, or until April 8, 2024, to regain compliance.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References in this report (this “Quarterly Report”) to “we,” “us” or the “Company” refer to BurTech Acquisition Corp. References to our “management” or our “management team” refer to our officers and directors, and references to the “Sponsor” refer to BurTech LP, LLC The following discussion and analysis of the Company’s financial condition and results of operations should be read in conjunction with the unaudited condensed financial statements and the notes thereto contained elsewhere in this Quarterly Report. Certain information contained in the discussion and analysis set forth below includes forward-looking statements that involve risks and uncertainties.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includes “forward-looking statements”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(as defined below) filed with the U.S. Securities and Exchange Commission (the “SEC”). The Company’s filings with the SEC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blank check company incorporated in Delaware on March 2, 2021, for the purpose of effecting a merger, capital stock exchange, asset acquisition, stock purchase, reorganization or similar business combination with one or more businesses. We are an emerging growth company and, as such, we are subject to all of the risks associated with emerging growth companies.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15, 2021, we completed the IPO of 28,750,000 units, including 3,750,000 units from the full exercise of the overallotment option by the underwriters, at $10.00 per unit (the “Units”). Each Unit consists of one Class A common stock and one redeemable warrant (the “Public Warrants”). Each whole warrant entitles the holder to purchase one Class A common stock at a price of $11.50 per share. Simultaneously with the consummation of the IPO, we consummated the private placement of 898,250 units (the “Private Placement Units”) to our sponsor, including 93,750 units from the full exercise of the overallotment option by the underwriters, at a price of $10.00 per units, generate an aggregate of $8,982,500 proceeds.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stockholders’ vote at the special meeting of stockholders held by the Company on March 10, 2023, 22,119,297 shares were tendered for redemption. As a result, approximately $227.8 million (approximately $10.30 per share redeemed) was removed from the Company’s trust account to pay holders. Following redemptions, the Company has 6,630,703 shares of Class A common stock outstanding, and approximately $68.0 million will remain in the Company’s trust account.</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conjunction with the above redemptions, the stockholders’ also voted on extending the original liquidation from March 15, 2023 to December 15, 2023, (the “extended liquidation date”) extending the life of the Company to complete an initial business combination. We will have only 23 months from the closing of the IPO (the “Combination Period”) to complete the initial Business Combination. If we are unable to complete the initial business combination within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the redemption, subject to the approval of our remaining stockholders and our board of</w:t>
      </w:r>
    </w:p>
    <w:p>
      <w:pPr>
        <w:sectPr>
          <w:pgSz w:w="11900" w:h="16838" w:orient="portrait"/>
          <w:cols w:equalWidth="0" w:num="1">
            <w:col w:w="9920"/>
          </w:cols>
          <w:pgMar w:left="980" w:top="665"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directors, dissolve and liquidate, subject in the case of clauses (ii) and (iii) above to our obligations under Delaware law to provide for claims of creditors and the requirements of other applicable law. There will be no redemption rights or liquidating distributions with respect to the warrants, which will expire worthless if we fail to complete the initial business combination within the Combination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through September 30, 2023 were organizational activities, those necessary to prepare for the Initial Public Offering, described below, and identifying a target company for a Business Combination. We do not expect to generate any operating revenues until after the completion of our Business Combination. We generate non-operating income in the form of interest dividends on investments held in the Trust Account. We incur expenses as a result of being a public company (for legal, financial reporting, accounting and auditing compliance), as well as for due diligence and transaction expenses.</w:t>
      </w:r>
    </w:p>
    <w:p>
      <w:pPr>
        <w:spacing w:after="0" w:line="19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the three months ended September 30, 2023, we had a net income of $3,362, which consisted of interest from investments held in our Trust Account of $910,391, offset by operating costs and franchise taxes of $727,703 and provision for income taxes of $179,326.</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nine months ended September 30, 2023, we had a net income of $1,676,925, which consisted of interest from investments held in our Trust Account of $4,809,802, offset by $2,179,968 in operating costs and franchise taxes and provision for income taxes of $952,909.</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 months ended September 30, 2022, we had a net income of $661,883, which consisted of interest from investments held in our Trust Account of $1,317,125, offset by formation and operating costs of $402,504 and provision for income taxes of $252,738.</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nine months ended September 30, 2022, we had a net income of $658,283, which consisted of interest from investments held in our Trust Account of $1,740,557, offset by formation and operating costs of $748,860 and provision for income taxes of $333,414.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Going Concern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September 30, 2023, the Company had $358 in its operating bank accounts, $70,796,551 in investments held in the Trust Account to be used for a Business Combination or to repurchase or redeem its Public Shares in connection therewith and working capital deficit of $4,458,673. As of September 30, 2023, $3,494,914 of the amount on deposit in the Trust Account represented interest income.</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liquidity needs up to September 30, 2023 had been satisfied through a payment from our sponsor of $25,000 for the Founder Shares to cover certain offering costs, the loan under an unsecured promissory note from the Sponsor of $144,746 and the net proceeds from the consummation of the Initial Public Offering held outside of the trust account. As of September 30, 2023, there was $99,975 outstanding under any Working Capital Loans. As of December 31, 2022, no working capital loans were outstanding. The Company has withdrawn $2,039,910 from the trust fund to pay its outstanding tax liabilities.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is less than 7 months from its mandatory liquidation as of the time of filing this Annual Report on Form 10-K. 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and mandatory liquidation raises substantial doubt about the Company’s ability to</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continue as a going concern for at least one year from the date the unaudited condensed financial statements contained in this Annual Report on Form 10-K are issued.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conditions raise substantial doubt about the Company’s ability to continue as a going concern. These unaudited condensed financial statements do not include any adjustments relating to the recovery of the recorded assets or the classification of the liabilities that might be necessary should the Company be unable to continue as a going concern.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September 30, 2023.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an agreement to pay an affiliate of our financial advisor a monthly fee of $10,000 for office space, utilities and administrative support. Upon completion of our Business Combination or the Company’s liquidation, we will cease paying these monthly fees.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the unaudited condensed financial statements in conformity with U.S. GAAP requires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 Actual results could differ from those estimates. We have identified the following as our critical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our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our control) are classified as temporary equity. At all other times, common stock is classified as stockholders’ equity. Our Class A common stock feature certain redemption rights that are considered to be outside of our control and subject to the occurrence of uncertain future events. Accordingly, as of September 30, 2023 and December 31, 2022, 6,630,703 and 28,750,000 Class A common stock subject to possible redemption are presented at redemption value as temporary equity, outside of the stockholders’ deficit section of our balance sheets, respectively.</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815-15.</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account for the public warrants and private warrants collectively (“Warrants”), as either equity or liability-classified instruments based on an assessment of the specific terms of the Warrants and the applicable authoritative guidance in Financial Accounting Standards Board (“FASB”) Accounting Standards Codification (“ASC”) 815, Derivatives and Hedging (“ASC 815”). The assessment considers whether the Warrants meet all of the requirements for equity classification under ASC 815, including whether the Warrants are indexed to our own common stocks and whether the warrant holders could potentially require “net cash settlement” in a circumstance outside of</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control, among other conditions for equity classification. This assessment, which requires the use of professional judgment, is conducted at the time of issuance of the Warrants and as of each subsequent quarterly period end date while the Warrants are outstanding.</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such warrants are required to be recorded as a component of additional paid-in capital at the time of issuance. For issued or modified warrants that do not meet all the criteria for equity classification, such warrants are required to be recorded at their initial fair value on the date of issuance, and each balance sheet date thereafter. Changes in the estimated fair value of liability-classified warrants are recognized as a non-cash gain or loss on the statements of operations.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evaluated the public warrants and private warrants in accordance with ASC 815-40, “Derivatives and Hedging — Contracts in Entity’s Own Equity,” and concluded that they met the criteria for equity classification and are required to be recorded as part a component of additional paid-in capital at the time of issuance.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Common Stock</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two classes of shares, which are referred to as Class A common stock and Class B common stock. Earnings and losses are shared pro rata between the two classes of shares. The 29,648,250 potential common stocks for outstanding warrants to purchase our shares were excluded from diluted earnings per share for the three and nine months ended September 30, 2023 and 2022 because the warrants are contingently exercisable, and the contingencies have not yet been met and its inclusion would be anti-dilutive. As a result, diluted net income or loss per common stock is the same as basic net income or loss per common stock for the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We are currently assessing the impact, if any, that ASU 2020-06 would have on our financial position, results of operations or cash flows. We have not adopted this guidance as of September 30, 2023.</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management does not believe that any other recently issued, but not yet effective, accounting standards if currently adopted would have a material effect on the accompanying financial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principal executive officer and principal financial officer,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our disclosure controls and procedures as of the end of the fiscal quarter ended September 30, 2023, as such term is defined in Rules 13a-15(e) and 15d-15(e) under the Exchange Act. Based on this evaluation, our principal executive officer and principal financial officer has concluded that during the period covered by this report, our disclosure controls and procedures were effective.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the Excise Tax included in the Inflation Reduction Act of 2022 in connection with redemptions of our common stock after December 31, 2023.</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w:t>
      </w:r>
    </w:p>
    <w:p>
      <w:pPr>
        <w:spacing w:after="0" w:line="4" w:lineRule="exact"/>
        <w:rPr>
          <w:sz w:val="20"/>
          <w:szCs w:val="20"/>
          <w:color w:val="auto"/>
        </w:rPr>
      </w:pPr>
    </w:p>
    <w:p>
      <w:pPr>
        <w:jc w:val="both"/>
        <w:ind w:firstLine="8"/>
        <w:spacing w:after="0" w:line="271" w:lineRule="auto"/>
        <w:tabs>
          <w:tab w:leader="none" w:pos="33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14"/>
                <w:szCs w:val="14"/>
                <w:color w:val="auto"/>
              </w:rPr>
            </w:pPr>
          </w:p>
        </w:tc>
        <w:tc>
          <w:tcPr>
            <w:tcW w:w="84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31.1*</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0000EE"/>
            </w:tcBorders>
            <w:shd w:val="clear" w:color="auto" w:fill="CCEEFF"/>
          </w:tcPr>
          <w:p>
            <w:pPr>
              <w:spacing w:after="0"/>
              <w:rPr>
                <w:sz w:val="14"/>
                <w:szCs w:val="14"/>
                <w:color w:val="auto"/>
              </w:rPr>
            </w:pPr>
          </w:p>
        </w:tc>
        <w:tc>
          <w:tcPr>
            <w:tcW w:w="8420" w:type="dxa"/>
            <w:vAlign w:val="bottom"/>
            <w:tcBorders>
              <w:top w:val="single" w:sz="8" w:color="auto"/>
              <w:bottom w:val="single" w:sz="8" w:color="0000EE"/>
            </w:tcBorders>
            <w:gridSpan w:val="2"/>
            <w:shd w:val="clear" w:color="auto" w:fill="CCEEFF"/>
          </w:tcPr>
          <w:p>
            <w:pPr>
              <w:spacing w:after="0" w:line="169" w:lineRule="exact"/>
              <w:rPr>
                <w:sz w:val="20"/>
                <w:szCs w:val="20"/>
                <w:color w:val="auto"/>
              </w:rPr>
            </w:pPr>
            <w:r>
              <w:rPr>
                <w:rFonts w:ascii="Arial" w:cs="Arial" w:eastAsia="Arial" w:hAnsi="Arial"/>
                <w:sz w:val="18"/>
                <w:szCs w:val="18"/>
                <w:color w:val="0000EE"/>
                <w:w w:val="92"/>
              </w:rPr>
              <w:t>Certification of Principal Executive Officer Pursuant to Securities Exchange Act Rules 13a-14(a) and 15d-14(a), as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0000EE"/>
              </w:rPr>
              <w:t>adopted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60" w:type="dxa"/>
            <w:vAlign w:val="bottom"/>
            <w:tcBorders>
              <w:top w:val="single" w:sz="8" w:color="0000EE"/>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20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260" w:type="dxa"/>
            <w:vAlign w:val="bottom"/>
          </w:tcPr>
          <w:p>
            <w:pPr>
              <w:spacing w:after="0"/>
              <w:rPr>
                <w:sz w:val="15"/>
                <w:szCs w:val="15"/>
                <w:color w:val="auto"/>
              </w:rPr>
            </w:pPr>
          </w:p>
        </w:tc>
        <w:tc>
          <w:tcPr>
            <w:tcW w:w="8440" w:type="dxa"/>
            <w:vAlign w:val="bottom"/>
            <w:tcBorders>
              <w:bottom w:val="single" w:sz="8" w:color="0000EE"/>
            </w:tcBorders>
            <w:gridSpan w:val="3"/>
          </w:tcPr>
          <w:p>
            <w:pPr>
              <w:spacing w:after="0" w:line="176" w:lineRule="exact"/>
              <w:rPr>
                <w:sz w:val="20"/>
                <w:szCs w:val="20"/>
                <w:color w:val="auto"/>
              </w:rPr>
            </w:pPr>
            <w:r>
              <w:rPr>
                <w:rFonts w:ascii="Arial" w:cs="Arial" w:eastAsia="Arial" w:hAnsi="Arial"/>
                <w:sz w:val="18"/>
                <w:szCs w:val="18"/>
                <w:color w:val="0000EE"/>
                <w:w w:val="93"/>
              </w:rPr>
              <w:t>Certification of Principal Financial Officer Pursuant to Securities Exchange Act Rules 13a-14(a) and 15d-14(a), as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40" w:type="dxa"/>
            <w:vAlign w:val="bottom"/>
            <w:gridSpan w:val="3"/>
          </w:tcPr>
          <w:p>
            <w:pPr>
              <w:spacing w:after="0" w:line="196" w:lineRule="exact"/>
              <w:rPr>
                <w:sz w:val="20"/>
                <w:szCs w:val="20"/>
                <w:color w:val="auto"/>
              </w:rPr>
            </w:pPr>
            <w:r>
              <w:rPr>
                <w:rFonts w:ascii="Arial" w:cs="Arial" w:eastAsia="Arial" w:hAnsi="Arial"/>
                <w:sz w:val="18"/>
                <w:szCs w:val="18"/>
                <w:color w:val="0000EE"/>
              </w:rPr>
              <w:t>adopted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60" w:type="dxa"/>
            <w:vAlign w:val="bottom"/>
            <w:tcBorders>
              <w:top w:val="single" w:sz="8" w:color="0000EE"/>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260" w:type="dxa"/>
            <w:vAlign w:val="bottom"/>
            <w:tcBorders>
              <w:bottom w:val="single" w:sz="8" w:color="CCEEFF"/>
            </w:tcBorders>
            <w:shd w:val="clear" w:color="auto" w:fill="CCEEFF"/>
          </w:tcPr>
          <w:p>
            <w:pPr>
              <w:spacing w:after="0"/>
              <w:rPr>
                <w:sz w:val="15"/>
                <w:szCs w:val="15"/>
                <w:color w:val="auto"/>
              </w:rPr>
            </w:pPr>
          </w:p>
        </w:tc>
        <w:tc>
          <w:tcPr>
            <w:tcW w:w="844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4"/>
              </w:rPr>
              <w:t>Certification of Principal Executive Officer and Principal Financial Officer Pursuant to 18 U.S.C. Section 1350,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0000EE"/>
              </w:rPr>
              <w:t>adopted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101.INS</w:t>
            </w:r>
          </w:p>
        </w:tc>
        <w:tc>
          <w:tcPr>
            <w:tcW w:w="260" w:type="dxa"/>
            <w:vAlign w:val="bottom"/>
            <w:tcBorders>
              <w:top w:val="single" w:sz="8" w:color="CCEEFF"/>
            </w:tcBorders>
          </w:tcPr>
          <w:p>
            <w:pPr>
              <w:spacing w:after="0"/>
              <w:rPr>
                <w:sz w:val="18"/>
                <w:szCs w:val="18"/>
                <w:color w:val="auto"/>
              </w:rPr>
            </w:pPr>
          </w:p>
        </w:tc>
        <w:tc>
          <w:tcPr>
            <w:tcW w:w="48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Inline XBRL Instance Document</w:t>
            </w:r>
          </w:p>
        </w:tc>
        <w:tc>
          <w:tcPr>
            <w:tcW w:w="3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26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26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26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340" w:right="20" w:hanging="332"/>
        <w:spacing w:after="0" w:line="25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6600" w:type="dxa"/>
            <w:vAlign w:val="bottom"/>
            <w:gridSpan w:val="2"/>
          </w:tcPr>
          <w:p>
            <w:pPr>
              <w:ind w:left="1640"/>
              <w:spacing w:after="0"/>
              <w:rPr>
                <w:sz w:val="20"/>
                <w:szCs w:val="20"/>
                <w:color w:val="auto"/>
              </w:rPr>
            </w:pPr>
            <w:r>
              <w:rPr>
                <w:rFonts w:ascii="Arial" w:cs="Arial" w:eastAsia="Arial" w:hAnsi="Arial"/>
                <w:sz w:val="18"/>
                <w:szCs w:val="18"/>
                <w:b w:val="1"/>
                <w:bCs w:val="1"/>
                <w:color w:val="auto"/>
              </w:rPr>
              <w:t>BurTech Acquisition Corp.</w:t>
            </w:r>
          </w:p>
        </w:tc>
      </w:tr>
      <w:tr>
        <w:trPr>
          <w:trHeight w:val="432"/>
        </w:trPr>
        <w:tc>
          <w:tcPr>
            <w:tcW w:w="3320" w:type="dxa"/>
            <w:vAlign w:val="bottom"/>
          </w:tcPr>
          <w:p>
            <w:pPr>
              <w:spacing w:after="0"/>
              <w:rPr>
                <w:sz w:val="20"/>
                <w:szCs w:val="20"/>
                <w:color w:val="auto"/>
              </w:rPr>
            </w:pPr>
            <w:r>
              <w:rPr>
                <w:rFonts w:ascii="Arial" w:cs="Arial" w:eastAsia="Arial" w:hAnsi="Arial"/>
                <w:sz w:val="16"/>
                <w:szCs w:val="16"/>
                <w:color w:val="auto"/>
              </w:rPr>
              <w:t>Date: November 13, 2023</w:t>
            </w:r>
          </w:p>
        </w:tc>
        <w:tc>
          <w:tcPr>
            <w:tcW w:w="6600" w:type="dxa"/>
            <w:vAlign w:val="bottom"/>
            <w:gridSpan w:val="2"/>
          </w:tcPr>
          <w:p>
            <w:pPr>
              <w:ind w:left="1640"/>
              <w:spacing w:after="0"/>
              <w:rPr>
                <w:sz w:val="20"/>
                <w:szCs w:val="20"/>
                <w:color w:val="auto"/>
              </w:rPr>
            </w:pPr>
            <w:r>
              <w:rPr>
                <w:rFonts w:ascii="Arial" w:cs="Arial" w:eastAsia="Arial" w:hAnsi="Arial"/>
                <w:sz w:val="18"/>
                <w:szCs w:val="18"/>
                <w:color w:val="auto"/>
              </w:rPr>
              <w:t>By:/s/ Shahal Khan</w:t>
            </w:r>
          </w:p>
        </w:tc>
      </w:tr>
      <w:tr>
        <w:trPr>
          <w:trHeight w:val="195"/>
        </w:trPr>
        <w:tc>
          <w:tcPr>
            <w:tcW w:w="3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Shahal Khan</w:t>
            </w:r>
          </w:p>
        </w:tc>
      </w:tr>
      <w:tr>
        <w:trPr>
          <w:trHeight w:val="230"/>
        </w:trPr>
        <w:tc>
          <w:tcPr>
            <w:tcW w:w="3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Executive Officer (</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432"/>
        </w:trPr>
        <w:tc>
          <w:tcPr>
            <w:tcW w:w="3320" w:type="dxa"/>
            <w:vAlign w:val="bottom"/>
          </w:tcPr>
          <w:p>
            <w:pPr>
              <w:spacing w:after="0"/>
              <w:rPr>
                <w:sz w:val="20"/>
                <w:szCs w:val="20"/>
                <w:color w:val="auto"/>
              </w:rPr>
            </w:pPr>
            <w:r>
              <w:rPr>
                <w:rFonts w:ascii="Arial" w:cs="Arial" w:eastAsia="Arial" w:hAnsi="Arial"/>
                <w:sz w:val="16"/>
                <w:szCs w:val="16"/>
                <w:color w:val="auto"/>
              </w:rPr>
              <w:t>Date: November 13, 2023</w:t>
            </w:r>
          </w:p>
        </w:tc>
        <w:tc>
          <w:tcPr>
            <w:tcW w:w="6600" w:type="dxa"/>
            <w:vAlign w:val="bottom"/>
            <w:gridSpan w:val="2"/>
          </w:tcPr>
          <w:p>
            <w:pPr>
              <w:ind w:left="1640"/>
              <w:spacing w:after="0"/>
              <w:rPr>
                <w:sz w:val="20"/>
                <w:szCs w:val="20"/>
                <w:color w:val="auto"/>
              </w:rPr>
            </w:pPr>
            <w:r>
              <w:rPr>
                <w:rFonts w:ascii="Arial" w:cs="Arial" w:eastAsia="Arial" w:hAnsi="Arial"/>
                <w:sz w:val="18"/>
                <w:szCs w:val="18"/>
                <w:color w:val="auto"/>
              </w:rPr>
              <w:t>By:/s/ Roman Livson</w:t>
            </w:r>
          </w:p>
        </w:tc>
      </w:tr>
      <w:tr>
        <w:trPr>
          <w:trHeight w:val="195"/>
        </w:trPr>
        <w:tc>
          <w:tcPr>
            <w:tcW w:w="3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Roman Livson</w:t>
            </w:r>
          </w:p>
        </w:tc>
      </w:tr>
      <w:tr>
        <w:trPr>
          <w:trHeight w:val="216"/>
        </w:trPr>
        <w:tc>
          <w:tcPr>
            <w:tcW w:w="3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 and Secretary</w:t>
            </w:r>
          </w:p>
        </w:tc>
      </w:tr>
      <w:tr>
        <w:trPr>
          <w:trHeight w:val="230"/>
        </w:trPr>
        <w:tc>
          <w:tcPr>
            <w:tcW w:w="3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Shahal Khan,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quarterly period ended September 30, 2023 of BurTech Acquisition Corp.;</w:t>
      </w:r>
    </w:p>
    <w:p>
      <w:pPr>
        <w:spacing w:after="0" w:line="248" w:lineRule="exact"/>
        <w:rPr>
          <w:rFonts w:ascii="Arial" w:cs="Arial" w:eastAsia="Arial" w:hAnsi="Arial"/>
          <w:sz w:val="16"/>
          <w:szCs w:val="16"/>
          <w:color w:val="auto"/>
        </w:rPr>
      </w:pPr>
    </w:p>
    <w:p>
      <w:pPr>
        <w:jc w:val="both"/>
        <w:ind w:firstLine="8"/>
        <w:spacing w:after="0" w:line="263" w:lineRule="auto"/>
        <w:tabs>
          <w:tab w:leader="none" w:pos="1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firstLine="8"/>
        <w:spacing w:after="0" w:line="277" w:lineRule="auto"/>
        <w:tabs>
          <w:tab w:leader="none" w:pos="18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3" w:lineRule="auto"/>
        <w:tabs>
          <w:tab w:leader="none" w:pos="8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periods in which this report is being prepared;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895"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65" w:lineRule="exact"/>
        <w:rPr>
          <w:rFonts w:ascii="Arial" w:cs="Arial" w:eastAsia="Arial" w:hAnsi="Arial"/>
          <w:sz w:val="17"/>
          <w:szCs w:val="17"/>
          <w:color w:val="auto"/>
        </w:rPr>
      </w:pPr>
    </w:p>
    <w:p>
      <w:pPr>
        <w:jc w:val="both"/>
        <w:ind w:left="660" w:hanging="4"/>
        <w:spacing w:after="0" w:line="263" w:lineRule="auto"/>
        <w:tabs>
          <w:tab w:leader="none" w:pos="85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periods covered by this report based on such evaluation;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886"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firstLine="8"/>
        <w:spacing w:after="0" w:line="263" w:lineRule="auto"/>
        <w:tabs>
          <w:tab w:leader="none" w:pos="1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6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4"/>
        <w:spacing w:after="0" w:line="277" w:lineRule="auto"/>
        <w:tabs>
          <w:tab w:leader="none" w:pos="8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2023</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5715</wp:posOffset>
            </wp:positionV>
            <wp:extent cx="29571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8"/>
          <w:szCs w:val="18"/>
          <w:color w:val="auto"/>
        </w:rPr>
        <w:t>Shahal Khan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Roman Livson,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quarterly period ended September 30, 2023 of BurTech Acquisition Corp.;</w:t>
      </w:r>
    </w:p>
    <w:p>
      <w:pPr>
        <w:spacing w:after="0" w:line="248" w:lineRule="exact"/>
        <w:rPr>
          <w:rFonts w:ascii="Arial" w:cs="Arial" w:eastAsia="Arial" w:hAnsi="Arial"/>
          <w:sz w:val="16"/>
          <w:szCs w:val="16"/>
          <w:color w:val="auto"/>
        </w:rPr>
      </w:pPr>
    </w:p>
    <w:p>
      <w:pPr>
        <w:jc w:val="both"/>
        <w:ind w:firstLine="8"/>
        <w:spacing w:after="0" w:line="263" w:lineRule="auto"/>
        <w:tabs>
          <w:tab w:leader="none" w:pos="1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firstLine="8"/>
        <w:spacing w:after="0" w:line="277" w:lineRule="auto"/>
        <w:tabs>
          <w:tab w:leader="none" w:pos="18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3" w:lineRule="auto"/>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periods in which this report is being prepared;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895"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65" w:lineRule="exact"/>
        <w:rPr>
          <w:rFonts w:ascii="Arial" w:cs="Arial" w:eastAsia="Arial" w:hAnsi="Arial"/>
          <w:sz w:val="17"/>
          <w:szCs w:val="17"/>
          <w:color w:val="auto"/>
        </w:rPr>
      </w:pPr>
    </w:p>
    <w:p>
      <w:pPr>
        <w:jc w:val="both"/>
        <w:ind w:left="660" w:hanging="4"/>
        <w:spacing w:after="0" w:line="263" w:lineRule="auto"/>
        <w:tabs>
          <w:tab w:leader="none" w:pos="8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periods covered by this report based on such evaluation;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886"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firstLine="8"/>
        <w:spacing w:after="0" w:line="263" w:lineRule="auto"/>
        <w:tabs>
          <w:tab w:leader="none" w:pos="1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6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4"/>
        <w:spacing w:after="0" w:line="277" w:lineRule="auto"/>
        <w:tabs>
          <w:tab w:leader="none" w:pos="8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2023</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5715</wp:posOffset>
            </wp:positionV>
            <wp:extent cx="29571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8"/>
          <w:szCs w:val="18"/>
          <w:color w:val="auto"/>
        </w:rPr>
        <w:t>Roman Livson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BurTech Acquisition Corp. (the “Company”) on Form 10-Q for the quarterly period ended September 30, 2023, as filed with the Securities and Exchange Commission (the “Report”), each of the undersigned, in the capacities and on the dates indicated below, certify, pursuant to 18 U.S.C. §1350, as added by §906 of the Sarbanes-Oxley Act of 2002, that:</w:t>
      </w:r>
    </w:p>
    <w:p>
      <w:pPr>
        <w:spacing w:after="0" w:line="149" w:lineRule="exact"/>
        <w:rPr>
          <w:sz w:val="20"/>
          <w:szCs w:val="20"/>
          <w:color w:val="auto"/>
        </w:rPr>
      </w:pPr>
    </w:p>
    <w:p>
      <w:pPr>
        <w:ind w:left="840" w:hanging="184"/>
        <w:spacing w:after="0"/>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hanging="4"/>
        <w:spacing w:after="0" w:line="277" w:lineRule="auto"/>
        <w:tabs>
          <w:tab w:leader="none" w:pos="84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2023</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5715</wp:posOffset>
            </wp:positionV>
            <wp:extent cx="29571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8"/>
          <w:szCs w:val="18"/>
          <w:color w:val="auto"/>
        </w:rPr>
        <w:t>Shahal Khan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2023</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5715</wp:posOffset>
            </wp:positionV>
            <wp:extent cx="29571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8"/>
          <w:szCs w:val="18"/>
          <w:color w:val="auto"/>
        </w:rPr>
        <w:t>Roman Livson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Roman"/>
      <w:start w:val="3"/>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Roman"/>
      <w:start w:val="4"/>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Roman"/>
      <w:start w:val="4"/>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2023-11-14T05:26:50Z</dcterms:created>
  <dcterms:modified xsi:type="dcterms:W3CDTF">2023-11-14T05:26:50Z</dcterms:modified>
</cp:coreProperties>
</file>