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28, 2023 (December 22,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on December 22, 2023, BurTech Acquisition Corp., a publicly traded special purpose acquisition company incorporated under the laws of the State of Delaware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by and among BurTech, BurTech Merger Sub Inc., a Delaware corporation and a direct, wholly owned subsidiary of BurTech (“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“Merger”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 (“New Blaize”).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w:t>
      </w:r>
      <w:r>
        <w:rPr>
          <w:rFonts w:ascii="Times New Roman" w:cs="Times New Roman" w:eastAsia="Times New Roman" w:hAnsi="Times New Roman"/>
          <w:sz w:val="18"/>
          <w:szCs w:val="18"/>
          <w:u w:val="single" w:color="auto"/>
          <w:color w:val="auto"/>
        </w:rPr>
        <w:t>Blaize Common Stock</w:t>
      </w:r>
      <w:r>
        <w:rPr>
          <w:rFonts w:ascii="Times New Roman" w:cs="Times New Roman" w:eastAsia="Times New Roman" w:hAnsi="Times New Roman"/>
          <w:sz w:val="18"/>
          <w:szCs w:val="18"/>
          <w:color w:val="auto"/>
        </w:rPr>
        <w:t>”), that, following the conversion of Blaize Common Stock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pursuant to the Merger Agreement, would result in up to 6,833,333 shares of BurTech Class A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for aggregate gross proceeds to Blaize of $25.0 million. Blaize issued the Warrant, which has an aggregate exercise price of $68,333.33 and an assumed purchase price of $68,333.33, to Burkhan concurrently with the execution of the Merger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and Blaize stock option that will be assumed) will be cancelled in exchange for the right to receive a number of shares of BurTech Class A common stock (rounded up to the nearest whole share) equal to the quotient obtained by dividing (a) 77,000,000 by (b) the Aggregate Company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(B) each Blaize stock option that is outstanding and unexercised as of immediately prior to the Effective Time will be converted into an option to purchase shares of BurTech Class A common stock (“</w:t>
      </w:r>
      <w:r>
        <w:rPr>
          <w:rFonts w:ascii="Times New Roman" w:cs="Times New Roman" w:eastAsia="Times New Roman" w:hAnsi="Times New Roman"/>
          <w:sz w:val="18"/>
          <w:szCs w:val="18"/>
          <w:u w:val="single" w:color="auto"/>
          <w:color w:val="auto"/>
        </w:rPr>
        <w:t>New Blaize Options</w:t>
      </w:r>
      <w:r>
        <w:rPr>
          <w:rFonts w:ascii="Times New Roman" w:cs="Times New Roman" w:eastAsia="Times New Roman" w:hAnsi="Times New Roman"/>
          <w:sz w:val="18"/>
          <w:szCs w:val="18"/>
          <w:color w:val="auto"/>
        </w:rPr>
        <w:t>”) as set forth in the Merger Agreement, and (C) each Blaize RSU that is outstanding and unsettled as of immediately prior to the Effective Time will be converted into an award of RSUs relating to shares of BurTech Class A common stock (“</w:t>
      </w:r>
      <w:r>
        <w:rPr>
          <w:rFonts w:ascii="Times New Roman" w:cs="Times New Roman" w:eastAsia="Times New Roman" w:hAnsi="Times New Roman"/>
          <w:sz w:val="18"/>
          <w:szCs w:val="18"/>
          <w:u w:val="single" w:color="auto"/>
          <w:color w:val="auto"/>
        </w:rPr>
        <w:t>New Blaize RSUs</w:t>
      </w:r>
      <w:r>
        <w:rPr>
          <w:rFonts w:ascii="Times New Roman" w:cs="Times New Roman" w:eastAsia="Times New Roman" w:hAnsi="Times New Roman"/>
          <w:sz w:val="18"/>
          <w:szCs w:val="18"/>
          <w:color w:val="auto"/>
        </w:rPr>
        <w:t>”) as set forth in the Merger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Shares</w:t>
      </w:r>
      <w:r>
        <w:rPr>
          <w:rFonts w:ascii="Times New Roman" w:cs="Times New Roman" w:eastAsia="Times New Roman" w:hAnsi="Times New Roman"/>
          <w:sz w:val="18"/>
          <w:szCs w:val="18"/>
          <w:color w:val="auto"/>
        </w:rPr>
        <w:t>” means, without duplication, (i) the sum of the number of shares of Blaize Common Stock that are (a) issued and outstanding immediately prior to the Effective Time (following the conversion or exercise of the outstanding convertible notes, preferred stock and warrants of Blaize but excluding any shares of Burkhan Company Stock (as defined in the Merger Agreement), and any treasury stock to be cancelled) and (b) issuable upon the exercise or settlement of Blaize stock awards (in each case, whether or 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for a period from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until the five-year anniversary thereof (the “</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in accordance with the schedule set forth in the Merger Agreement. The earnout shares are to be issued to Burkhan and shareholders of Blaize contingent, in each case, on the closing stock price of the New Blaize common stock exceeding the following thresholds: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$20.00 per share for 20 trading days within any 30 consecutive trading day period during the Earnout Period, then (i) 3,750,000 Earnout Shares will be issued to Blaize shareholders and (ii) 325,000 Earnout Shares will be issued to Burkhan.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 (i) approval of the Business Combination and related agreements and transactions by the respective shareholders of BurTech and Blaize, (ii) effectiveness of the registration statement on Form S-4 to be filed by BurTech in connection with the Business Combination, (iii) expiration or termination of the waiting period under the Hart-Scott-Rodino Antitrust Improvements Act, if applicable, (iv) 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conditions to BurTech’s obligations to consummate the Merger include, among others, that as of the Closing, (i) the representations and warranties of Blaize being true and correct, subject to the materiality standards contained in the Merger Agreement, (ii) 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conditions to Blaize’s obligations to consummate the Merger include, among others, that as of the Closing, (i) the representations and warranties of BurTech and Merger Sub being true and correct, subject to the materiality standards contained in the Merger Agreement, (ii) BurTech shall have performed all covenants required to be performed by BurTech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BurTech’s initial public offering and private placement of its warrants have been deposited for the benefit of its public shareholders following redemptions by BurTech’s stockholders in connection with the BurTech stockholder meeting held for purposes of approving the Business Combination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plus the proceeds of any financing transaction of BurTech or Blaize prior to the Closing, plus the aggregate gross proceeds of $5.0 million received by Blaize pursuant to a previous convertible note financing transaction, and subject to the deductions and conditions set forth in the Merger Agreement, including deductions for certain BurTech and Blaize transaction expenses, is equal to or greater than $125,000,000 and (v) other than persons designated by the parties to the Merger Agreement to be nominated for election to the board of directors of New Blaize in accordance with the terms of the Merger Agreement, all members of the board of directors and executive officers of BurTech shall have executed written resignations effective as of the Effective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use commercially reasonable efforts to conduct their respective businesses in the ordinary course through the Closing, (ii) Blaize to prepare and deliver to BurTech certain audited and unaudited consolidated financial statements of Blaize, (iii) BurTech to prepare and file a registration statement on Form S-4 and take certain other actions to obtain the requisite approval of BurTech shareholders of certain proposals regarding the Business Combination and (iv) the parties to use reasonable best efforts to obtain necessary approvals from governmental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BurTech, Merger Sub and Blaize that are customary for transactions of this type. The representations and warranties of the respective parties to the Merger Agreement will not survive the Closing.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BurTech and Blaize, (ii) by BurTech or Blaize, if requisite approvals of the shareholders of BurTech are not obtained as set forth therein, (iii) by Blaize if there is a Modification in Recommendation (as defined in the Merger Agreement), (iv) by BurTech if requisite approvals of the shareholders of Blaize are not obtained as soon as reasonably practicable following the effectiveness of the registration statement on Form S-4 to be filed by BurTech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BurTech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Between the date of the Merger Agreement and the Closing, BurTech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BurTech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BurTech is not restricted from responding to unsolicited inbound inquiries to the extent required for the board of directors of BurTech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its fiduciary duties. “</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relating to a Business Combination.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BurTech and its representatives) previously conducted with respect to, or that could lead to, any Company Acquisition Proposal. “</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inquiry, proposal or offer concerning a merger, consolidation, liquidation, recapitalization, share exchange or other transaction involving the sale, lease, exchange or other disposition of more than fifteen percent (15%) of the properties or assets or equity interests of Blaize or any of its subsidiaries, excluding, for the avoidance of doubt, any Company Financing.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Financing” means, subject to certain limited exceptions contained in the Merger Agreement, a private placement of (i) 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required under applicable rules of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BurTech will use its reasonable best efforts to cause the shares of BurTech Class A common stock to be issued in connection with the Business Combination to be approved for listing on Nasdaq at the Closing. Until the Closing, BurTech must use its reasonable best efforts to cause BurTech to remain listed as a public company on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Ancillary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with BurTech and Blaize, pursuant to which such stockholders have agreed to, among other things,</w:t>
      </w:r>
    </w:p>
    <w:p>
      <w:pPr>
        <w:jc w:val="both"/>
        <w:ind w:firstLine="8"/>
        <w:spacing w:after="0" w:line="251" w:lineRule="auto"/>
        <w:tabs>
          <w:tab w:leader="none" w:pos="2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 Capital Stock (as defined in the Company Support Agreement), subject to certain exceptions, and termination of certain stockholder agreements and other affiliate agreements of Blaize.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BurTech and Blaize entered into an agreement (the “</w:t>
      </w:r>
      <w:r>
        <w:rPr>
          <w:rFonts w:ascii="Times New Roman" w:cs="Times New Roman" w:eastAsia="Times New Roman" w:hAnsi="Times New Roman"/>
          <w:sz w:val="18"/>
          <w:szCs w:val="18"/>
          <w:u w:val="single" w:color="auto"/>
          <w:color w:val="auto"/>
        </w:rPr>
        <w:t>Sponsor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BurTech LP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which, among other things, in connection with the Closing, the Sponsor agreed to (i) vote all its shares of BurTech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 provision of the Sponsor Support Agreements, the Merger Agreement or the timely consummation of the Merger, (b) result in a breach in any respect of any covenant, representation, warranty or any other obligation or agreement of BurTech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BurTech with respect to the Class B common stock of BurTech, in each case, on the terms and subject to the conditions set forth in the Sponsor Support Agreement, and (v) be bound by certain other covenants and agreements related to the Business Combination, including a restriction on the transfer of BurTech Class B common stock and private placement units of BurTech, subject to certain exceptions.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New Blaize will agree to register for resale, pursuant to Rule 415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certain shares of New Blaize common stock and other equity securities of New Blaize that are held by the parties thereto from time to time on the terms and subject to the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with the Sponsor, Burkhan and certain other controlled affiliates of Burkhan (collectively, the “</w:t>
      </w:r>
      <w:r>
        <w:rPr>
          <w:rFonts w:ascii="Times New Roman" w:cs="Times New Roman" w:eastAsia="Times New Roman" w:hAnsi="Times New Roman"/>
          <w:sz w:val="18"/>
          <w:szCs w:val="18"/>
          <w:u w:val="single" w:color="auto"/>
          <w:color w:val="auto"/>
        </w:rPr>
        <w:t>Stockholder Group</w:t>
      </w:r>
      <w:r>
        <w:rPr>
          <w:rFonts w:ascii="Times New Roman" w:cs="Times New Roman" w:eastAsia="Times New Roman" w:hAnsi="Times New Roman"/>
          <w:sz w:val="18"/>
          <w:szCs w:val="18"/>
          <w:color w:val="auto"/>
        </w:rPr>
        <w:t>”),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Merger Agreement, the Company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 Support Agreement, the Sponsor Support Agreement, the form of Registration Rights Agreement, the form of Lock-up Agreement, and the form of Stockholders’ Agreement, copies of which are filed with this Current Report on Form 8-K as Exhibit 2.1, Exhibit 10.1, Exhibit 10.2, Exhibit 10.3, Exhibit 10.4, and Exhibit 10.5 respectively, and the terms of which are incorporated by reference herein.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the Company Support Agreement, the Sponsor Support Agreement, the Registration Rights Agreement, the Lock-up Agreement, and the Stockholders’ Agreement and the other documents related thereto (collectively, the “Transaction Documents”) have been included to provide investors with information regarding their terms. They are not intended to provide any other factual information about BurTech,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BurTech’s public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U.S. Securities and Exchange Commission (“SEC”), which will include a preliminary prospectus and proxy statement of BurTech in connection with the Business Combination, referred to as a proxy statement/prospectus (the “Registration Statement”),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00" w:type="dxa"/>
            <w:vAlign w:val="bottom"/>
            <w:gridSpan w:val="6"/>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gridSpan w:val="4"/>
          </w:tcPr>
          <w:p>
            <w:pPr>
              <w:spacing w:after="0"/>
              <w:rPr>
                <w:sz w:val="24"/>
                <w:szCs w:val="24"/>
                <w:color w:val="auto"/>
              </w:rPr>
            </w:pPr>
          </w:p>
        </w:tc>
      </w:tr>
      <w:tr>
        <w:trPr>
          <w:trHeight w:val="169"/>
        </w:trPr>
        <w:tc>
          <w:tcPr>
            <w:tcW w:w="1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Agreement and Plan of Merger, dated as of December 22, 2023 by and among BurTech Acquisition Corp., BurTech Merger Sub Inc.,</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Blaize, Inc. and Burkhan Capital LLC.</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5"/>
                <w:szCs w:val="15"/>
                <w:color w:val="auto"/>
              </w:rPr>
            </w:pPr>
          </w:p>
        </w:tc>
        <w:tc>
          <w:tcPr>
            <w:tcW w:w="9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Stockholder Support Agreement, dated as of December 22, 2023, by and among BurTech Acquisition Corp., Blaize, Inc. and certain</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 parties thereto.</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220" w:type="dxa"/>
            <w:vAlign w:val="bottom"/>
            <w:shd w:val="clear" w:color="auto" w:fill="CCEEFF"/>
          </w:tcPr>
          <w:p>
            <w:pPr>
              <w:spacing w:after="0"/>
              <w:rPr>
                <w:sz w:val="15"/>
                <w:szCs w:val="15"/>
                <w:color w:val="auto"/>
              </w:rPr>
            </w:pPr>
          </w:p>
        </w:tc>
        <w:tc>
          <w:tcPr>
            <w:tcW w:w="9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Sponsor Support Agreement, dated as of December 22, 2023, by and among BurTech LP LLC, BurTech Acquisition Corp., Blaize Inc.</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the insider parties thereto.</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220" w:type="dxa"/>
            <w:vAlign w:val="bottom"/>
            <w:shd w:val="clear" w:color="auto" w:fill="CCEEFF"/>
          </w:tcPr>
          <w:p>
            <w:pPr>
              <w:spacing w:after="0"/>
              <w:rPr>
                <w:sz w:val="17"/>
                <w:szCs w:val="17"/>
                <w:color w:val="auto"/>
              </w:rPr>
            </w:pPr>
          </w:p>
        </w:tc>
        <w:tc>
          <w:tcPr>
            <w:tcW w:w="9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Registration Rights Agreement by and among BurTech Acquisition Corp., BurTech LP LLC and the holder parties thereto.</w:t>
            </w:r>
          </w:p>
        </w:tc>
      </w:tr>
      <w:tr>
        <w:trPr>
          <w:trHeight w:val="216"/>
        </w:trPr>
        <w:tc>
          <w:tcPr>
            <w:tcW w:w="3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220" w:type="dxa"/>
            <w:vAlign w:val="bottom"/>
            <w:shd w:val="clear" w:color="auto" w:fill="CCEEFF"/>
          </w:tcPr>
          <w:p>
            <w:pPr>
              <w:spacing w:after="0"/>
              <w:rPr>
                <w:sz w:val="17"/>
                <w:szCs w:val="17"/>
                <w:color w:val="auto"/>
              </w:rPr>
            </w:pPr>
          </w:p>
        </w:tc>
        <w:tc>
          <w:tcPr>
            <w:tcW w:w="9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Lock-up Agreement by and among Blaize Holdings, Inc. and the securityholders thereto.</w:t>
            </w:r>
          </w:p>
        </w:tc>
      </w:tr>
      <w:tr>
        <w:trPr>
          <w:trHeight w:val="216"/>
        </w:trPr>
        <w:tc>
          <w:tcPr>
            <w:tcW w:w="3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220" w:type="dxa"/>
            <w:vAlign w:val="bottom"/>
            <w:shd w:val="clear" w:color="auto" w:fill="CCEEFF"/>
          </w:tcPr>
          <w:p>
            <w:pPr>
              <w:spacing w:after="0"/>
              <w:rPr>
                <w:sz w:val="15"/>
                <w:szCs w:val="15"/>
                <w:color w:val="auto"/>
              </w:rPr>
            </w:pPr>
          </w:p>
        </w:tc>
        <w:tc>
          <w:tcPr>
            <w:tcW w:w="9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Stockholders’ Agreement by and among Blaize Holdings, Inc., BurTech LP LLC, Burkhan Capital LLC and the stockholders</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thereto.</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jc w:val="both"/>
        <w:ind w:left="100" w:hanging="93"/>
        <w:spacing w:after="0" w:line="282" w:lineRule="auto"/>
        <w:rPr>
          <w:sz w:val="20"/>
          <w:szCs w:val="20"/>
          <w:color w:val="auto"/>
        </w:rPr>
      </w:pPr>
      <w:r>
        <w:rPr>
          <w:rFonts w:ascii="Times New Roman" w:cs="Times New Roman" w:eastAsia="Times New Roman" w:hAnsi="Times New Roman"/>
          <w:sz w:val="18"/>
          <w:szCs w:val="18"/>
          <w:color w:val="auto"/>
        </w:rPr>
        <w:t>*The schedules to this Exhibit have been omitted in accordance with Regulation S-K Item 601(b)(2). BurTech agrees to furnish supplementally a copy of any omitted schedule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28, 2023</w:t>
            </w: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740" w:type="dxa"/>
            <w:vAlign w:val="bottom"/>
          </w:tcPr>
          <w:p>
            <w:pPr>
              <w:spacing w:after="0"/>
              <w:rPr>
                <w:sz w:val="16"/>
                <w:szCs w:val="16"/>
                <w:color w:val="auto"/>
              </w:rPr>
            </w:pPr>
          </w:p>
        </w:tc>
        <w:tc>
          <w:tcPr>
            <w:tcW w:w="25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74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BURTECH MERGER SUB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limited purposes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dated as of December 22,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vMerge w:val="restart"/>
          </w:tcPr>
          <w:p>
            <w:pPr>
              <w:ind w:left="3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vMerge w:val="continue"/>
          </w:tcPr>
          <w:p>
            <w:pPr>
              <w:spacing w:after="0"/>
              <w:rPr>
                <w:sz w:val="17"/>
                <w:szCs w:val="17"/>
                <w:color w:val="auto"/>
              </w:rPr>
            </w:pPr>
          </w:p>
        </w:tc>
        <w:tc>
          <w:tcPr>
            <w:tcW w:w="7480" w:type="dxa"/>
            <w:vAlign w:val="bottom"/>
          </w:tcPr>
          <w:p>
            <w:pPr>
              <w:spacing w:after="0"/>
              <w:rPr>
                <w:sz w:val="17"/>
                <w:szCs w:val="17"/>
                <w:color w:val="auto"/>
              </w:rPr>
            </w:pP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CERTAIN 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Knowledge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Equitable Adjustments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MERGER; CLOSING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Merger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2.2   Effects of the Merger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2.3   Closing; Effective Time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Deliverables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Documents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2.6   Directors and Officers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2.7   Intended Tax Treatment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2.8</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Schedule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EFFECTS OF THE MERGER ON THE COMPANY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Burkhan Instruments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3.2   Conversion of Shares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Fractional Shares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Procedures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3.7</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Dissenting Shares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3.8   Treatment of Company Awards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Organization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Authorization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4.5   Governmental Authorities; Consents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7"/>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4.6   Capitalization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1300" w:type="dxa"/>
            <w:vAlign w:val="bottom"/>
          </w:tcPr>
          <w:p>
            <w:pPr>
              <w:spacing w:after="0"/>
              <w:rPr>
                <w:sz w:val="20"/>
                <w:szCs w:val="20"/>
                <w:color w:val="auto"/>
              </w:rPr>
            </w:pPr>
          </w:p>
        </w:tc>
        <w:tc>
          <w:tcPr>
            <w:tcW w:w="7700" w:type="dxa"/>
            <w:vAlign w:val="bottom"/>
          </w:tcPr>
          <w:p>
            <w:pPr>
              <w:ind w:left="3160"/>
              <w:spacing w:after="0" w:line="233" w:lineRule="exact"/>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7700" w:type="dxa"/>
            <w:vAlign w:val="bottom"/>
          </w:tcPr>
          <w:p>
            <w:pPr>
              <w:ind w:left="3820"/>
              <w:spacing w:after="0"/>
              <w:rPr>
                <w:sz w:val="20"/>
                <w:szCs w:val="20"/>
                <w:color w:val="auto"/>
              </w:rPr>
            </w:pPr>
            <w:r>
              <w:rPr>
                <w:rFonts w:ascii="Times New Roman" w:cs="Times New Roman" w:eastAsia="Times New Roman" w:hAnsi="Times New Roman"/>
                <w:sz w:val="22"/>
                <w:szCs w:val="22"/>
                <w:color w:val="auto"/>
              </w:rPr>
              <w:t>(continued)</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00" w:type="dxa"/>
            <w:vAlign w:val="bottom"/>
            <w:vMerge w:val="continue"/>
          </w:tcPr>
          <w:p>
            <w:pPr>
              <w:spacing w:after="0"/>
              <w:rPr>
                <w:sz w:val="18"/>
                <w:szCs w:val="18"/>
                <w:color w:val="auto"/>
              </w:rPr>
            </w:pPr>
          </w:p>
        </w:tc>
        <w:tc>
          <w:tcPr>
            <w:tcW w:w="7700" w:type="dxa"/>
            <w:vAlign w:val="bottom"/>
          </w:tcPr>
          <w:p>
            <w:pPr>
              <w:spacing w:after="0"/>
              <w:rPr>
                <w:sz w:val="18"/>
                <w:szCs w:val="18"/>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 of Subsidiaries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Undisclosed Liabilities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Compliance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Contracts; No Defaults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Benefit Plans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Labor Relations; Employees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4.16</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 Fees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4.17</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4.18</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4.19</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Equipment and Other Tangible Property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4.20</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Privacy and Cybersecurity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4.25</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Compliance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4.26</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Sanctions and International Trade Compliance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4.27</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Vendors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4.28</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4.29</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Contracts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4.30</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Additional Representations or Warranties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ACQUIROR AND MERGER SUB</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Organization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Due Authorization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7"/>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20"/>
        <w:spacing w:after="0" w:line="230" w:lineRule="auto"/>
        <w:rPr>
          <w:sz w:val="20"/>
          <w:szCs w:val="20"/>
          <w:color w:val="auto"/>
        </w:rPr>
      </w:pPr>
      <w:r>
        <w:rPr>
          <w:rFonts w:ascii="Times New Roman" w:cs="Times New Roman" w:eastAsia="Times New Roman" w:hAnsi="Times New Roman"/>
          <w:sz w:val="22"/>
          <w:szCs w:val="22"/>
          <w:color w:val="auto"/>
        </w:rPr>
        <w:t>(continued)</w:t>
      </w:r>
    </w:p>
    <w:p>
      <w:pPr>
        <w:spacing w:after="0" w:line="235" w:lineRule="auto"/>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7"/>
        </w:trPr>
        <w:tc>
          <w:tcPr>
            <w:tcW w:w="130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 </w:t>
            </w:r>
          </w:p>
        </w:tc>
        <w:tc>
          <w:tcPr>
            <w:tcW w:w="738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Filings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Internal Controls; Listing; Financial Statements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 Account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 JOBS Act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 of Acquiror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5.13</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 Fees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5.14</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5.15</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5.16</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Activities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5.17</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Market Quotation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5.18</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 Plans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5.19</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Additional Representation or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 OF THE COMPANY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6.3</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Preparation and Delivery of Additional Company Financial Statements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6.4</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 Agreements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 OF ACQUIROR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 Account Proceeds and Related Available Equity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Listing</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Conduct of Business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Officers of Acquiror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SEC Filings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Placements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7"/>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3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1300" w:type="dxa"/>
            <w:vAlign w:val="bottom"/>
          </w:tcPr>
          <w:p>
            <w:pPr>
              <w:spacing w:after="0"/>
              <w:rPr>
                <w:sz w:val="20"/>
                <w:szCs w:val="20"/>
                <w:color w:val="auto"/>
              </w:rPr>
            </w:pPr>
          </w:p>
        </w:tc>
        <w:tc>
          <w:tcPr>
            <w:tcW w:w="8260" w:type="dxa"/>
            <w:vAlign w:val="bottom"/>
          </w:tcPr>
          <w:p>
            <w:pPr>
              <w:ind w:left="3160"/>
              <w:spacing w:after="0" w:line="233" w:lineRule="exact"/>
              <w:rPr>
                <w:sz w:val="20"/>
                <w:szCs w:val="20"/>
                <w:color w:val="auto"/>
              </w:rPr>
            </w:pPr>
            <w:r>
              <w:rPr>
                <w:rFonts w:ascii="Times New Roman" w:cs="Times New Roman" w:eastAsia="Times New Roman" w:hAnsi="Times New Roman"/>
                <w:sz w:val="22"/>
                <w:szCs w:val="22"/>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8260" w:type="dxa"/>
            <w:vAlign w:val="bottom"/>
          </w:tcPr>
          <w:p>
            <w:pPr>
              <w:ind w:left="3820"/>
              <w:spacing w:after="0"/>
              <w:rPr>
                <w:sz w:val="20"/>
                <w:szCs w:val="20"/>
                <w:color w:val="auto"/>
              </w:rPr>
            </w:pPr>
            <w:r>
              <w:rPr>
                <w:rFonts w:ascii="Times New Roman" w:cs="Times New Roman" w:eastAsia="Times New Roman" w:hAnsi="Times New Roman"/>
                <w:sz w:val="22"/>
                <w:szCs w:val="22"/>
                <w:color w:val="auto"/>
              </w:rPr>
              <w:t>(continued)</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00" w:type="dxa"/>
            <w:vAlign w:val="bottom"/>
            <w:vMerge w:val="continue"/>
          </w:tcPr>
          <w:p>
            <w:pPr>
              <w:spacing w:after="0"/>
              <w:rPr>
                <w:sz w:val="18"/>
                <w:szCs w:val="18"/>
                <w:color w:val="auto"/>
              </w:rPr>
            </w:pPr>
          </w:p>
        </w:tc>
        <w:tc>
          <w:tcPr>
            <w:tcW w:w="826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7.9</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Incentive Plan; ESPP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JOINT COVENANTS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HSR Act; Other Filings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8.2</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Preparation of Proxy Statement / Registration Statement; Stockholders’ Meeting and Approvals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8.3</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Support of Transaction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8.4</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Taxes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8.5</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16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8.6</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Cooperation; Consultation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8.7</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Exclusivity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8.8</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 Litigation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8.9</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Fairness Opinion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CONDITIONS TO OBLIGATIONS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Acquiror, Merger Sub, and the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9.2</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Acquiror and Merger Sub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9.3</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9.4</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TERMINATION/EFFECTIVENESS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 Account Waiver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Third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 Counterparts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7"/>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11.9</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and Acquiror Disclosure Letters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860" w:type="dxa"/>
            <w:vAlign w:val="bottom"/>
          </w:tcPr>
          <w:p>
            <w:pPr>
              <w:spacing w:after="0"/>
              <w:rPr>
                <w:sz w:val="20"/>
                <w:szCs w:val="20"/>
                <w:color w:val="auto"/>
              </w:rPr>
            </w:pPr>
          </w:p>
        </w:tc>
        <w:tc>
          <w:tcPr>
            <w:tcW w:w="7960" w:type="dxa"/>
            <w:vAlign w:val="bottom"/>
          </w:tcPr>
          <w:p>
            <w:pPr>
              <w:jc w:val="center"/>
              <w:ind w:left="1461"/>
              <w:spacing w:after="0" w:line="233" w:lineRule="exact"/>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7960" w:type="dxa"/>
            <w:vAlign w:val="bottom"/>
          </w:tcPr>
          <w:p>
            <w:pPr>
              <w:jc w:val="center"/>
              <w:ind w:left="1461"/>
              <w:spacing w:after="0"/>
              <w:rPr>
                <w:sz w:val="20"/>
                <w:szCs w:val="20"/>
                <w:color w:val="auto"/>
              </w:rPr>
            </w:pPr>
            <w:r>
              <w:rPr>
                <w:rFonts w:ascii="Times New Roman" w:cs="Times New Roman" w:eastAsia="Times New Roman" w:hAnsi="Times New Roman"/>
                <w:sz w:val="22"/>
                <w:szCs w:val="22"/>
                <w:color w:val="auto"/>
                <w:w w:val="98"/>
              </w:rPr>
              <w:t>(continued)</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60" w:type="dxa"/>
            <w:vAlign w:val="bottom"/>
            <w:vMerge w:val="continue"/>
          </w:tcPr>
          <w:p>
            <w:pPr>
              <w:spacing w:after="0"/>
              <w:rPr>
                <w:sz w:val="18"/>
                <w:szCs w:val="18"/>
                <w:color w:val="auto"/>
              </w:rPr>
            </w:pPr>
          </w:p>
        </w:tc>
        <w:tc>
          <w:tcPr>
            <w:tcW w:w="7960" w:type="dxa"/>
            <w:vAlign w:val="bottom"/>
          </w:tcPr>
          <w:p>
            <w:pPr>
              <w:spacing w:after="0"/>
              <w:rPr>
                <w:sz w:val="18"/>
                <w:szCs w:val="18"/>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11.10 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11.11 Amendments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11.12 Publicity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11.13 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11.14 Jurisdiction; 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11.15 Enforcement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11.16 Non-Recourse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11.17 Non-Survival of Representations, Warranties and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11.18 Conflicts and Privilege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Amended and Restated Certificate of Incorporation of Acquiror</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Form of Amended and Restated Bylaws of Acquiror</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Company Support Agreement</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Sponsor Support Agreement</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Registration Rights Agreement</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Form of Lock-Up Agreement</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7"/>
          <w:szCs w:val="17"/>
          <w:color w:val="auto"/>
        </w:rPr>
        <w:t>Form of Stockholders’ Agreement</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Form of Burkhan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and Plan of Merger, dated as of December 22, 2023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among BurTech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Corp.,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BurTech Merger Sub Inc., a Delaware corporation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Burkhan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xml:space="preserve">”). Acquiror, Merger Sub, the Company and, solely with respect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are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and not otherwise defined herein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Acquiror is a special purpose acquisition company formed for the purpose of effecting a merger, capital stock exchange,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stock purchase, reorganization or similar business combination with one or more businesses and (b) Merger Sub is a newly formed,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direct subsidiary of Acquiror that was formed for the purpose of consummating the transactions contemplated by this Agreement and the Ancillary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and subject to the conditions of this Agreement, and in accordance with the General Corporation Law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Closing, (i) Merger Sub will merge with and into the Company, the separate corporate existence of Merger Sub will cease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will be the surviving corporation and a direct wholly owned subsidiary of Acquiror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(ii) Acquiror will change its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“Blaize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prior to the Effective Time: (i) (a) the outstanding principal together with all accrued and unpaid interest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Convertible Notes (as defined below) will automatically be converted into a number of shares of Company Common Stock (as defined below)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of such Company Convertible Notes and the Company Convertible Note Purchase Agreements, as applicable and (b) each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Company Preferred Stock (as defined below) will be converted into one share of Company Common Stock (collectively, the “</w:t>
      </w:r>
      <w:r>
        <w:rPr>
          <w:rFonts w:ascii="Times New Roman" w:cs="Times New Roman" w:eastAsia="Times New Roman" w:hAnsi="Times New Roman"/>
          <w:sz w:val="18"/>
          <w:szCs w:val="18"/>
          <w:u w:val="single" w:color="auto"/>
          <w:color w:val="auto"/>
        </w:rPr>
        <w:t>Company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(ii) unless otherwise exercised prior to the Effective Time, the outstanding Company Warrants will, as applicable,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expire or (y) be exercised in full for shares of Company Common Stock, in each case, in accordance with the terms of such Company Warrant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Event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Effective Time (and, for the avoidance of doubt, following the Company Security Conversion, the Warrant Event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Conversion Event), each share of the Company Common Stock, will be converted into the right to receive a portion of the Total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as set forth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for U.S. federal income tax purposes, the Merger will qualify as a “reorganization”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368(a) of the Code and the Treasury Regulations promulgated thereunder, to which each of Acquiror, Merger Sub and the Company are parties under Section 368(b) of the Code and the Treasury Regulations promulgated thereunder;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Board has (i) determined that this Agreement and the other documents contemplated hereby to which the Company is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and the Transactions are advisable and in the best interests of the Company and its stockholders, (ii) unanimously authorized and approved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delivery and performance by the Company of this Agreement and the other documents contemplated hereby to which the Company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Transactions and (iii) recommended the adoption and approval of this Agreement and the other documents contemplated hereby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a party and the Transactions by 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Acquiror Board has (i) determined that it is advisable for Acquiror to enter into this Agreement and the other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to which the Acquiror is a party, (ii) unanimously approved the execution and delivery of this Agreement and the other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to which the Acquiror is a party and the Transactions, and (iii) recommended the adoption and approval of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by the Acquiror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Merger Sub Board has (i) determined that it is advisable for Merger Sub to enter into this Agreement and the other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to which Merger Sub is a party, (ii) approved the execution and delivery of this Agreement and the other documents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to which Merger Sub is a party and the Transactions, and (iii) recommended the adoption and approval of this Agreement and the Transactions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as sole stockholder of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Acquiror, as sole stockholder of Merger Sub, immediately following the execution and delivery of this Agreement, will approve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 this Agreement and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furtherance of the Merger and in accordance with the terms hereof, Acquiror shall provide an opportunity to its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their outstanding shares of Acquiror Common Stock redeemed on the terms and subject to the conditions set forth in this Agreement and Acquiror’s Governing Documents (as defined below) in connection with obtaining the Acquiror Stockholder Approval (as defined below);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Acquiror shall amend and restate (i) the certificate of incorporation of Acquiror to be substantially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(as so amended and restated, the “</w:t>
      </w:r>
      <w:r>
        <w:rPr>
          <w:rFonts w:ascii="Times New Roman" w:cs="Times New Roman" w:eastAsia="Times New Roman" w:hAnsi="Times New Roman"/>
          <w:sz w:val="18"/>
          <w:szCs w:val="18"/>
          <w:u w:val="single" w:color="auto"/>
          <w:color w:val="auto"/>
        </w:rPr>
        <w:t>Acquiror Charter</w:t>
      </w:r>
      <w:r>
        <w:rPr>
          <w:rFonts w:ascii="Times New Roman" w:cs="Times New Roman" w:eastAsia="Times New Roman" w:hAnsi="Times New Roman"/>
          <w:sz w:val="18"/>
          <w:szCs w:val="18"/>
          <w:color w:val="auto"/>
        </w:rPr>
        <w:t>”) and (ii) the bylaws of Acquiror to be substantially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Acquiror Bylaws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simultaneously with the execution and delivery of this Agreement, the Requisite Company Stockholders (as defined below),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Acquiror have each executed the Company Support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Requisite Company Stockholders have agreed to, among other things, approve this Agreement and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Merger, as soon as reasonably practicable following the effectiveness of the Proxy Statement / Registration Statement, which shall constitute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Stockholder Approvals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of this Agreement, Sponsor, Acquiror and the Company have entered into a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pursuant to which the Sponsor and such other parties have agreed to, among other things, approve this Agreement and the Transactions, including the Merger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Closing, Acquiror, the Sponsor, certain stockholders of the Company, and certain of their respective Affiliates,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enter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such changes as may be agreed in writing by Acquiror and the Company), which shall be effective as of the Closing;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Closing, Acquiror, and certain of the Company Stockholders shall enter into Lock-Up Agreements (the “</w:t>
      </w:r>
      <w:r>
        <w:rPr>
          <w:rFonts w:ascii="Times New Roman" w:cs="Times New Roman" w:eastAsia="Times New Roman" w:hAnsi="Times New Roman"/>
          <w:sz w:val="18"/>
          <w:szCs w:val="18"/>
          <w:u w:val="single" w:color="auto"/>
          <w:color w:val="auto"/>
        </w:rPr>
        <w:t>Lock-Up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substantially in the form attached hereto as Exhibit F (with such changes as may be agreed in writing by Acquiror and the Company),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effective as of the Closing;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Closing, Acquiror, the Sponsor and Burkhan (and/or its Affiliates and/or nominees) shall enter into a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which shall be effective as of the Closing.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for other good and valuable consideration, the receipt and sufficiency of which are hereby acknowledged, Acquiror, Merger Sub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intending to be legally bound, hereby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As used herein, the following terms shall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Benefit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Board</w:t>
      </w:r>
      <w:r>
        <w:rPr>
          <w:rFonts w:ascii="Times New Roman" w:cs="Times New Roman" w:eastAsia="Times New Roman" w:hAnsi="Times New Roman"/>
          <w:sz w:val="18"/>
          <w:szCs w:val="18"/>
          <w:color w:val="auto"/>
        </w:rPr>
        <w:t>” means the board of directors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Bylaws</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Charter</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Class A Common Stock</w:t>
      </w:r>
      <w:r>
        <w:rPr>
          <w:rFonts w:ascii="Times New Roman" w:cs="Times New Roman" w:eastAsia="Times New Roman" w:hAnsi="Times New Roman"/>
          <w:sz w:val="18"/>
          <w:szCs w:val="18"/>
          <w:color w:val="auto"/>
        </w:rPr>
        <w:t>” means the shares of Class A common stock, par value $0.0001 per share,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Class B Common Stock</w:t>
      </w:r>
      <w:r>
        <w:rPr>
          <w:rFonts w:ascii="Times New Roman" w:cs="Times New Roman" w:eastAsia="Times New Roman" w:hAnsi="Times New Roman"/>
          <w:sz w:val="18"/>
          <w:szCs w:val="18"/>
          <w:color w:val="auto"/>
        </w:rPr>
        <w:t>” means the shares of Class B common stock, par value $0.0001 per share, of Acquiror.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Common Stock</w:t>
      </w:r>
      <w:r>
        <w:rPr>
          <w:rFonts w:ascii="Times New Roman" w:cs="Times New Roman" w:eastAsia="Times New Roman" w:hAnsi="Times New Roman"/>
          <w:sz w:val="18"/>
          <w:szCs w:val="18"/>
          <w:color w:val="auto"/>
        </w:rPr>
        <w:t>” means Acquiror Class A Common Stock and Acquiror Class B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Disclosure Letter</w:t>
      </w:r>
      <w:r>
        <w:rPr>
          <w:rFonts w:ascii="Times New Roman" w:cs="Times New Roman" w:eastAsia="Times New Roman" w:hAnsi="Times New Roman"/>
          <w:sz w:val="18"/>
          <w:szCs w:val="18"/>
          <w:color w:val="auto"/>
        </w:rPr>
        <w:t xml:space="preserve">” has the meaning specified in the introduction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Extension Expenses</w:t>
      </w:r>
      <w:r>
        <w:rPr>
          <w:rFonts w:ascii="Times New Roman" w:cs="Times New Roman" w:eastAsia="Times New Roman" w:hAnsi="Times New Roman"/>
          <w:sz w:val="18"/>
          <w:szCs w:val="18"/>
          <w:color w:val="auto"/>
        </w:rPr>
        <w:t>” means (a) any out-of-pocket fees and expenses paid or payable by Acquiror or its Affiliates (whether or not billed or accrued for) as a result of or in connection with the negotiation, documentation and consummation of an Extension (including (i) submitting a proposal to the Acquiror Stockholders pursuant to an Extension Proxy Statement and (ii) providing such definitive Extension Proxy Statement to the Acquiror stockholders) and (b) any cash deposits made or to be made into the Trust Account by Acquiror, Sponsor or any of their respective Affiliates or permitted designees for the purpose of extending the time period for Acquiror to consummate a Business Combination.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Fundamental Representations</w:t>
      </w:r>
      <w:r>
        <w:rPr>
          <w:rFonts w:ascii="Times New Roman" w:cs="Times New Roman" w:eastAsia="Times New Roman" w:hAnsi="Times New Roman"/>
          <w:sz w:val="18"/>
          <w:szCs w:val="18"/>
          <w:color w:val="auto"/>
        </w:rPr>
        <w:t xml:space="preserve">” means the representations and warranties made pursuant to the first and second sentences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xml:space="preserve"> ).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Indemnified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Acquiror Intervening Event</w:t>
      </w:r>
      <w:r>
        <w:rPr>
          <w:rFonts w:ascii="Times New Roman" w:cs="Times New Roman" w:eastAsia="Times New Roman" w:hAnsi="Times New Roman"/>
          <w:sz w:val="17"/>
          <w:szCs w:val="17"/>
          <w:color w:val="auto"/>
        </w:rPr>
        <w:t>” means any change, event, state of facts, development, circumstance, occurrence or effect or change in circumstances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facts, including any change in probability or magnitude of circumstances, in each case that materially affects the business or assets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(but specifically excluding any Business Combination Proposal or the timing of any approval or clearance of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required for the consummation of the Transactions and any other Event to the extent that such Event would not be deemed to constitute, or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into account in determining whether there has been or will be an Acquiror Material Adverse Effect or a Company Material Adverse Effect,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pursuant to the definitions of such terms (including the final provisos thereof)) and that (i) was not known and was not reasonably foreseeable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or the Acquiror Board as of the date hereof (or the consequences of which were not reasonably foreseeable to the Acquiror Board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and (ii) becomes known to Acquiror or the Acquiror Board after the date of this Agreement but prior to obtaining the Acquiror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Material Adverse Effect</w:t>
      </w:r>
      <w:r>
        <w:rPr>
          <w:rFonts w:ascii="Times New Roman" w:cs="Times New Roman" w:eastAsia="Times New Roman" w:hAnsi="Times New Roman"/>
          <w:sz w:val="18"/>
          <w:szCs w:val="18"/>
          <w:color w:val="auto"/>
        </w:rPr>
        <w:t>” means any Event that (i) has had, or would reasonably be expected to have, individually or in the aggregate,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on the business, assets, results of operations or condition (financial or otherwise) of Acquiror and its Subsidiaries,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 does or would reasonably be expected to, individually or in the aggregate, prevent or materially delay the ability of Acquiror or Merger Sub to 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into and perform their obligations under this Agreement and consummate the Transactions, including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any of the following, alone or in combination, be deemed to constitute, or be taken into account in determining whether there has been or will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Material Adverse Effect</w:t>
      </w:r>
      <w:r>
        <w:rPr>
          <w:rFonts w:ascii="Times New Roman" w:cs="Times New Roman" w:eastAsia="Times New Roman" w:hAnsi="Times New Roman"/>
          <w:sz w:val="18"/>
          <w:szCs w:val="18"/>
          <w:color w:val="auto"/>
        </w:rPr>
        <w:t>” pursuant to clause (i) above: (a) any change in applicable Laws or GAAP or any interpretation thereof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this Agreement, (b) any change in interest rates or economic, political, business or financial market conditions generally, (c) the taking of any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this Agreement, (d) any natural disaster (including hurricanes, storms, tornados, flooding, earthquakes, volcanic eruptions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occurrences), pandemic or change in climate (including any effect directly resulting from, directly arising from or otherwise directly related to such natural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disaster, pandemic, or change in climate), (e) any acts of terrorism or war (including cyberterrorism), the outbreak or escalation of hostilities, geopolitical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local, national or international political conditions, (f) any Event attributable to the announcement of this Agreement or execution, pendency,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negotiation or consummation of the Merger or any of the other Transaction, (it being understood that this clause (f) shall be disregarded for purposes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representation and warranty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the condition to Closing with respect thereto), or (g) actions taken by, or at the written request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Option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Private Placement Warrants</w:t>
      </w:r>
      <w:r>
        <w:rPr>
          <w:rFonts w:ascii="Times New Roman" w:cs="Times New Roman" w:eastAsia="Times New Roman" w:hAnsi="Times New Roman"/>
          <w:sz w:val="18"/>
          <w:szCs w:val="18"/>
          <w:color w:val="auto"/>
        </w:rPr>
        <w:t>” means the warrants forming a part of the units sold to the Sponsor in a private placement that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simultaneously with the consummation of Acquiror’s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Public Warrant</w:t>
      </w:r>
      <w:r>
        <w:rPr>
          <w:rFonts w:ascii="Times New Roman" w:cs="Times New Roman" w:eastAsia="Times New Roman" w:hAnsi="Times New Roman"/>
          <w:sz w:val="18"/>
          <w:szCs w:val="18"/>
          <w:color w:val="auto"/>
        </w:rPr>
        <w:t>” means the redeemable warrants that were included in the units sold as part of Acquiror’s initial public offering, each of which entitled the holder thereof to purchase one (1) share of Acquiror Common Stock at an exercise price of eleven Dollars fifty cents ($11.50).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RSUs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SEC Filings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Share Redemption</w:t>
      </w:r>
      <w:r>
        <w:rPr>
          <w:rFonts w:ascii="Times New Roman" w:cs="Times New Roman" w:eastAsia="Times New Roman" w:hAnsi="Times New Roman"/>
          <w:sz w:val="18"/>
          <w:szCs w:val="18"/>
          <w:color w:val="auto"/>
        </w:rPr>
        <w:t>” means the election of an eligible (as determined in accordance with Acquiror’s Governing Documents) holder of Acquiror Class A Common Stock to redeem all or a portion of the shares of Acquiror Class A Common Stock held by such holder at a per-share price, payable in cash, equal to a pro rata share of the aggregate amount on deposit in the Trust Account (including any interest earned on the funds held in the Trust Account and not previously released to the Company to pay its taxes pursuant to the Trust Agreement) (as determined in accordance with Acquiror’s Governing Documents and the Trust Agreement) in connection with the Transaction Proposals and/or any Extension.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Share Redemption Amount</w:t>
      </w:r>
      <w:r>
        <w:rPr>
          <w:rFonts w:ascii="Times New Roman" w:cs="Times New Roman" w:eastAsia="Times New Roman" w:hAnsi="Times New Roman"/>
          <w:sz w:val="18"/>
          <w:szCs w:val="18"/>
          <w:color w:val="auto"/>
        </w:rPr>
        <w:t>” means the aggregate amount payable with respect to all Acquiror Share Redemptions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Excise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Stockholder Approval</w:t>
      </w:r>
      <w:r>
        <w:rPr>
          <w:rFonts w:ascii="Times New Roman" w:cs="Times New Roman" w:eastAsia="Times New Roman" w:hAnsi="Times New Roman"/>
          <w:sz w:val="18"/>
          <w:szCs w:val="18"/>
          <w:color w:val="auto"/>
        </w:rPr>
        <w:t>” means the approval of the Transaction Proposals, in each case, by the affirmative vote of the holders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number of shares of Acquiror Common Stock entitled to vote, whether in person or by proxy, at the Acquiror Stockholders’ Meeting,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Acquiror’s Governing Documents and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Stockholders</w:t>
      </w:r>
      <w:r>
        <w:rPr>
          <w:rFonts w:ascii="Times New Roman" w:cs="Times New Roman" w:eastAsia="Times New Roman" w:hAnsi="Times New Roman"/>
          <w:sz w:val="18"/>
          <w:szCs w:val="18"/>
          <w:color w:val="auto"/>
        </w:rPr>
        <w:t>” means the stockholders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Stockholders’ Meeting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Transaction Expenses</w:t>
      </w:r>
      <w:r>
        <w:rPr>
          <w:rFonts w:ascii="Times New Roman" w:cs="Times New Roman" w:eastAsia="Times New Roman" w:hAnsi="Times New Roman"/>
          <w:sz w:val="18"/>
          <w:szCs w:val="18"/>
          <w:color w:val="auto"/>
        </w:rPr>
        <w:t xml:space="preserve">” means the following out-of-pocket fees and expenses paid or payable by Acquiror or any of its Subsidiaries or any of their respective Affiliates (whether or not billed or accrued for) as a result of or in connection with the negotiation, documentation and consummation of the Transactions (including any Private Placement Investment), and any other Business Combination Proposal or Business Combination that the Acquiror has solicited, proposed, submitted, negotiated or otherwise considered, in each case including (i) all fees, costs, expenses, brokerage fees, commissions, finders’ fees and disbursements of financial advisors, investment banks, data room administrators, attorneys, accountants and other advisors and service providers (including deferred underwriting expenses), (ii) change-in-control payments, transaction bonuses, retention payments, severance or similar compensatory payments payable by Acquiror or any of its Subsidiaries to any current or former employee (including any amounts due under any consulting agreement with any such former employee), independent contractor, officer, or director of Acquiror or any of its Subsidiaries as a result of the Transactions (and not tied to any subsequent event or condition, such as a termination of employment), including the employer portion of any payroll Taxes arising therefrom, (iii) fifty percent (50%) of any Transfer Taxes, (iv) any Excise Taxes payable in connection with any Acquiror Share Redemption, (v) fifty percent (50%) of all of the filing fees, administrative fees, costs and expenses payable by Acquiror or any of its Subsidiaries, or the Company or any of its Subsidiaries, to the Governmental Authorities in connection with the Transactions (including, for the avoidance of doubt, the HSR Act filing fees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(vi) all fees and expenses incurred in connection with obtaining the Acquiror Stockholder Approval and all Acquiror Extension Expenses; and (vii) all amounts due and payable with respect to Indebtedness of the Acquiror or its Subsidiaries, including the Working Capital Loans.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Warrants</w:t>
      </w:r>
      <w:r>
        <w:rPr>
          <w:rFonts w:ascii="Times New Roman" w:cs="Times New Roman" w:eastAsia="Times New Roman" w:hAnsi="Times New Roman"/>
          <w:sz w:val="18"/>
          <w:szCs w:val="18"/>
          <w:color w:val="auto"/>
        </w:rPr>
        <w:t>” means the Acquiror Public Warrants and the Acquiror Private Placement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audit, examination, assessment, arbitration, mediation or written inquiry, or any proceeding,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judgment by or before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Quarterly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with, such specified Person, whether through one or more intermediaries or otherwise.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and “under common control with”) means the possession, directly or indirectly, of the power to direct or cause the direction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management and policies of a Person, whether through the ownership of voting securities,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Sponsor be considered an Affiliate of any portfolio company or any investment fund affiliated with or managed by the Persons set forth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Acquiror Disclosure Letter, nor shall any portfolio company or any investment fund affiliated with or managed by the Persons set forth on </w:t>
      </w:r>
      <w:r>
        <w:rPr>
          <w:rFonts w:ascii="Times New Roman" w:cs="Times New Roman" w:eastAsia="Times New Roman" w:hAnsi="Times New Roman"/>
          <w:sz w:val="17"/>
          <w:szCs w:val="17"/>
          <w:u w:val="single" w:color="auto"/>
          <w:color w:val="auto"/>
        </w:rPr>
        <w:t>Section 1.1-A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Acquiror Disclosure Letter be considered to be an Affiliate of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4.12(a)(v)</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Shares</w:t>
      </w:r>
      <w:r>
        <w:rPr>
          <w:rFonts w:ascii="Times New Roman" w:cs="Times New Roman" w:eastAsia="Times New Roman" w:hAnsi="Times New Roman"/>
          <w:sz w:val="18"/>
          <w:szCs w:val="18"/>
          <w:color w:val="auto"/>
        </w:rPr>
        <w:t>” means, without duplication, (i) the sum of the number of shares of Company Common Stock that are (a) issued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immediately prior to the Effective Time (for the avoidance of doubt, after giving effect to the Company Security Conversion and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Event, but excluding any shares of Burkhan Company Stock and any shares of Company Common Stock to be cancelled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issuable upon the exercise or settlement of Company Awards (in each case, whether or not vested or currently exercisable) that are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immediately prior to the Effective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a number of shares of Company Common Stock equal to the quotient of (x) the Aggregate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Exercise Price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(y) the Per Company Share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Option Exercise Price</w:t>
      </w:r>
      <w:r>
        <w:rPr>
          <w:rFonts w:ascii="Times New Roman" w:cs="Times New Roman" w:eastAsia="Times New Roman" w:hAnsi="Times New Roman"/>
          <w:sz w:val="18"/>
          <w:szCs w:val="18"/>
          <w:color w:val="auto"/>
        </w:rPr>
        <w:t>” means the sum of the aggregate cash exercise prices of all Company Options (in each case, whether or not vested or currently exercisable) that are outstanding as of immediately prior to the Effective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End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each agreement, instrument or document attached hereto as an exhibit, and the other agreements, certificates and instruments to be executed or delivered by any of the Parties in connection with or pursuant to this Agreement.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means the anti-bribery provisions of the U.S. Foreign Corrupt Practices Act of 1977, as amended, and all other applicable anti-corruption and anti-bribery Laws (including the UK Bribery Act 2010, and any rules or regulations promulgated thereunder or other Laws of other countries implementing the OECD Convention on Combating Bribery of Foreign Officials).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Authorities</w:t>
      </w:r>
      <w:r>
        <w:rPr>
          <w:rFonts w:ascii="Times New Roman" w:cs="Times New Roman" w:eastAsia="Times New Roman" w:hAnsi="Times New Roman"/>
          <w:sz w:val="18"/>
          <w:szCs w:val="18"/>
          <w:color w:val="auto"/>
        </w:rPr>
        <w:t>” means the Antitrust Division of the United States Department of Justice, the United States Federal Trade Commission or the antitrust or competition Law authorities of any other jurisdiction (whether United States, foreign or multinational).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or FDI Information or Document Request</w:t>
      </w:r>
      <w:r>
        <w:rPr>
          <w:rFonts w:ascii="Times New Roman" w:cs="Times New Roman" w:eastAsia="Times New Roman" w:hAnsi="Times New Roman"/>
          <w:sz w:val="18"/>
          <w:szCs w:val="18"/>
          <w:color w:val="auto"/>
        </w:rPr>
        <w:t>” means any request or demand for the production, delivery or disclosure of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or other evidence, or any request or demand for the production of witnesses for interviews or depositions or other oral or written testimony,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Antitrust Authorities or FDI Authorities relating to the Transactions or by any third party challenging the Transactions, including any so called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for additional information or documentary material or any civil investigative demand made or issued by any Antitrust Authority or FDI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subpoena, interrogatory or deposition.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Arm’s Length Basis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4.15(r)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Acquiror Cash</w:t>
      </w:r>
      <w:r>
        <w:rPr>
          <w:rFonts w:ascii="Times New Roman" w:cs="Times New Roman" w:eastAsia="Times New Roman" w:hAnsi="Times New Roman"/>
          <w:sz w:val="18"/>
          <w:szCs w:val="18"/>
          <w:color w:val="auto"/>
        </w:rPr>
        <w:t xml:space="preserve">” means, without duplication, (i) the Trust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proceeds of any Private Placement Investment actually received by Acquiror prior to or substantially concurrently with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Available Acquiror Cash shall exclude any financing proceeds that are subject to any conditions that have not been duly satisfied, waived or achieved prior to the Closing (other than those conditions that by their terms are to be satisfied at the Closing, but subject to the satisfaction or waiver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aggregate gross proceeds of $5,000,000 received by the Company pursuant to that certain Note Purchase Agreement, dated as of July 3, 2023, by and among the Company and the lenders party thereto,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any and all proceeds from Company Financings received by the Company after the date hereof and prior to or substantially concurrently with the Closing (including, for the avoidance of doubt, the aggregate gross proceeds received by the Company from the issuance of the Burkhan Convertible Notes and the Burkhan Warrants),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 the amount required to pay all Acquiror Transaction Expenses (including, for the avoidance of doubt, any deferred underwriting commissions and Acquiror Extension Expenses) and all Company Transaction Expenses.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Merger Consideration</w:t>
      </w:r>
      <w:r>
        <w:rPr>
          <w:rFonts w:ascii="Times New Roman" w:cs="Times New Roman" w:eastAsia="Times New Roman" w:hAnsi="Times New Roman"/>
          <w:sz w:val="18"/>
          <w:szCs w:val="18"/>
          <w:color w:val="auto"/>
        </w:rPr>
        <w:t>” means the aggregate number of shares of Acquiror Class A Common Stock equal to (a) the quotient (such quotient, the “</w:t>
      </w:r>
      <w:r>
        <w:rPr>
          <w:rFonts w:ascii="Times New Roman" w:cs="Times New Roman" w:eastAsia="Times New Roman" w:hAnsi="Times New Roman"/>
          <w:sz w:val="18"/>
          <w:szCs w:val="18"/>
          <w:u w:val="single" w:color="auto"/>
          <w:color w:val="auto"/>
        </w:rPr>
        <w:t>Company Base Merger Consideration</w:t>
      </w:r>
      <w:r>
        <w:rPr>
          <w:rFonts w:ascii="Times New Roman" w:cs="Times New Roman" w:eastAsia="Times New Roman" w:hAnsi="Times New Roman"/>
          <w:sz w:val="18"/>
          <w:szCs w:val="18"/>
          <w:color w:val="auto"/>
        </w:rPr>
        <w:t xml:space="preserve">”)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sum of (x) the Base Purchase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$70,000,000, by (ii) $10.00,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product of (i) the number of shares of Burkhan Company Stock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Per Company Share Merger Consideration.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an amount equal to $700,000,000.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Blaize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Burkhan Conversion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Burkhan Convertible Notes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Burkhan Earnout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Burkhan Instruments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Burkhan Warrants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has the meaning set forth in Acquiror’s Governing Documents as in effect on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Deadline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a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Law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(i) a purchase, sale, exchange, business combination or other transaction (including a merger or consolidation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or the Company with or into any other corporation or other entity) in which the equity securities of Acquiror or the Company, their successor,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surviving entity of such business combination or other transaction are not registered under the Exchange Act or listed or quoted for trading on a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(ii) a sale, lease, exchange or other transfer (including a merger) in one transaction or a series of related transactions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50% or more of the value of Acquiror’s or the Company’s assets (including, after the Closing, the capital stock of the Company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Acquiror) to a third party or (iii) the transfer to or acquisition by (whether by tender offer, merger, consolidation, division or other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in one transaction or a series of related transactions, a person or entity or group of affiliated persons or entities (other than an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offering), of Acquiror’s or the Company’s voting securities if, after such transfer or acquisition, such person, entity or group of affiliated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or entities would beneficially own (as defined in Rule 13d-3 promulgated under the Exchange Act) more than 50% of the outstanding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Acquiror or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Awards</w:t>
      </w:r>
      <w:r>
        <w:rPr>
          <w:rFonts w:ascii="Times New Roman" w:cs="Times New Roman" w:eastAsia="Times New Roman" w:hAnsi="Times New Roman"/>
          <w:sz w:val="18"/>
          <w:szCs w:val="18"/>
          <w:color w:val="auto"/>
        </w:rPr>
        <w:t>” means, collectively, the Company RSUs and Company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means the Restated Certificate of Incorporation of the Company, dated as of December 12, 2022, as the same may be amended, restated, amended and restated, supplemented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shares of common stock, par value $0.00001 per share,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Convertible Note Purchase Agreements</w:t>
      </w:r>
      <w:r>
        <w:rPr>
          <w:rFonts w:ascii="Times New Roman" w:cs="Times New Roman" w:eastAsia="Times New Roman" w:hAnsi="Times New Roman"/>
          <w:sz w:val="18"/>
          <w:szCs w:val="18"/>
          <w:color w:val="auto"/>
        </w:rPr>
        <w:t>” means, collectively (i) that certain Note Purchase Agreement, dated as of July 3, 2023, by and among the Company and the lenders party thereto and (ii) that certain Note Purchase and Exchange Agreement, dated as of December 9, 2022, by and among the Company and the lenders party thereto, in each case, as amended and/or restated from time to time.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Convertible Notes</w:t>
      </w:r>
      <w:r>
        <w:rPr>
          <w:rFonts w:ascii="Times New Roman" w:cs="Times New Roman" w:eastAsia="Times New Roman" w:hAnsi="Times New Roman"/>
          <w:sz w:val="18"/>
          <w:szCs w:val="18"/>
          <w:color w:val="auto"/>
        </w:rPr>
        <w:t>” means the convertible promissory notes issued by the Company pursuant to the Company Convertible Note Purchase Agreements (excluding, for the avoidance of doubt, the Burkhan Convertible Notes).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specified in the introduction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Earnout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Financing</w:t>
      </w:r>
      <w:r>
        <w:rPr>
          <w:rFonts w:ascii="Times New Roman" w:cs="Times New Roman" w:eastAsia="Times New Roman" w:hAnsi="Times New Roman"/>
          <w:sz w:val="18"/>
          <w:szCs w:val="18"/>
          <w:color w:val="auto"/>
        </w:rPr>
        <w:t xml:space="preserve">” means a private placement of (i) secured convertible promissory notes of the Company by, or any other form of investment in or financing of (either directly or indirectly), the Company that is consummated with Burkhan and/or its Affiliates and/or nominees after the date hereof and prior to or substantially concurrently with the Closing providing up to an aggregate amount of $25,000,000 to the Company, and (ii) equity, equity-linked or debt securities of the Company by, or any other form of investment or financing of (either director or indirectly), the Company that is consummated with any Person (other than Burkhan and/or its Affiliates and/or nominees) after the date hereof and prior to or substantially concurrently with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investment or financing described in this clause (ii) (x) shall not be senior in right of payment or rights upon liquidation or dissolution to the Burkhan Convertible Notes, and (y) shall not have a higher interest rate, or a higher conversion rate for purposes of a conversion of such financing instrument, in each case, than the applicable rate set forth in the Burkhan Convertible Notes.  </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made pursuant to the first and second sentences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Organization</w:t>
      </w:r>
      <w:r>
        <w:rPr>
          <w:rFonts w:ascii="Times New Roman" w:cs="Times New Roman" w:eastAsia="Times New Roman" w:hAnsi="Times New Roman"/>
          <w:sz w:val="18"/>
          <w:szCs w:val="18"/>
          <w:color w:val="auto"/>
        </w:rPr>
        <w:t xml:space="preserve">), the first and second sentences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Plan</w:t>
      </w:r>
      <w:r>
        <w:rPr>
          <w:rFonts w:ascii="Times New Roman" w:cs="Times New Roman" w:eastAsia="Times New Roman" w:hAnsi="Times New Roman"/>
          <w:sz w:val="18"/>
          <w:szCs w:val="18"/>
          <w:color w:val="auto"/>
        </w:rPr>
        <w:t>” means the Amended and Restated 2011 Stock Plan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Intellectual Property that is owned or purported to be owned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Event that (i) has had, or would reasonably be expected to have, individually or in the aggregate, a material adverse effect on the business, assets, results of operations or condition (financial or otherwise) of the Company and its Subsidiaries, taken as a whole, or (ii) does or would reasonably be expected to, individually or in the aggregate, prevent or materially delay the ability of the Company to consummate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would any of the following, alone or in combination, be deemed to constitute, or be taken into account in determining whether there has been or will be,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pursuant to clause (i) above: (a) any change in applicable Laws or GAAP or any interpretation thereof following the date of this Agreement, (b) any change in interest rates or economic, political, business or financial market conditions generally, (c) the taking of any action required by this Agreement, (d) any natural disaster (including hurricanes, storms, tornados, flooding, earthquakes, volcanic eruptions or similar occurrences), pandemic or change in climate (including any effect directly resulting from, directly arising from or otherwise directly related to such natural disaster, pandemic, or change in climate), (e) any acts of terrorism or war (including cyberterrorism), the outbreak or escalation of hostilities, geopolitical conditions, local, national or international political conditions, (f) any failure of the Company to meet any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(f) shall not prevent any Event not otherwise excluded from this definition of Company Material Adverse Effect underlying such failure to meet projections or forecasts from being taken into account in determining if a Company Material Adverse Effect has occurred), (g) any Events generally applicable to the industries or markets in which the Company and its Subsidiaries operate (including increases in the cost of products, supplies, materials or other goods purchased from third party suppliers), or (h) the announcement of this Agreement or execution, pendency, negotiation or consummation of the Transactions, including any termination of, reduction in the scope of, or similar adverse impact (but in each case only to the extent attributable to such announcement or consummation) on, relationships, contractual or otherwise, with any landlords, customers, suppliers, distributors, partners or employees of the Company and its Subsidiaries (it being understood that this clause (h) shall be disregarded for purposes of the representation and warranty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the condition to Closing with respect thereto), (i) actions taken by, or at the written request of, Acquiror or Merger Sub, (j) any action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taken by the Company with Acquiror’s consent, or (k) the failure to take any action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that was not taken by the Company because Acquiror withheld its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clauses (j) and (k), the Event underlying such action or inaction may be taken into account in determining a Company Material Adverse Effect.  </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purchase shares of Company Common Stock granted under the Company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collectively, the Series Seed Shadow Preferred Stock, Series A Shadow Preferred Stock, Series B Shadow Preferred Stock, Series C Shadow Preferred Stock, Series D Shadow Stock and the Senior Series D Shadow Stock.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relating to Company Common Stock granted under the Company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collectively, the Company Common Stock, the Company Preferred Stock, the Company Convertible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RSUs and the Company Options. For the avoidance of doubt, the Company Securities shall exclude the Burkhan Instruments and any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Common Stock issuable upon the Burkhan Conversion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 Conversion</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any and all Software that embodies or constitutes any Company Intellectual Property from which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 have derived revenue (directly or indirectly) within the three (3) years preceding the date hereof, (ii) are currently deriving revenue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or (iii) currently plan or are scheduled to derive revenue (directly or indirectly), in each case with respect to (i) – (iii), from the sale,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or other provision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Approvals</w:t>
      </w:r>
      <w:r>
        <w:rPr>
          <w:rFonts w:ascii="Times New Roman" w:cs="Times New Roman" w:eastAsia="Times New Roman" w:hAnsi="Times New Roman"/>
          <w:sz w:val="18"/>
          <w:szCs w:val="18"/>
          <w:color w:val="auto"/>
        </w:rPr>
        <w:t>” means the approval of this Agreement and the Transactions, including the Merger and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thereby, by the affirmative vote or written consent of (i) the holders of a majority of the outstanding shares of Company Common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Preferred Stock, voting together as a single class on an as-converted basis, (ii) the holders of a majority of the outstanding shares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voting together as a single class on an as-converted basis, (iii) the holders of a majority of the outstanding shares of Series C Shadow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voting together as a separate class, and (iv) the holders of a majority of the outstanding shares of Series D Shadow Stock and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D Shadow Stock, voting together as a single class on an as-converted basis, in each case, pursuant to the terms and subject to the conditions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Governing Documents and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any holder of Company Securities as of immediately prior to the Effective Time (after giving effect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Security Conversion and the Warrant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Systems</w:t>
      </w:r>
      <w:r>
        <w:rPr>
          <w:rFonts w:ascii="Times New Roman" w:cs="Times New Roman" w:eastAsia="Times New Roman" w:hAnsi="Times New Roman"/>
          <w:sz w:val="17"/>
          <w:szCs w:val="17"/>
          <w:color w:val="auto"/>
        </w:rPr>
        <w:t>” means the information technology systems that are owned or controlled by (including by Contract) the Company or any of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xml:space="preserve">” means the following out-of-pocket fees and expenses paid or payable by the Company or any of its Subsidiaries (whether or not billed or accrued for) as a result of or in connection with the negotiation, documentation and consummation of the Transactions: (i) all fees, costs, expenses, brokerage fees, commissions, finders’ fees and disbursements of financial advisors, investment banks, data room administrators, attorneys, accountants and other advisors and service providers of or to the Company or any of its Subsidiaries (including with respect to any Company Financing), (ii) change-in-control payments, transaction bonuses, retention payments, severance or similar compensatory payments payable by the Company or any of its Subsidiaries to any current or former employee (including any amounts due under any consulting agreement with any such former employee), independent contractor, officer, or director of the Company or any of its Subsidiaries as a result of the Transactions (and not tied to any subsequent event or condition, such as a termination of employment), including the employer portion of any payroll Taxes arising therefrom, (iii) fifty percent (50%) of any Transfer Taxes, (iv) fifty percent (50%) of all of the filing fees, administrative fees, costs and expenses payable by Acquiror or any of its Subsidiaries, or the Company or any of its Subsidiaries, to the Governmental Authorities in connection with the Transactions (including, for the avoidance of doubt, the HSR Act filing fees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(v) amounts owing or that may become owed, payable or otherwise due, directly or indirectly, by the Company or any of its Subsidiaries in connection with the consummation of the Transactions.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Warrants</w:t>
      </w:r>
      <w:r>
        <w:rPr>
          <w:rFonts w:ascii="Times New Roman" w:cs="Times New Roman" w:eastAsia="Times New Roman" w:hAnsi="Times New Roman"/>
          <w:sz w:val="17"/>
          <w:szCs w:val="17"/>
          <w:color w:val="auto"/>
        </w:rPr>
        <w:t>” means warrants to purchase equity securities of the Company (excluding, for the avoidance of doubt, the Burkhan Warrants).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contracts, agreements, subcontracts, leases, and purchase orders.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specified within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as applicable, the Company Disclosure Letter or the Acquiror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lawful money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means the time period commencing on the Closing Date and ending on the five (5) year anniversary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Company Holder</w:t>
      </w:r>
      <w:r>
        <w:rPr>
          <w:rFonts w:ascii="Times New Roman" w:cs="Times New Roman" w:eastAsia="Times New Roman" w:hAnsi="Times New Roman"/>
          <w:sz w:val="18"/>
          <w:szCs w:val="18"/>
          <w:color w:val="auto"/>
        </w:rPr>
        <w:t>” means Company Stockholders as of immediately 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Holder</w:t>
      </w:r>
      <w:r>
        <w:rPr>
          <w:rFonts w:ascii="Times New Roman" w:cs="Times New Roman" w:eastAsia="Times New Roman" w:hAnsi="Times New Roman"/>
          <w:sz w:val="18"/>
          <w:szCs w:val="18"/>
          <w:color w:val="auto"/>
        </w:rPr>
        <w:t>” means each Eligible Company Holder and Burkhan.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relating to Hazardous Materials, pollution, the protection or management of the environment or natural resources, or the protection of human health and safety from exposure to Hazardous Materials.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the Company means any Affiliate or business, whether or not incorporated, that together with the Company would be deemed to be a “single employer” within the meaning of Section 414(b), (c), (m) or (o) of the Code.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has the meaning specified within the definition of “</w:t>
      </w:r>
      <w:r>
        <w:rPr>
          <w:rFonts w:ascii="Times New Roman" w:cs="Times New Roman" w:eastAsia="Times New Roman" w:hAnsi="Times New Roman"/>
          <w:sz w:val="18"/>
          <w:szCs w:val="18"/>
          <w:u w:val="single" w:color="auto"/>
          <w:color w:val="auto"/>
        </w:rPr>
        <w:t>Acquiror Intervening Event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means any Taxes imposed on Acquiror pursuant to Section 4501 of the Code (and any related guidance, including IRS Notice 2023-</w:t>
      </w:r>
    </w:p>
    <w:p>
      <w:pPr>
        <w:spacing w:after="0" w:line="9"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Acquiror Share Redemptions.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means (i) any shares of Company Common Stock held by the Company as treasury stock and (ii) any Dissenting Shares.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Approvals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4.26(a)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Proxy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Authorities</w:t>
      </w:r>
      <w:r>
        <w:rPr>
          <w:rFonts w:ascii="Times New Roman" w:cs="Times New Roman" w:eastAsia="Times New Roman" w:hAnsi="Times New Roman"/>
          <w:sz w:val="18"/>
          <w:szCs w:val="18"/>
          <w:color w:val="auto"/>
        </w:rPr>
        <w:t>” means the Secretary of State under the NSI Act or the foreign investment authorities of any other jurisdiction.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 consistently applied.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of a corporation are its certificate of incorporation and bylaws, the “</w:t>
      </w:r>
      <w:r>
        <w:rPr>
          <w:rFonts w:ascii="Times New Roman" w:cs="Times New Roman" w:eastAsia="Times New Roman" w:hAnsi="Times New Roman"/>
          <w:sz w:val="18"/>
          <w:szCs w:val="18"/>
          <w:u w:val="single" w:color="auto"/>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of a limited partnership are its limited partnership agreement and certificate of limited partnership,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of a limited liability company are its operating agreement and certificate of formation (in each case, as amended, restated, amended and restated or otherwise modified from time to time).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local or foreign government, governmental authority, regulatory or administrative agency, governmental commission, department, board, bureau, agency or instrumentality, legislature, court or tribunal.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judgment, injunction, decree, writ, stipulation, determination or award, in each case, entered by or with any Governmental Authority.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 material or waste that is (a) regulated, classified, or otherwise characterized under or pursuant to any Environmental Law as “hazardous,” “toxic,” “pollutant,” “contaminant,” “radioactive,” or words of similar meaning or effect, or (b) to which liability or standards of conduct may be imposed pursuant to Environmental Law.</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any obligations, contingent or otherwise, in respect of (i) the principal of and premium (if any) in respect of all indebtedness for borrowed money, including accrued interest and any per diem interest accruals, (ii) the principal and interest components of capital lease or finance lease obligations under GAAP, (iii) amounts drawn (including any accrued and unpaid interest) on letters of credit, bank guarantees, bankers’ acceptances and other similar instruments (solely to the extent such amounts have actually been drawn), (iv) the principal of and premium (if any) in respect of obligations evidenced by bonds, debentures, notes, mortgages and similar instruments, (v) the termination value of interest rate protection agreements and currency obligation swaps, hedges or similar arrangements (without duplication of other indebtedness supported or guaranteed thereby), (vi) the principal component of all obligations to pay the deferred and unpaid purchase price of services or property and equipment which have been delivered, including “earn outs” and “seller notes” and (vii) breakage costs, prepayment or early termination premiums, penalties, or other fees or expenses payable as a result of the consummation of the Transactions in respect of any of the items in the foregoing clauses (i) through (vi), and (viii) all Indebtedness of another Person referred to in clauses (i) through (vii) above guaranteed directly or indirectly, jointly or severally.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Subsidiary</w:t>
      </w:r>
      <w:r>
        <w:rPr>
          <w:rFonts w:ascii="Times New Roman" w:cs="Times New Roman" w:eastAsia="Times New Roman" w:hAnsi="Times New Roman"/>
          <w:sz w:val="18"/>
          <w:szCs w:val="18"/>
          <w:color w:val="auto"/>
        </w:rPr>
        <w:t>” means Blaize New Computing Technologies India Private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rights and industrial property rights in or to the following, throughout the world, including rights with respect to: (i)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registered and unregistered trademarks, logos, service marks, trade dress and trade names, slogans, pending applications therefor, renewals and extensions of any of the foregoing, together with the goodwill of the Company or any of its Subsidiaries or their respective businesses symbolized by or associated with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(iii) registered and unregistered copyrights, applications for registration of copyright, and renewals, extensions, and reversions of any of the foregoing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(iv) other rights in works of authorship; (v) internet domain names; (vi) trade secrets, know-how, inventions (whether or not patentable), discoveries, improvements, technology, business and technical information, databases, data compilations and collections, tools, methods, processes, techniques and other confidential information; (vii) rights of publicity; (viii) rights in Software; (ix) all rights to sue for and remedies against past, present and future infringements, misappropriate or dilution of any or all of the foregoing and rights of priority and protection of interests therein under the Laws of any jurisdiction worldwide; and (x) all other proprietary, intellectual property and other rights relating to any or all of the foregoing.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means all applicable Laws relating to the import, export, re-export, deemed export, deemed re-export, or transfer of information, data, goods, and technology, including but not limited to the Export Administration Regulations administered by the United States Department of Commerce, the International Traffic in Arms Regulations administered by the United States Department of State, customs and import Laws administered by United States Customs and Border Protection, any other export or import controls administered by an agency of the United States government, the anti-boycott regulations administered by the United States Department of Commerce, and other applicable Laws adopted by Governmental Authorities of other countries relating to the same subject matter as the United States Laws described above, except to the extent inconsistent with U.S. Law.  </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Agreement</w:t>
      </w:r>
      <w:r>
        <w:rPr>
          <w:rFonts w:ascii="Times New Roman" w:cs="Times New Roman" w:eastAsia="Times New Roman" w:hAnsi="Times New Roman"/>
          <w:sz w:val="18"/>
          <w:szCs w:val="18"/>
          <w:color w:val="auto"/>
        </w:rPr>
        <w:t>” means all licenses, sublicenses, consent to use agreements, settlements, coexistence agreements, covenants not to sue, permissions and other Contracts (including any right to receive or obligation to pay royalties or any other consideration), whether written or oral, pursuant to which the Company or its Subsidiaries grant any Person any rights to use any Intellectual Property.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Act</w:t>
      </w:r>
      <w:r>
        <w:rPr>
          <w:rFonts w:ascii="Times New Roman" w:cs="Times New Roman" w:eastAsia="Times New Roman" w:hAnsi="Times New Roman"/>
          <w:sz w:val="18"/>
          <w:szCs w:val="18"/>
          <w:color w:val="auto"/>
        </w:rPr>
        <w:t>” means the (Indian) Income Tax Act, 1961, together with any statutory modifications (including those having retrospective applicability)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re-enactment thereof and with all applicable bylaws, rules, regulations, orders, circulars, notifications, ordinances, instructions, directions and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means the Jumpstart Our Business Startups Act of 2012,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Latham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(including common law), ordinance, rule, regulation, Governmental Order or other similar legal requirement,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of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real property leased, licensed, subleased or otherwise used or occupied by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means any approvals, authorizations, consents, licenses, registrations, permits or certificates of a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all liens, mortgages, deeds of trust, pledges, hypothecations, encumbrances, security interests, adverse claim, options, 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or other liens of any kind whether consensual, statutory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Board</w:t>
      </w:r>
      <w:r>
        <w:rPr>
          <w:rFonts w:ascii="Times New Roman" w:cs="Times New Roman" w:eastAsia="Times New Roman" w:hAnsi="Times New Roman"/>
          <w:sz w:val="18"/>
          <w:szCs w:val="18"/>
          <w:color w:val="auto"/>
        </w:rPr>
        <w:t>” means the board of directors of Merger Sub.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Capital Stock</w:t>
      </w:r>
      <w:r>
        <w:rPr>
          <w:rFonts w:ascii="Times New Roman" w:cs="Times New Roman" w:eastAsia="Times New Roman" w:hAnsi="Times New Roman"/>
          <w:sz w:val="18"/>
          <w:szCs w:val="18"/>
          <w:color w:val="auto"/>
        </w:rPr>
        <w:t>” means the shares of the common stock, par value $0.01 per share, of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Cash Amount</w:t>
      </w:r>
      <w:r>
        <w:rPr>
          <w:rFonts w:ascii="Times New Roman" w:cs="Times New Roman" w:eastAsia="Times New Roman" w:hAnsi="Times New Roman"/>
          <w:sz w:val="18"/>
          <w:szCs w:val="18"/>
          <w:color w:val="auto"/>
        </w:rPr>
        <w:t>” means $125,000,000.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Acquiror Board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Norton Rose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NSI Act</w:t>
      </w:r>
      <w:r>
        <w:rPr>
          <w:rFonts w:ascii="Times New Roman" w:cs="Times New Roman" w:eastAsia="Times New Roman" w:hAnsi="Times New Roman"/>
          <w:sz w:val="18"/>
          <w:szCs w:val="18"/>
          <w:color w:val="auto"/>
        </w:rPr>
        <w:t>” means the United Kingdom’s National Security and Investment Act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any and all “open source” licenses and “free software” licenses, including any license that substantially conforms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Open Source Definition (as promulgated by the Open Source Initiative) or the Free Software Definition (as promulgated by the Free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Foundation), any license approved by the Open Source Initiative, any Creative Commons License, any GPL, LGPL, AGPL, Mozilla License, Apache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Common Public License, Common Development and Distribution License, BSD License, Open Software License, Server Side Public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Sleepycat License, or Eclipse Public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Materials</w:t>
      </w:r>
      <w:r>
        <w:rPr>
          <w:rFonts w:ascii="Times New Roman" w:cs="Times New Roman" w:eastAsia="Times New Roman" w:hAnsi="Times New Roman"/>
          <w:sz w:val="18"/>
          <w:szCs w:val="18"/>
          <w:color w:val="auto"/>
        </w:rPr>
        <w:t>” means any Software subject to an Open Source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means all real property owned in fee simple by the Companies or any of their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specified within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Company Share Merger Consideration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mechanic’s, materialmen’s, and similar Liens arising in the ordinary course of business with respect to any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 yet due and payable or which are being contested in good faith through appropriate proceedings and (B) for which adequate accruals or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established in accordance with GAAP, (ii) Liens for Taxes (A) not yet due and payable or (B) that are being contested in good faith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proceedings and, in each case, for which adequate accruals or reserves have been established in accordance with GAAP in the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(iii) defects or imperfections of title, easements, encroachments, covenants, rights-of-way, conditions, matters that would be apparent from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inspection or current, accurate survey of such real property, restrictions and other similar charges or encumbrances that do not,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materially interfere with the present use of the Owned Real Property or Leased Real Property, (iv) with respect to any Leased Real Property (A) the interests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rights of the respective lessors with respect thereto, including any statutory landlord liens and any Lien thereon, (B) any Lien permitted under a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Lease, (C) any Liens encumbering the underlying fee title of the real property of which the Leased Real Property is a part, and (D) guaranties,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or deposits arising from any Real Property Leases, including security deposits made in the ordinary course of business, (v) zoning,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entitlement and other land use and environmental regulations promulgated by any Governmental Authority that do not, individual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interfere with the current use of the Owned Real Property or Leased Real Property, (vi) non-exclusive licenses of Intellectual Property entered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in the ordinary course of business, (vii) Liens incurred in connection with operating lease, capital lease or finance lease obligations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(viii) with respect to the Company and its Subsidiaries, Liens arising under Governing Documents as in effect on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(ix) Liens to be released prior to or at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instrumentality or other entity of any kind.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“personal information,” “personal data,” “personally identifiable information,” or “PII” as defined under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any and all applicable Laws, implementing regulations under such Laws, legal requirements and binding self-regulatory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guidelines (including of any applicable foreign jurisdiction) relating to privacy, data security, data breach notification, or data protection or governing,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receipt, collection, compilation, use, storage, processing, sharing, safeguarding, security (technical, physical or administrative), disposal, destruction,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or transfer (including cross-border) of any Personal Information, including, as applicable, but not limited to, the Federal Trade Commission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Consumer Privacy Act (CCPA), Payment Card Industry Data Security Standard (PCI-DSS), and the EU General Data Protection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Investment</w:t>
      </w:r>
      <w:r>
        <w:rPr>
          <w:rFonts w:ascii="Times New Roman" w:cs="Times New Roman" w:eastAsia="Times New Roman" w:hAnsi="Times New Roman"/>
          <w:sz w:val="18"/>
          <w:szCs w:val="18"/>
          <w:color w:val="auto"/>
        </w:rPr>
        <w:t>” means any private placement of shares of Acquiror Class A Common Stock or securities exercisable or convertible into shares of Acquiror Class A Common Stock, or any other form of investment in or financing of (either directly or indirectly) Acquiror, that is consummated in connection with the Transactions subject to and in accordance with the terms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Investor</w:t>
      </w:r>
      <w:r>
        <w:rPr>
          <w:rFonts w:ascii="Times New Roman" w:cs="Times New Roman" w:eastAsia="Times New Roman" w:hAnsi="Times New Roman"/>
          <w:sz w:val="18"/>
          <w:szCs w:val="18"/>
          <w:color w:val="auto"/>
        </w:rPr>
        <w:t>” means any investor that has agreed to enter into a Private Placement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for each Eligible Company Holder, a percentage determined by dividing (i) the total number of (a) shares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and outstanding immediately prior to the Effective Time (after giving effect to the Company Security Conversion and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Event) held by such Eligible Company Holder immediately prior to the Effective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shares of Company Common Stock subject to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that are outstanding and held by such Eligible Company Holder immediately prior to the Effective Time, calculated using the treasury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method of accounting,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shares of Company Common Stock subject to unsettled Company RSUs that are outstanding and held by such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Holder immediately prior to the Effective Time, by (ii) the total number of (a) shares of Company Common Stock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Effective Time (after giving effect to the Company Security Conversion and the Warrant Event) held by the Eligible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immediately prior to the Effective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shares of Company Common Stock subject to Company Options that are outstanding and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Eligible Company Holders immediately prior to the Effective Time, calculated using the treasury stock method of accounting,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Common Stock subject to Company RSUs that are outstanding and held by the Eligible Company Holders immediately prior to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 / 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Transaction Proposals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Company Stockholders</w:t>
      </w:r>
      <w:r>
        <w:rPr>
          <w:rFonts w:ascii="Times New Roman" w:cs="Times New Roman" w:eastAsia="Times New Roman" w:hAnsi="Times New Roman"/>
          <w:sz w:val="18"/>
          <w:szCs w:val="18"/>
          <w:color w:val="auto"/>
        </w:rPr>
        <w:t>” means the holders of Company Common Stock and Company Preferred Stock who, collectively, hold at least the number, class and series of shares of Company Common Stock and Company Preferred Stock required to deliver the Company Stockholder Approvals.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any country or territory with which dealings are broadly and comprehensively prohibited by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Laws (as of the date of this Agreement, Cuba, Iran, North Korea, Syria, the Crimea region of Ukraine, the so-called Donetsk People’s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so-called Luhansk People’s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identified in any sanctions-related list of designated Persons maintained by (a) the United States Department of the Treasury’s Office of Foreign Assets Control or the United States Department of State; (b) His Majesty’s Treasury of the United Kingdom; (c) the United Nations Security Council; or (d) the European Union; (ii) any Person located, organized, or resident in, or a Governmental Authority or government instrumentality of, any Sanctioned Country; and (iii) any Person directly or indirectly 50% or greater owned or controlled by, or acting for the benefit or on behalf of, a Person described in clause (i) or (ii), either individually or in the aggregate.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economic and financial sanctions Laws administered, enacted or enforced from time to time by (i) the United States (including the Department of the Treasury’s Office of Foreign Assets Control), (ii) the European Union and enforced by its member states, (iii) the United Nations Security Council, or (iv) His Majesty’s Treasury of the United Kingdom.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Purchase Agreements</w:t>
      </w:r>
      <w:r>
        <w:rPr>
          <w:rFonts w:ascii="Times New Roman" w:cs="Times New Roman" w:eastAsia="Times New Roman" w:hAnsi="Times New Roman"/>
          <w:sz w:val="18"/>
          <w:szCs w:val="18"/>
          <w:color w:val="auto"/>
        </w:rPr>
        <w:t>” means any purchase agreement entered into with any Private Placement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Series D Shadow Stock</w:t>
      </w:r>
      <w:r>
        <w:rPr>
          <w:rFonts w:ascii="Times New Roman" w:cs="Times New Roman" w:eastAsia="Times New Roman" w:hAnsi="Times New Roman"/>
          <w:sz w:val="18"/>
          <w:szCs w:val="18"/>
          <w:color w:val="auto"/>
        </w:rPr>
        <w:t>” means, collectively, the Series D-2 Shadow Preferred Stock, Series D Shadow Exchange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D-1 Shadow Exchange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 Exchange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 Shadow Stock</w:t>
      </w:r>
      <w:r>
        <w:rPr>
          <w:rFonts w:ascii="Times New Roman" w:cs="Times New Roman" w:eastAsia="Times New Roman" w:hAnsi="Times New Roman"/>
          <w:sz w:val="18"/>
          <w:szCs w:val="18"/>
          <w:color w:val="auto"/>
        </w:rPr>
        <w:t>” means, collectively, the Series D Shadow Preferred Stock and the Series D-1 Shadow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D-1 Exchange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D-1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D-2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Seed Shadow Preferred Stock</w:t>
      </w:r>
      <w:r>
        <w:rPr>
          <w:rFonts w:ascii="Times New Roman" w:cs="Times New Roman" w:eastAsia="Times New Roman" w:hAnsi="Times New Roman"/>
          <w:sz w:val="18"/>
          <w:szCs w:val="18"/>
          <w:color w:val="auto"/>
        </w:rPr>
        <w:t>” has the meaning specified in the Company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software, computer programs, and applications including any and all software implementations of algorithms, models and methodologies, whether in source code or object code, (b) computer-based databases and compilations, (c) descriptions, flow-charts and other work product used to design, plan, organize and develop any of the foregoing, screens, user interfaces, report formats, firmware, development tools, templates, menus, buttons and icons, (d) all versions, updates, corrections, enhancements and modifications related to any of the foregoing, and (e) all documents (including, user manuals, training documentation, developer notes, comments and annotations) related to any of the foregoing.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BurTech LP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 corporation or other entity of which more than 50% of the voting power of the equity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is owned, directly or indirectly,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statement, information return or statement, or other document filed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filed with any Governmental Authority with respect to Taxes, including any schedules, attachments, amendments, or supplements of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or local or non-U.S. taxes, duties, levies or other similar governmental assessments in the nature of taxes, including, without limitation, income, gains, gross receipts, corporate, license, payroll, recapture, net worth, employment (including employee withholding or employer payroll tax, national insurance contributions, apprenticeship levy, FICA or FUTA), excise, severance, stamp, occupation, premium, windfall profits, environmental, customs duties, capital stock, ad valorem, value added, inventory, production, franchise, profits, withholding, social security, unemployment, disability, welfare, real property, personal property, sales, use, services, turnover, transfer, registration, representative, agent, excess lines (or similar), any taxes imposed under the IT Act or the (Indian) Goods &amp; Services Tax Act 2017, alternative or add-on minimum, estimated, and other taxes, including any interest, penalty, or addition to tax of any of the foregoing, whether or not disputed.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Acquiror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Company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Vendors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Merger Consideration</w:t>
      </w:r>
      <w:r>
        <w:rPr>
          <w:rFonts w:ascii="Times New Roman" w:cs="Times New Roman" w:eastAsia="Times New Roman" w:hAnsi="Times New Roman"/>
          <w:sz w:val="18"/>
          <w:szCs w:val="18"/>
          <w:color w:val="auto"/>
        </w:rPr>
        <w:t xml:space="preserve">” means the number of shares of Acquiror Class A Common Stock issuable in the Transaction to the Company Stockholders and Burkhan and/or its Affiliates and/or nominees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(including the Earnout Shares).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specified within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the Treasury (whether in final,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or temporary form),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w:t>
      </w:r>
      <w:r>
        <w:rPr>
          <w:rFonts w:ascii="Times New Roman" w:cs="Times New Roman" w:eastAsia="Times New Roman" w:hAnsi="Times New Roman"/>
          <w:sz w:val="18"/>
          <w:szCs w:val="18"/>
          <w:color w:val="auto"/>
        </w:rPr>
        <w:t>” means the first date during the Earnout Period on which the closing stock price of Acquiror Class A Common Stock is greater than or equal to $12.50 per share for twenty (20) trading days within any thirty (30) consecutive trading day period.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w:t>
      </w:r>
      <w:r>
        <w:rPr>
          <w:rFonts w:ascii="Times New Roman" w:cs="Times New Roman" w:eastAsia="Times New Roman" w:hAnsi="Times New Roman"/>
          <w:sz w:val="18"/>
          <w:szCs w:val="18"/>
          <w:color w:val="auto"/>
        </w:rPr>
        <w:t>” means the first date during the Earnout Period on which the closing stock price of Acquiror Class A Common Stock is greater than or equal to $15.00 per share for twenty (20) trading days within any thirty (30) consecutive trading day period.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III</w:t>
      </w:r>
      <w:r>
        <w:rPr>
          <w:rFonts w:ascii="Times New Roman" w:cs="Times New Roman" w:eastAsia="Times New Roman" w:hAnsi="Times New Roman"/>
          <w:sz w:val="18"/>
          <w:szCs w:val="18"/>
          <w:color w:val="auto"/>
        </w:rPr>
        <w:t>” means the first date during the Earnout Period on which the closing stock price of Acquiror Class A Common Stock is greater than or equal to $17.50 per share for twenty (20) trading days within any thirty (30) consecutive trading day period.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IV</w:t>
      </w:r>
      <w:r>
        <w:rPr>
          <w:rFonts w:ascii="Times New Roman" w:cs="Times New Roman" w:eastAsia="Times New Roman" w:hAnsi="Times New Roman"/>
          <w:sz w:val="18"/>
          <w:szCs w:val="18"/>
          <w:color w:val="auto"/>
        </w:rPr>
        <w:t>” means the first date during the Earnout Period on which the closing stock price of Acquiror Class A Common Stock is greater than or equal to $20.00 per share for twenty (20) trading days within any thirty (30) consecutive trading day period.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Events</w:t>
      </w:r>
      <w:r>
        <w:rPr>
          <w:rFonts w:ascii="Times New Roman" w:cs="Times New Roman" w:eastAsia="Times New Roman" w:hAnsi="Times New Roman"/>
          <w:sz w:val="18"/>
          <w:szCs w:val="18"/>
          <w:color w:val="auto"/>
        </w:rPr>
        <w:t>” means Triggering Event I, Triggering Event II, Triggering Event III and Triggering Event IV,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means the Investment Management Trust Agreement, dated December 10, 2021, by and between Acquiror and the Trustee, as amended after the date of this Agreement by any later amendment(s) to such agreement approved in writing by the Company.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Amount</w:t>
      </w:r>
      <w:r>
        <w:rPr>
          <w:rFonts w:ascii="Times New Roman" w:cs="Times New Roman" w:eastAsia="Times New Roman" w:hAnsi="Times New Roman"/>
          <w:sz w:val="18"/>
          <w:szCs w:val="18"/>
          <w:color w:val="auto"/>
        </w:rPr>
        <w:t xml:space="preserve">” means (i) the amount of cash available in the Trust Account following the Acquiror Stockholder Meeting, after deducting the amount required to satisfy the Acquiror Share Redemption Amount (such amount, prior to payment of (x) any deferred underwriting commissions being held in the Trust Account, (y) any Acquiror Transaction Expenses or (z) any Company Transaction Expenses), as contemplated by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Continental Stock Transfer &amp;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the Warrant Agreement, dated as of December 10, 2021, between Acquiror and Continental Stock Transfer &amp; Trust Company, as amended by any later amendment(s) approved in writing by the Company.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Event</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Loans</w:t>
      </w:r>
      <w:r>
        <w:rPr>
          <w:rFonts w:ascii="Times New Roman" w:cs="Times New Roman" w:eastAsia="Times New Roman" w:hAnsi="Times New Roman"/>
          <w:sz w:val="18"/>
          <w:szCs w:val="18"/>
          <w:color w:val="auto"/>
        </w:rPr>
        <w:t>” means any loan made to Acquiror by any of the Sponsor, an Affiliate of the Sponsor, or any of Acquiror’s officers or directors, and evidenced by a promissory note, for the purpose of financing working capital or costs incurred in connection with a Business Combination, any Extension or to otherwise capitalize the Acquiror or fund any of its expenses.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or “Section” refer to the specified Article or Section of this Agreement; (v) the word “including” shall mean “including, without limitation” and (vi) the word “or” shall be disjunctive but not exclusive.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Unless the context of this Agreement otherwise requires, references to statutes shall include all regulations promulgated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references to statutes or regulations shall be construed as including all statutory and regulatory provisions consolidating, amending or replacing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 or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Whenever this Agreement refers to a number of days, such number shall refer to calendar days unless Business Days are specified.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All accounting terms used herein and not expressly defined herein shall have the meanings given to them under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The term “actual fraud” means, with respect to a Party to this Agreement, an actual and intentional fraud with respect to the making of the representations and warranties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actual and intentional fraud of such Person shall only be deemed to exist if any of the individuals included on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Company Disclosure Letter (in the case of the Company) or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Acquiror Disclosure Letter (in the case of Acquiror) had knowledge that the representations and warranties made by such Person pursuant to, in the case of the Company,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Company Disclosure Letter, or, in the case of Acquiror,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qualified by the Acquiror Disclosure Letter, were actually breached when made, with the express intention that the other Party to this Agreement rely thereon to its detriment.  </w:t>
      </w:r>
    </w:p>
    <w:p>
      <w:pPr>
        <w:spacing w:after="0" w:line="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(f)             The phrases “provided to,” “made available” and phrases of similar import when used herein, unless the context otherwise requires, means that a copy of the information or material referred to has been provided no later than one (1) Business Day prior to the date of this Agreement (or any time prior to the execution and delivery of this Agreement, if the applicable recipient acknowledges receipt of such information or material) to the party to which such information or material is to be provided or furnished (i) in the virtual “data room” set up by the Company in connection with this Agreement or (ii) by delivery to such party or its legal counsel via electronic mail.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Knowledge</w:t>
      </w:r>
      <w:r>
        <w:rPr>
          <w:rFonts w:ascii="Times New Roman" w:cs="Times New Roman" w:eastAsia="Times New Roman" w:hAnsi="Times New Roman"/>
          <w:sz w:val="17"/>
          <w:szCs w:val="17"/>
          <w:color w:val="auto"/>
        </w:rPr>
        <w:t>. As used herein, (a) the phrase “to the knowledge” of the Company (or phrases of similar import) shall mean the actual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knowledge of the individuals identified on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Company Disclosure Letter, or knowledge as such individuals would have acquired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reasonable inquiries of direct reports, and (b) the phrase “to the knowledge” of Acquiror (or phrases of similar import) shall mean the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knowledge of the individuals identified on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Acquiror Disclosure Letter, or knowledge as such individuals would have acquired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reasonable inquiries of direct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Equitable Adjustments</w:t>
      </w:r>
      <w:r>
        <w:rPr>
          <w:rFonts w:ascii="Times New Roman" w:cs="Times New Roman" w:eastAsia="Times New Roman" w:hAnsi="Times New Roman"/>
          <w:sz w:val="18"/>
          <w:szCs w:val="18"/>
          <w:color w:val="auto"/>
        </w:rPr>
        <w:t xml:space="preserve">. Other than as contemplated by this Agreement, if between the date of this Agreement and the Closing the outstanding shares of Company Common Stock or Acquiror Common Stock shall have been changed into a different number of shares or a different class, by reason of any stock dividend, subdivision, reclassification, reorganization, recapitalization, split, combination or exchange of shares, or any similar event shall have occurred, then any number, value (including dollar value) or amount contained herein which is based upon the number of shares of Company Common Stock or Acquiror Common Stock, as applicable, will be appropriately adjusted to provide to the holders of Company Common Stock or Acquiror Common Stock, as applicable,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not be construed to permit the Company, Acquiror or Merger Sub to take any action with respect to their respective securities that is prohibited by the terms and conditions of this Agreement and/or any Ancillary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any adjustment contemplated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result in an increase to the Base Purchase Price.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Acquiror, Merger Sub and the Company (Merger Sub and the Company sometimes being referred to herein as the “</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shall cause Merger Sub to be merged with and into the Company, with the Company being the surviving corporation in the Merger. The Merger shall be consummated in accordance with this Agreement and shall be evidenced by a certificate of merger with respect to the Merger (as so filed, the “</w:t>
      </w:r>
      <w:r>
        <w:rPr>
          <w:rFonts w:ascii="Times New Roman" w:cs="Times New Roman" w:eastAsia="Times New Roman" w:hAnsi="Times New Roman"/>
          <w:sz w:val="18"/>
          <w:szCs w:val="18"/>
          <w:u w:val="single" w:color="auto"/>
          <w:color w:val="auto"/>
        </w:rPr>
        <w:t>Merger Certificate</w:t>
      </w:r>
      <w:r>
        <w:rPr>
          <w:rFonts w:ascii="Times New Roman" w:cs="Times New Roman" w:eastAsia="Times New Roman" w:hAnsi="Times New Roman"/>
          <w:sz w:val="18"/>
          <w:szCs w:val="18"/>
          <w:color w:val="auto"/>
        </w:rPr>
        <w:t>”), executed by the Company in accordance with the relevant provisions of the DGCL, such Merger to be effective as of the Effective Time.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Upon consummation of the Merger, the separate corporate existence of Merger Sub shall cease and the Company, as the surviving corporation of the Merger (hereinafter referred to for the periods at and after the Effective Time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shall continue its corporate existence under the DGCL, as a direct wholly owned subsidiary of Acquiror.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Effects of the Merger</w:t>
      </w:r>
      <w:r>
        <w:rPr>
          <w:rFonts w:ascii="Times New Roman" w:cs="Times New Roman" w:eastAsia="Times New Roman" w:hAnsi="Times New Roman"/>
          <w:sz w:val="18"/>
          <w:szCs w:val="18"/>
          <w:color w:val="auto"/>
        </w:rPr>
        <w:t>. At and after the Effective Time, the Surviving Corporation shall thereupon and thereafter possess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privileges, powers and franchises, of a public as well as a private nature, of the Constituent Corporations, and shall become subject to 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disabilities and duties of each of the Constituent Corporations; and all rights, privileges, powers and franchises of each Constituent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all property, real, personal and mixed, and all debts due to each such Constituent Corporation, on whatever account, shall become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Surviving Corporation; and all property, rights, privileges, powers and franchises, and all and every other interest shall become thereafter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of the Surviving Corporation as they are of the Constituent Corporations; and the title to any real property vested by deed or otherwise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interest in real estate vested by any instrument or otherwise in either of such Constituent Corporations shall not revert or become in any way impaired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reason of the Merger; but all Liens upon any property of a Constituent Corporation shall thereafter attach to the Surviving Corporation 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against it to the same extent as if said debts, liabilities and duties had been incurred or contracted by it; all of the foregoing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provisions of the DGCL.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Closing; Effective Time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In accordance with the terms and subject to the conditions of this Agreement, the closing of the Merger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take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electronically by the mutual exchange of electronic signatures (including portable document format (.PDF)) on the date which is two (2)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Days after the first date on which all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have been satisfied or, to the extent legally permissible, waived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conditions that by their terms are to be satisfied at the Closing, but subject to the satisfaction or, to the extent legally permissible, waiver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time and place as Acquiror and the Company may mutually agree in writing. The date on which the Closing actually occurs is referred to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For the avoidance of doubt, the Closing shall occur after the consummation of the Company Security Conversion,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Event and the Burkhan Conversion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Subject to the satisfaction or, to the extent legally permissible, waiver of all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this Agreement has not theretofore been terminated pursuant to its terms, Acquiror, Merger Sub, and the Company shall cause the Merger Certificate to be executed and duly submitted for filing with the Secretary of State of the State of Delaware in accordance with the applicable provisions of the DGCL. The Merger shall become effective at the time when the Merger Certificate has been accepted for filing by the Secretary of State of the State of Delaware, or at such later time as may be agreed by Acquiror and the Company in writing and specified in the Merger Certificate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Closing, the Company will deliver or cause to be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(i)            to Acquiror, a certificate duly executed by an authorized officer of the Company, dated as of the Closing Date, certifying that, to the knowledge and belief of such authorized officer, the conditions specified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9.2(b)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9.2(c) </w:t>
      </w:r>
      <w:r>
        <w:rPr>
          <w:rFonts w:ascii="Times New Roman" w:cs="Times New Roman" w:eastAsia="Times New Roman" w:hAnsi="Times New Roman"/>
          <w:sz w:val="18"/>
          <w:szCs w:val="18"/>
          <w:color w:val="auto"/>
        </w:rPr>
        <w:t>have been fulfilled;  </w:t>
      </w:r>
    </w:p>
    <w:p>
      <w:pPr>
        <w:spacing w:after="0" w:line="1"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(ii)           to Acquiror, the written resignations of all of the directors of the Company (other than any such Persons identified as initial directors of the Surviving Corporation,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effective as of the Effective Time;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to Acquiror, the Registration Rights Agreement, duly executed by the applicable Company Stockholders who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to execute the 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firstLine="1944"/>
        <w:spacing w:after="0" w:line="256" w:lineRule="auto"/>
        <w:rPr>
          <w:sz w:val="20"/>
          <w:szCs w:val="20"/>
          <w:color w:val="auto"/>
        </w:rPr>
      </w:pPr>
      <w:r>
        <w:rPr>
          <w:rFonts w:ascii="Times New Roman" w:cs="Times New Roman" w:eastAsia="Times New Roman" w:hAnsi="Times New Roman"/>
          <w:sz w:val="18"/>
          <w:szCs w:val="18"/>
          <w:color w:val="auto"/>
        </w:rPr>
        <w:t>(iv)          to Acquiror, a certificate on behalf of the Company and in form and substance reasonably satisfactory to Acquiror, prepared in a manner consistent and in accordance with the requirements of Treasury Regulations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(which shall be delivered by Acquiror to the Internal Revenue Service after the Closing), together with written authorization for Acquiror to deliver such documentation to the Internal Revenue Service on behalf of the Company after the Closing; and  </w:t>
      </w:r>
    </w:p>
    <w:p>
      <w:pPr>
        <w:spacing w:after="0" w:line="206"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(v)           to Acquiror, (1) for each Company Stockholder that is a “United States person” within the meaning of Section 7701(a)(30) of the Code, a properly completed and duly executed IRS Form W-9 certifying that such Company Stockholder is not subject to backup withholding, or</w:t>
      </w:r>
    </w:p>
    <w:p>
      <w:pPr>
        <w:spacing w:after="0" w:line="250" w:lineRule="auto"/>
        <w:rPr>
          <w:sz w:val="20"/>
          <w:szCs w:val="20"/>
          <w:color w:val="auto"/>
        </w:rPr>
      </w:pPr>
      <w:r>
        <w:rPr>
          <w:rFonts w:ascii="Times New Roman" w:cs="Times New Roman" w:eastAsia="Times New Roman" w:hAnsi="Times New Roman"/>
          <w:sz w:val="18"/>
          <w:szCs w:val="18"/>
          <w:color w:val="auto"/>
        </w:rPr>
        <w:t xml:space="preserve">(2) for each Company Stockholder that is not a “United States person,” a properly completed and duly executed applicable IRS Form W-8 of such Company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Company Stockholder fails to provided such certificate, the transactions contemplated by this Agreement shall nonetheless be able to close and each of Acquiror, Merger Sub, the Company, the Exchange Agent and their respective agents, as applicable, shall be entitled to withhold from any consideration paid pursuant to this Agreement any amounts required by Law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Acquiror will deliver or cause to be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(i)            to the Exchange Agent, that portion of the Base Merger Consideration to be paid in respect of shares of Company Common Stock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(as set forth on the Allocation Schedule), for further distribution to such holders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(ii)           to the Company, a certificate duly executed by an authorized officer of Acquiror, dated the Closing Date, certifying that, to the knowledge and belief of such authorized officer, the conditions specified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9.3(c) </w:t>
      </w:r>
      <w:r>
        <w:rPr>
          <w:rFonts w:ascii="Times New Roman" w:cs="Times New Roman" w:eastAsia="Times New Roman" w:hAnsi="Times New Roman"/>
          <w:sz w:val="18"/>
          <w:szCs w:val="18"/>
          <w:color w:val="auto"/>
        </w:rPr>
        <w:t>have been fulfilled;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to the Company, the Registration Rights Agreement, duly executed by duly authorized representatives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(and/or its Affiliates and/or nominees) and the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to the Sponsor and Burkhan (and/or its Affiliates and/or nominees), the Stockholders’ Agreement, duly executed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to the Company, duly executed written resignations of all of the directors and officers of Acquiror and Merger Sub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those Persons identified as the initial directors and officers, respectively, of Acquiror after the Effective Time, in accordance with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effective as of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 xml:space="preserve">(c)            On the Closing Date, concurrently with the Effective Time, Acquiror shall pay or cause to be paid by wire transfer of immediately available funds, the Acquiror Transaction Expenses (other than any Excise Tax that is not due and payable at such time) and the Company Transaction Expenses, in accordance with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which amounts incurred, accrued, paid or payable by (i) Acquiror or Acquiror’s Affiliates (which shall include any outstanding amounts under any Working Capital Loans) shall be set forth on a written statement delivered to the Company not less than two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Business Days prior to the Closing Date and (ii) the Company or its Subsidiaries shall be set forth on a written statement delivered to Acquiror not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than two (2) Business Days prior to the Closing Date, which statements described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shall include the respective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wire transfer instructions for the payment thereof, together with corresponding invoices for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Company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due to current or former employees, independent contractors, officers, or directors of the Company or any of its Subsidiaries shall be paid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further payment to such employee, independent contractor, officer or director through the Company’s payroll or accounts payable,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Governing Documents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certificate of incorporation and bylaws of the Company in effect immediately prior to the Effective Time shall be amended and restated in their entirety at the Effective Time and, as so amended and restated, shall be the certificate of incorporation and bylaws of the Surviving Corporation from and after the Effective Time, until thereafter amended or modified as provided therein and under the DGCL.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The certificate of incorporation and bylaws of Acquiror as of immediately prior to the Effective Time (which shall be substantially in the form attached as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with such changes as may be agreed in writing by Acquiror and the Company), shall be the certificate of incorporation and bylaws of Acquiror from and after the Effective Time, until thereafter amended as provided therein and under the DGCL.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(i) officers of the Company as of immediately prior to the Effective Time shall be the officers of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after the Effective Time and (ii) the directors of the Company as of immediately prior to the Effective Time shall be the directors of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from and after the Effective Time, in each case, each to hold office in accordance with the Governing Documents of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The Parties shall take all actions necessary to ensure that, from and after the Effective Time, the Persons identified as the initial post-Closing directors and officers of Acquiror in accordance with the provisions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as applicable, shall be the directors and officers, respectively, of Acquiror, each to hold office in accordance with the Governing Documents of Acquiror.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Intended Tax Treatment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            The Parties intend that, for U.S. federal income tax purposes, (i) the Merger will qualify as a “reorganization” within the meaning of Section 368(a) of the Code and the Treasury Regulations promulgated thereunder, to which each of Acquiror, Merger Sub and the Company are parties under Section 368(b) of the Code and the Treasury Regulations promulgated thereunder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(ii) the Company Security Conversion and the Burkhan Conversion Event will each qualify as a “recapitalization” within the meaning of Section 368(a)(1)(E) of the Code, and (iii) this Agreement is, and is hereby adopted as, a “plan of reorganization” for purposes of Sections 354, 361, and 368 of the Code and Treasury Regulations Sections 1.368-2(g) and 1.368-3(a). The Parties shall (A) file all Tax Returns and report the transactions contemplated by this Agreement for all U.S. federal income tax purposes in accordance with the Intended Tax Treatment, (B) take no position inconsistent with the Intended Tax Treatment (whether in audits, Tax Returns or otherwise), in the case of each of clauses (A) and (B), unless otherwise required by a “determination” within the meaning of Section 1313(a) of the Code, (C) use reasonable best efforts to cause the Merger (and if the Second Merger is consummated pursuant to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the Merger and the Second Merger, taken together) to qualify for the Intended Tax Treatment; and (D) reasonably cooperate in good faith with each other and their respective advisors to document and support the Intended Tax Treatment, including by taking the actions described in </w:t>
      </w:r>
      <w:r>
        <w:rPr>
          <w:rFonts w:ascii="Times New Roman" w:cs="Times New Roman" w:eastAsia="Times New Roman" w:hAnsi="Times New Roman"/>
          <w:sz w:val="18"/>
          <w:szCs w:val="18"/>
          <w:u w:val="single" w:color="auto"/>
          <w:color w:val="auto"/>
        </w:rPr>
        <w:t>Section 2.7(a) </w:t>
      </w:r>
      <w:r>
        <w:rPr>
          <w:rFonts w:ascii="Times New Roman" w:cs="Times New Roman" w:eastAsia="Times New Roman" w:hAnsi="Times New Roman"/>
          <w:sz w:val="18"/>
          <w:szCs w:val="18"/>
          <w:color w:val="auto"/>
        </w:rPr>
        <w:t xml:space="preserve">of the Company Disclosure Letter. Each of the Parties shall promptly notify the other Parties in writing if such Party becomes aware of any challenge to the Intended Tax Treatment by a Governmental Authority or if such Party becomes aware of any non-public fact or circumstance that would reasonably be expected to prevent or impede the Merger from qualifying for the Intended Tax Treatment. None of the Parties shall (nor shall they permit any of their Affiliates, Subsidiaries or representatives to) knowingly take or cause to be taken any action or fail to take any action (in each case, other than such actions contemplated by this Agreement or the Ancillary Agreements), if such action or failure to take action would be reasonably expected to impede or prevent the Merger from qualifying for the Intended Tax Treatment. Notwithstanding the foregoing, nothing in this </w:t>
      </w:r>
      <w:r>
        <w:rPr>
          <w:rFonts w:ascii="Times New Roman" w:cs="Times New Roman" w:eastAsia="Times New Roman" w:hAnsi="Times New Roman"/>
          <w:sz w:val="18"/>
          <w:szCs w:val="18"/>
          <w:u w:val="single" w:color="auto"/>
          <w:color w:val="auto"/>
        </w:rPr>
        <w:t>Section 2.7(a) </w:t>
      </w:r>
      <w:r>
        <w:rPr>
          <w:rFonts w:ascii="Times New Roman" w:cs="Times New Roman" w:eastAsia="Times New Roman" w:hAnsi="Times New Roman"/>
          <w:sz w:val="18"/>
          <w:szCs w:val="18"/>
          <w:color w:val="auto"/>
        </w:rPr>
        <w:t xml:space="preserve">shall (x) require or be interpreted to obligate any Party or any of their respective Affiliates or representatives to litigate or defend against any challenge to the Intended Tax Treatment by a Governmental Authority in a court or (y) prevent any Party or any of their respective Affiliates or representatives from, after taking such commercially reasonable efforts as are determined by such Party in good faith to defend and affirm the Intended Tax Treatment, settling such challenge. Notwithstanding anything else to the contrary contained in this Agreement, the Parties further acknowledge and agree that, (1) other than the representations set forth in </w:t>
      </w:r>
      <w:r>
        <w:rPr>
          <w:rFonts w:ascii="Times New Roman" w:cs="Times New Roman" w:eastAsia="Times New Roman" w:hAnsi="Times New Roman"/>
          <w:sz w:val="18"/>
          <w:szCs w:val="18"/>
          <w:u w:val="single" w:color="auto"/>
          <w:color w:val="auto"/>
        </w:rPr>
        <w:t>Section 4.15(m)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5.15(m) </w:t>
      </w:r>
      <w:r>
        <w:rPr>
          <w:rFonts w:ascii="Times New Roman" w:cs="Times New Roman" w:eastAsia="Times New Roman" w:hAnsi="Times New Roman"/>
          <w:sz w:val="18"/>
          <w:szCs w:val="18"/>
          <w:color w:val="auto"/>
        </w:rPr>
        <w:t>of this Agreement, no Party is making any representation or warranty in this Agreement as to the qualification of the Merger as a reorganization under Section 368(a) of the Code or as to the effect, if any, that any transaction consummated on, after or prior to the Effective Time has or may have on any such reorganization status, (2) each such Party has had the opportunity to obtain independent legal and tax advice with respect to the transactions contemplated by this Agreement, and (3) each such Party (including each of its shareholders) is responsible for paying its own Taxes, including any adverse Tax consequences that may result if the Merger is determined not to qualify as a reorganization under Section 368(a) of the Code.  </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Without limiting the generality of the foregoing, if the Company reasonably determines that there is a material risk that the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qualify for the Intended Tax Treatment, but would be reasonably expected to so qualify if a second-step merger of the Surviving Corporation into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directly and wholly owned by Acquiror that is disregarded as an entity for U.S. federal income tax purposes were consummated,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Delaware law, as promptly as practicable following the Merger (such second-step merger,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notify the Acquiror promptly after such determination, and if the Company and the Acquiror, each acting reasonably and in good faith, together determine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restructuring the transactions governed hereby to incorporate the Second Merger is not expected to result in material delay or cost, the Second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so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Second Merger occurs, (i) the Merger and the Second Merger shall be treated as one integrated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U.S. federal income tax purposes and (ii) references to the Company or the Surviving Corporation (in each case, after the effective time of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Merger) and all other provisions of this Agreement shall be interpreted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take into account the change in structure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Allocation Schedule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No later than three (3) Business Days prior to the Closing Date, the Company shall deliver to Acquiror a schedule, duly certified by an officer of the Company, of the equity capitalization of the Company as of the Closing including, (i) the calculation of the Base Merger Consideration and the Per Company Share Merger Consideration, (ii) for each holder of Company Common Stock (after giving effect to the Company Security Conversion, the Warrant Event and the Burkhan Conversion Event) (A) the name and email address of such holder, (B) the number and class or series (if applicable) of Company Common Stock held by such holder and (C) the portion of the Base Merger Consideration payable to such holder in respect of the Company Common Stock held by such holder (with any fractional shares rounded down to the nearest whole share), and (iii) for each holder of Company Options and Company RSUs, (A) the name of such holder, (B) the number and class or series (if applicable) of Company Options and Company RSUs held by such holder, and (C) the portion of the Base Merger Consideration that will be subject to each Acquiror Option and Acquiror RSU, which shall be determined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in each case, prepared in good faith by the Company and in a form and substance reasonably satisfactory to Acquiror and accompanied by documentation reasonably satisfactory to Acquiror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w:t>
      </w:r>
    </w:p>
    <w:p>
      <w:pPr>
        <w:spacing w:after="0" w:line="21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Company will consider in good faith Acquiror’s comments to the Allocation Schedule, and if any adjustments are made to the Allocation Schedule by the Company at Acquiror’s request prior to the Closing, such adjusted Allocation Schedule shall thereafter become the Allocation Schedule for all purposes of this Agreement. The Allocation Schedule and the calculations and determinations contained therein shall be prepared in accordance with the Company’s Governing Documents, the DGCL and the applicable definitions contained in this Agreement. Each of Acquiror and Merger Sub shall be entitled to rely (without any duty of inquiry) upon the Allocation Schedule.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THE MERGER ON THE COMPANY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Burkhan Instruments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As soon as reasonably practicable following the date of this Agreement, Burkhan and/or its Affiliates and/or nominees, on the 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 and the Company, on the other hand, shall enter into (x) convertible promissory notes pursuant to that certain Note Purchase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2023, by and among the Company and the lenders party thereto (the “</w:t>
      </w:r>
      <w:r>
        <w:rPr>
          <w:rFonts w:ascii="Times New Roman" w:cs="Times New Roman" w:eastAsia="Times New Roman" w:hAnsi="Times New Roman"/>
          <w:sz w:val="18"/>
          <w:szCs w:val="18"/>
          <w:u w:val="single" w:color="auto"/>
          <w:color w:val="auto"/>
        </w:rPr>
        <w:t>Burkhan Convertible Notes</w:t>
      </w:r>
      <w:r>
        <w:rPr>
          <w:rFonts w:ascii="Times New Roman" w:cs="Times New Roman" w:eastAsia="Times New Roman" w:hAnsi="Times New Roman"/>
          <w:sz w:val="18"/>
          <w:szCs w:val="18"/>
          <w:color w:val="auto"/>
        </w:rPr>
        <w:t>”) and (y) pre-funded warrants in substantially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 purchase up to a number of shares of Company Common Stock that, following the conversion of Company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Stock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would result in up to 6,833,333 shares of Acquiror, which pre-funded warrants shall have an aggregate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$68,333.33 and a purchase price of $68,333.33 (the “</w:t>
      </w:r>
      <w:r>
        <w:rPr>
          <w:rFonts w:ascii="Times New Roman" w:cs="Times New Roman" w:eastAsia="Times New Roman" w:hAnsi="Times New Roman"/>
          <w:sz w:val="18"/>
          <w:szCs w:val="18"/>
          <w:u w:val="single" w:color="auto"/>
          <w:color w:val="auto"/>
        </w:rPr>
        <w:t>Burkhan Warrants</w:t>
      </w:r>
      <w:r>
        <w:rPr>
          <w:rFonts w:ascii="Times New Roman" w:cs="Times New Roman" w:eastAsia="Times New Roman" w:hAnsi="Times New Roman"/>
          <w:sz w:val="18"/>
          <w:szCs w:val="18"/>
          <w:color w:val="auto"/>
        </w:rPr>
        <w:t>”, together with Burkhan Convertible Notes, the “</w:t>
      </w:r>
      <w:r>
        <w:rPr>
          <w:rFonts w:ascii="Times New Roman" w:cs="Times New Roman" w:eastAsia="Times New Roman" w:hAnsi="Times New Roman"/>
          <w:sz w:val="18"/>
          <w:szCs w:val="18"/>
          <w:u w:val="single" w:color="auto"/>
          <w:color w:val="auto"/>
        </w:rPr>
        <w:t>Burkhan Instruments</w:t>
      </w:r>
      <w:r>
        <w:rPr>
          <w:rFonts w:ascii="Times New Roman" w:cs="Times New Roman" w:eastAsia="Times New Roman" w:hAnsi="Times New Roman"/>
          <w:sz w:val="18"/>
          <w:szCs w:val="18"/>
          <w:color w:val="auto"/>
        </w:rPr>
        <w: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Company Common Stock issuable upon the conversion or exercise of the Burkhan Instruments, the “</w:t>
      </w:r>
      <w:r>
        <w:rPr>
          <w:rFonts w:ascii="Times New Roman" w:cs="Times New Roman" w:eastAsia="Times New Roman" w:hAnsi="Times New Roman"/>
          <w:sz w:val="18"/>
          <w:szCs w:val="18"/>
          <w:u w:val="single" w:color="auto"/>
          <w:color w:val="auto"/>
        </w:rPr>
        <w:t>Burkhan Company Stock</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Burkhan or its Affiliates or nominees shall consummate a Company Financing providing the Company with an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 of which the first $68,333.33 shall be allocated to paying the purchase price of the Burkhan Warrants, an additional $68,333.33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allocated to paying the exercise price of the Burkhan Warrants, and the balance shall be allocated towards the principal amount of the Burkhan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$10,000,000 of the aggregate principal amount of the Burkhan Instruments shall be funded (in installments at the option of Burkhan) on or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executes and delivers to Burkhan and/or its Affiliates and/or its nominees the Burkhan Convertible Notes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principal amount concurrent with such funding), with the balance of the principal amount to be provided within thirty (30) days following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executes and delivers to Burkhan and/or its Affiliates and/or its nominees the Burkhan Convertible Notes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principal amount of such subsequent funding concurrent with such funding). Immediately prior to the Effective Time, (i) any Burkhan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that remain outstanding immediately prior to the Effective Time shall, automatically and without any action on the part of the holder thereof,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together with all accrued and unpaid interest thereon, into the right to receive a number of shares of Company Common Stock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terms of such Burkhan Convertible Notes, and (ii) unless otherwise exercised prior to the Effective Time, the outstanding Burkhan Warrants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be exercised in full for shares of Company Common Stock, in accordance with the terms of such Burkhan Warrants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Burkhan Conversion Event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The Company Board shall adopt such resolutions and the Company take all such corporate or other action as may be necessary or appropriate to ensure that the Burkhan Convertible Notes, the Burkhan Warrants and all shares of Burkhan Company Stock issuable upon the conversion or exercise of the Burkhan Instruments shall, upon issuance, be duly authorized and validly issued, without violation of any applicable Law, the Company’s Governing Documents or any right of first offer, preemptive or similar rights of any stockholder of the Company, and all shares of Burkhan Company Stock shall, upon issuance, be fully paid and non-assessable, and free from all taxes, liens and charges other than Permitted Liens, restrictions on transfer arising under applicable securities Laws and Liens imposed under the Company’s Governing Documents.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Conversion of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Immediately prior to the Effective Time, the Company Security Conversion, the Warrant Event and the Burkhan Conversion Event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been consummated. All Company Preferred Stock, Company Convertible Notes, Company Warrants, Burkhan Convertible Notes and Burkhan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converted into or exercised for shares of Company Common Stock shall no longer be outstanding and shall cease to exist, and each holder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thereafter cease to have any rights with respect to such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At the Effective Time, by virtue of the Merger and without any action on the part of any holder of Company Common Stock,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Company Common Stock, in each case, that is issued and outstanding immediately prior to the Effective Time (other than any shares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RSU and Company Option and any Excluded Shares, and after giving effect to the Company Security Conversion, the Warrant Event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Conversion Event), shall be canceled and converted into the right to receive a number of shares of Acquiror Class A Common Stock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Company Base Merger Consideration, by (b) the Aggregate Company Shares (the “</w:t>
      </w:r>
      <w:r>
        <w:rPr>
          <w:rFonts w:ascii="Times New Roman" w:cs="Times New Roman" w:eastAsia="Times New Roman" w:hAnsi="Times New Roman"/>
          <w:sz w:val="18"/>
          <w:szCs w:val="18"/>
          <w:u w:val="single" w:color="auto"/>
          <w:color w:val="auto"/>
        </w:rPr>
        <w:t>Per Company Share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(c)            At the Effective Time, by virtue of the Merger and without any action on the part of Acquiror or Merger Sub, each share of Merger Sub Capital Stock, shall be converted into one (1) share of common stock, par value $0.0001, of the Surviving Corporation.  </w:t>
      </w:r>
    </w:p>
    <w:p>
      <w:pPr>
        <w:spacing w:after="0" w:line="20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(d)            At the Effective Time, by virtue of the Merger and without any action on the part of any holder thereof, all Company Common Stock issued and outstanding immediately prior to the Effective Time held by the Company in treasury shall no longer be outstanding and shall be automatically canceled and shall cease to exist, and no consideration shall be delivered in exchange therefor.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(a)     . Notwithstanding anything to the contrary contained herein, no evidence of book-entry shares representing fractional shares of Acquiror Class A Common Stock shall be issued in exchange for shares of Company Common Stock. Each Person who would otherwise be entitled to a fraction of a share of Acquiror Class A Common Stock (after aggregating all fractional shares of such Acquiror Class A Common Stock that would otherwise be received by such Person in connection with the Closing) shall instead have the number of shares of Acquiror Class A Common Stock issued to such Person rounded up to the nearest whole share of Acquiror Class A Common Stock.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Exchange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least three (3) Business Days prior to the Closing, Acquiror shall appoint an exchange agent reasonably acceptable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and enter into an Exchange Agent Agreement, in form and substance reasonable satisfactory to the Company,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exchanging Company Common Stock for that portion of the Base Merger Consideration payable in respect of shares of Company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Stock in accordance with </w:t>
      </w:r>
      <w:r>
        <w:rPr>
          <w:rFonts w:ascii="Times New Roman" w:cs="Times New Roman" w:eastAsia="Times New Roman" w:hAnsi="Times New Roman"/>
          <w:sz w:val="18"/>
          <w:szCs w:val="18"/>
          <w:u w:val="single" w:color="auto"/>
          <w:color w:val="auto"/>
        </w:rPr>
        <w:t>Section 3.2(b) </w:t>
      </w:r>
      <w:r>
        <w:rPr>
          <w:rFonts w:ascii="Times New Roman" w:cs="Times New Roman" w:eastAsia="Times New Roman" w:hAnsi="Times New Roman"/>
          <w:sz w:val="18"/>
          <w:szCs w:val="18"/>
          <w:color w:val="auto"/>
        </w:rPr>
        <w:t>on the terms and conditions set forth in this Agreement. The Company shall reasonably cooperate with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Exchange Agent in connection with the appointment of the Exchange Agent and the entry into the Exchange Agent Agreement. At or before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Acquiror shall deposit with the Exchange Agent that portion of the Base Merger Consideration payable in respect of shares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Common Stock in accordance with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Each holder of Company Common Stock whose shares of Company Common Stock have been converted into the right to receive a portion of the Base Merger Consideration pursuant to </w:t>
      </w:r>
      <w:r>
        <w:rPr>
          <w:rFonts w:ascii="Times New Roman" w:cs="Times New Roman" w:eastAsia="Times New Roman" w:hAnsi="Times New Roman"/>
          <w:sz w:val="18"/>
          <w:szCs w:val="18"/>
          <w:u w:val="single" w:color="auto"/>
          <w:color w:val="auto"/>
        </w:rPr>
        <w:t>Section 3.2(b) </w:t>
      </w:r>
      <w:r>
        <w:rPr>
          <w:rFonts w:ascii="Times New Roman" w:cs="Times New Roman" w:eastAsia="Times New Roman" w:hAnsi="Times New Roman"/>
          <w:sz w:val="18"/>
          <w:szCs w:val="18"/>
          <w:color w:val="auto"/>
        </w:rPr>
        <w:t>shall be entitled to receive the portion of the Base Merger Consideration to which he, she or it is entitled as set forth on the Allocation Schedule upon receipt of such documents as the Exchange Agent may reasonably request.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If any portion of the Base Merger Consideration is to be issued to a Person other than the holder of the Company Common Stock in whose name the surrendered certificate or the transferred shares of Company Common Stock in book-entry form is registered, it shall be a condition to the issuance of the applicable portion of the Base Merger Consideration that, in addition to any other requirements set forth in the Exchange Agent Agreement, (i) either such certificate shall be properly endorsed or shall otherwise be in proper form for transfer or such share of Company Common Stock in book-entry form shall be properly transferred and (ii) the Person requesting such consideration pay to the Exchange Agent any transfer or similar Taxes required as a result of such consideration being issued to a Person other than the registered holder of such certificate or share of Company Common Stock in book-entry form or establish to the satisfaction of the Exchange Agent that such transfer or similar Taxes have been paid or are not payable.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No interest will be paid or accrued on the Base Merger Consideration (or any portion thereof). From and after the Effective Time, until surrendered or transferred, as applicable,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each share of Company Common Stock (excluding any Excluded Shares) shall solely represent the right to receive a portion of the Total Merger Consideration to which such shares of Company Common Stock are entitled to receive pursuant to this Agreement. At the Effective Time, the stock transfer books of the Company shall be closed and there shall be no transfers of Company Common Stock that were outstanding immediately prior to the Effective Time.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(e)            Promptly following the date that is one (1) year after the Effective Time, Acquiror may instruct the Exchange Agent to deliver to Acquiror all documents in its possession relating to the Transactions, at which point the Exchange Agent’s duties shall terminate. Thereafter, any portion of the Base Merger Consideration to be paid in respect of shares of Company Common Stock in accordance with </w:t>
      </w:r>
      <w:r>
        <w:rPr>
          <w:rFonts w:ascii="Times New Roman" w:cs="Times New Roman" w:eastAsia="Times New Roman" w:hAnsi="Times New Roman"/>
          <w:sz w:val="18"/>
          <w:szCs w:val="18"/>
          <w:u w:val="single" w:color="auto"/>
          <w:color w:val="auto"/>
        </w:rPr>
        <w:t>Section 3.2(b) </w:t>
      </w:r>
      <w:r>
        <w:rPr>
          <w:rFonts w:ascii="Times New Roman" w:cs="Times New Roman" w:eastAsia="Times New Roman" w:hAnsi="Times New Roman"/>
          <w:sz w:val="18"/>
          <w:szCs w:val="18"/>
          <w:color w:val="auto"/>
        </w:rPr>
        <w:t xml:space="preserve">that remains unclaimed shall be returned to Acquiror, and any Person that was a holder of shares of Company Common Stock as of immediately prior to the Effective Time that has not exchanged such shares of Company Common Stock for an applicable portion of the Base Merger Consideration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prior to such instruction, may transfer such shares of Company Common Stock to Acquiror and (subject to applicable abandoned property, escheat and similar Laws) receive in consideration therefor, and Acquiror shall promptly deliver, such applicable portion of the Base Merger Consideration without any interest thereon. None of Acquiror, Merger Sub, the Company, the Surviving Corporation or the Exchange Agent shall be liable to any Person in respect of any portion of the Base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would otherwise escheat to or become the property of any Governmental Authority, any such shares shall, to the extent permitted by applicable Law, become the property of the Surviving Corporation, free and clear of all claims or interest of any Person previously entitled thereto.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Earnout</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Following the Closing, and as additional consideration for the Transactions, within ten (10) Business Days after the occurrence of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 Acquiror shall issue or cause to be issued to each Eligible Company Holder (in accordance with such Eligible Company Holder’s Pro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Rata Share), the following shares of Acquiror Class A Common Stock (the “</w:t>
      </w:r>
      <w:r>
        <w:rPr>
          <w:rFonts w:ascii="Times New Roman" w:cs="Times New Roman" w:eastAsia="Times New Roman" w:hAnsi="Times New Roman"/>
          <w:sz w:val="18"/>
          <w:szCs w:val="18"/>
          <w:u w:val="single" w:color="auto"/>
          <w:color w:val="auto"/>
        </w:rPr>
        <w:t>Company Earnout Shares</w:t>
      </w:r>
      <w:r>
        <w:rPr>
          <w:rFonts w:ascii="Times New Roman" w:cs="Times New Roman" w:eastAsia="Times New Roman" w:hAnsi="Times New Roman"/>
          <w:sz w:val="18"/>
          <w:szCs w:val="18"/>
          <w:color w:val="auto"/>
        </w:rPr>
        <w:t>”), upon the terms and subject to the conditions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this Agreement and the Ancillary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Upon the occurrence of Triggering Event I, a one-time issuance of 3,750,000 Company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Upon the occurrence of Triggering Event II, a one-time issuance of 3,750,000 Company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Upon the occurrence of Triggering Event III, a one-time issuance of 3,750,000 Company Earnout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Upon the occurrence of Triggering Event IV, a one-time issuance of 3,750,000 Company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Following the Closing, within ten (10) Business Days after the occurrence of a Triggering Event, Acquiror shall issue or cause to be issued to Burkhan the following shares of Acquiror Class A Common Stock (the “</w:t>
      </w:r>
      <w:r>
        <w:rPr>
          <w:rFonts w:ascii="Times New Roman" w:cs="Times New Roman" w:eastAsia="Times New Roman" w:hAnsi="Times New Roman"/>
          <w:sz w:val="18"/>
          <w:szCs w:val="18"/>
          <w:u w:val="single" w:color="auto"/>
          <w:color w:val="auto"/>
        </w:rPr>
        <w:t>Burkhan Earnout Shares</w:t>
      </w:r>
      <w:r>
        <w:rPr>
          <w:rFonts w:ascii="Times New Roman" w:cs="Times New Roman" w:eastAsia="Times New Roman" w:hAnsi="Times New Roman"/>
          <w:sz w:val="18"/>
          <w:szCs w:val="18"/>
          <w:color w:val="auto"/>
        </w:rPr>
        <w:t>” and, together with the Company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upon the terms and subject to the conditions set forth in this Agreement and the Ancillary Agreements: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Upon the occurrence of Triggering Event I, a one-time issuance of 325,000 Burkhan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Upon the occurrence of Triggering Event II, a one-time issuance of 325,000 Burkhan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Upon the occurrence of Triggering Event III, a one-time issuance of 325,000 Burkhan Earnout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Upon the occurrence of Triggering Event IV, a one-time issuance of 325,000 Burkhan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For the avoidance of doubt, the Eligible Holders shall be entitled to receive Earnout Shares, as applicable, upon the occurrence of each Triggering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Triggering Event shall only occur once, if at all, and in no event shall (i) the Eligible Company Holders be entitled to receive more than an aggregate of 15,000,000 Company Earnout Shares or (ii) Burkhan be entitled to receive more than an aggregate of 1,300,000 Burkhan Earnout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Triggering Event may be achieved at the same time or on overlapping days.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The (i) Acquiror Class A Common Stock price targets set forth in the definitions of Triggering Event I, Triggering Event II, Triggering Event III and Triggering Event IV and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(ii) the number of Earnout Shares issuable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in each case, be equitably adjusted for stock splits, reverse stock splits, stock dividends, reorganizations, recapitalizations, reclassifications, combination, exchange of shares or other like change or transaction with respect to Acquiror Class A Common Stock occurring on or after the Closing (other than the conversion of Acquiror Class B Common Stock held by Sponsor into Acquiror Class A Common Stock at the Closing).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(e)            Unless otherwise required by a “determination” within the meaning of Section 1313(a) of the Code (or any similar or corresponding provision of applicable Law), the Parties acknowledge and agree (i) that the issuance of Company Earnout Shares to each Eligible Holder (other than holders of Acquiror Options and/or Acquiror RSUs) is intended to comply with, and shall be effected in accordance with, Rev. Proc. 84-42, 1984-1 C.B. 521; (ii) that any Company Earnout Shares paid to the Eligible Holders (other than holders of Acquiror Options and/or Acquiror RSUs) shall be treated as additional consideration for the Company Common Stock for all income Tax purposes (other than to the extent treated as interest under Section 483 of the Code or any similar or corresponding provision of applicable Law and Indian capital gains tax, if attracted), and (iii) to prepare and file all Tax Returns consistent with such Tax treatment. Any issuance of Earnout Shares in respect of Company Common Stock to holders of such Company Common Stock hereunder shall be treated as comprised of two components, respectively a principal component and an interest component, the amounts of which shall be determined as provided in Reg. §1.483-4(b) example (2) using the 3-month test rate of interest provided for in Reg. §1.1274-4(a)(1)(ii) employing the semi-annual compounding period. As to each such issuance of Earnout Shares hereunder in respect of Company Common Stock to each holder of such Company Common Stock outstanding immediately prior to the Effective Time, Earnout Shares representing the principal component (with a value equal to the principal component) and Earnout Shares representing the interest component (with a value equal to the interest component) shall be represented by separate share certificates. Notwithstanding anything in this Agreement to the contrary, the right of Eligible Holders to receive the Earnout Shares under this Agreement may not be assigned or transferred, other than as may be permitted in accordance with Rev. Proc. 84-42.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Notwithstanding anything to the contrary contained herein, no fraction of an Earnout Share will be issued by virtue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 and each Person who would otherwise be entitled to a fraction of an Earnout Share (after aggregating all fractional Earnout Shares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would be received by such Person in connection with the occurrence of such Triggering Event) shall instead have the number of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to such Person rounded up to the nearest whole Earnout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Notwithstanding anything to the contrary contained herein, if, during the Earnout Period, there is a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immediately prior to such Change in Control, Acquiror shall issue to (i) Burkhan, all Burkhan Earnout Shares and to (ii) the Eligible Company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each Eligible Company Holder’s respective Pro Rata Share), all Company Earnout Shares, in each case, that have not been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to such Person assuming that all Triggering Events have occurred, and Burkhan and the Eligible Company Holders shall be eligible to participate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Change in Control and (B) thereafter, the right of Burkhan and the Eligible Company Holders to receive any Earnout Shares under this </w:t>
      </w:r>
      <w:r>
        <w:rPr>
          <w:rFonts w:ascii="Times New Roman" w:cs="Times New Roman" w:eastAsia="Times New Roman" w:hAnsi="Times New Roman"/>
          <w:sz w:val="18"/>
          <w:szCs w:val="18"/>
          <w:u w:val="single" w:color="auto"/>
          <w:color w:val="auto"/>
        </w:rPr>
        <w:t>Section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terminate and no further Earnout Shares shall be issuable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(h)            In no event shall any right to receive Earnout Shares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be represented by any negotiable certificate of any kind, and in no event shall any Eligible Holder or its successor in interest take any step that would render such rights readily marketable.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(i)            Notwithstanding anything in this Agreement to the contrary, any Company Earnout Shares issuable under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in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Company Option or Company RSU that was outstanding as of immediately prior to the Effective Time shall be issued to the holder of such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or Company RSU, as applicable, only if such holder continues to provide services (whether as an employee, director or individual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contractor) to Acquiror or one of its Subsidiaries through the date on which such Earnout Shares are issued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that are forfeited pursuant to the preceding sentence shall be reallocated on a pro rata basis to the other Eligible Company Holders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each such Eligible Company Holder’s Pro Rata Share, as adjusted to give effect to such forfeiture) who remain entitled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Earnout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3.6           </w:t>
      </w:r>
      <w:r>
        <w:rPr>
          <w:rFonts w:ascii="Times New Roman" w:cs="Times New Roman" w:eastAsia="Times New Roman" w:hAnsi="Times New Roman"/>
          <w:sz w:val="17"/>
          <w:szCs w:val="17"/>
          <w:u w:val="single" w:color="auto"/>
          <w:color w:val="auto"/>
        </w:rPr>
        <w:t>  Withholding</w:t>
      </w:r>
      <w:r>
        <w:rPr>
          <w:rFonts w:ascii="Times New Roman" w:cs="Times New Roman" w:eastAsia="Times New Roman" w:hAnsi="Times New Roman"/>
          <w:sz w:val="17"/>
          <w:szCs w:val="17"/>
          <w:color w:val="auto"/>
        </w:rPr>
        <w:t>. Notwithstanding anything to the contrary set forth herein, Acquiror, Merger Sub, the Company, the Exchange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respective agents, as applicable, shall be entitled to deduct and withhold from any amount payable pursuant to this Agreement such Taxes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required to be deducted and withheld from such amount under any applicable Tax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Acquiror, Merger Sub, the Company,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their agent shall use commercially reasonable efforts to provide the Person in respect of whom such withholding or deduction is expected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with at least five (5) days prior written notice of any amounts that it intends to withhold in connection with any payment of the Total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(other than any compensatory payments to be made pursuant to this Agreement or withholding by reason of the failure to provide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certifications required under </w:t>
      </w:r>
      <w:r>
        <w:rPr>
          <w:rFonts w:ascii="Times New Roman" w:cs="Times New Roman" w:eastAsia="Times New Roman" w:hAnsi="Times New Roman"/>
          <w:sz w:val="18"/>
          <w:szCs w:val="18"/>
          <w:u w:val="single" w:color="auto"/>
          <w:color w:val="auto"/>
        </w:rPr>
        <w:t>Section 2.4(a)(iv)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2.4(a)(v)</w:t>
      </w:r>
      <w:r>
        <w:rPr>
          <w:rFonts w:ascii="Times New Roman" w:cs="Times New Roman" w:eastAsia="Times New Roman" w:hAnsi="Times New Roman"/>
          <w:sz w:val="18"/>
          <w:szCs w:val="18"/>
          <w:color w:val="auto"/>
        </w:rPr>
        <w:t>) and will reasonably cooperate with such Person to reduce or eliminate any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withholding. To the extent that any Taxes are deducted or withheld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such Taxes shall be (a) timely remitted to the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and (b) if so remitted, treated for all purposes of this Agreement as having been paid to the Person in respect of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 or withholding was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until such time as such holder fails to perfect or otherwise waives, withdraws, or loses such holder’s appraisal rights under the DGCL with respect to such shares) shall not be converted into a right to receive a portion of the Base Merger Consideration, but instead shall be entitled to only such rights as are granted by Section 262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a portion of the Base Merger Consideration in accordance with </w:t>
      </w:r>
      <w:r>
        <w:rPr>
          <w:rFonts w:ascii="Times New Roman" w:cs="Times New Roman" w:eastAsia="Times New Roman" w:hAnsi="Times New Roman"/>
          <w:sz w:val="18"/>
          <w:szCs w:val="18"/>
          <w:u w:val="single" w:color="auto"/>
          <w:color w:val="auto"/>
        </w:rPr>
        <w:t>Section 3.2(b) </w:t>
      </w:r>
      <w:r>
        <w:rPr>
          <w:rFonts w:ascii="Times New Roman" w:cs="Times New Roman" w:eastAsia="Times New Roman" w:hAnsi="Times New Roman"/>
          <w:sz w:val="18"/>
          <w:szCs w:val="18"/>
          <w:color w:val="auto"/>
        </w:rPr>
        <w:t>without interest thereon, upon transfer of such shares. The Company shall provide Acquiror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Acquiror, the Company shall not make any payment with respect to, or settle, or offer to settle, any such demands.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Treatment of Company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As of the Effective Time, without any action on the part of the holder thereof or any other Person (but subject to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 each Company Option that is outstanding and unexercised as of immediately prior to the Effective Time shall automatically be converted into an option to purchase shares of Acquiror Common Stock set forth in the Allocation Schedule (each, an “</w:t>
      </w:r>
      <w:r>
        <w:rPr>
          <w:rFonts w:ascii="Times New Roman" w:cs="Times New Roman" w:eastAsia="Times New Roman" w:hAnsi="Times New Roman"/>
          <w:sz w:val="18"/>
          <w:szCs w:val="18"/>
          <w:u w:val="single" w:color="auto"/>
          <w:color w:val="auto"/>
        </w:rPr>
        <w:t>Acquiror Option</w:t>
      </w:r>
      <w:r>
        <w:rPr>
          <w:rFonts w:ascii="Times New Roman" w:cs="Times New Roman" w:eastAsia="Times New Roman" w:hAnsi="Times New Roman"/>
          <w:sz w:val="18"/>
          <w:szCs w:val="18"/>
          <w:color w:val="auto"/>
        </w:rPr>
        <w:t xml:space="preserve">”) upon substantially the same terms and conditions as are in effect with respect to the corresponding Company Option immediately prior to the Effective Time, including with respect to vesting and termination-related provisions except that (a) such Acquiror Option shall entitle the holders, upon exercise, to that whole number of shares of Acquiror Common Stock (rounded down to the nearest whole share) equal to the number of shares of Company Common Stock subject to such Company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Per Company Share Merger Consideration, and (b) the exercise price per share for each such Acquiror Option shall be equal to the exercise price per share of such Company Option in effect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Per Company Share Merger Consideration (rounded up to the nearest full cent);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applicable, the conversion of the Company Options will be made in a manner consistent with Treasury Regulation Section 1.424-1, such that such conversion will not constitute a “modification” of such Company Options for purposes of Section 409A or Section 424 of the Code. As of the Effective Time, all Company Options will no longer be outstanding and each holder of Acquiror Options will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For the avoidance of doubt, each holder of an Acquiror Option as of immediately following the Effective Time shall also be entitled to receive its Pro Rata Share of any Company Earnout Shares in accordance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Notwithstanding the foregoing or anything to the contrary contained in this Agreement, the shares of Acquiror Common Stock underlying the Acquiror Options that are converted from Company Options shall be included in, and shall not be in addition to, the total number of shares of Acquiror Common Stock constituting the Base Purchase Price.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As of the Effective Time, without any action on the part of the holder thereof or any other Person (but subject to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of Company RSUs that is outstanding and unsettled as of immediately prior to the Effective Time shall automatically be converted into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of restricted stock units relating to shares of Acquiror Common Stock set forth in the Allocation Schedule (“</w:t>
      </w:r>
      <w:r>
        <w:rPr>
          <w:rFonts w:ascii="Times New Roman" w:cs="Times New Roman" w:eastAsia="Times New Roman" w:hAnsi="Times New Roman"/>
          <w:sz w:val="18"/>
          <w:szCs w:val="18"/>
          <w:u w:val="single" w:color="auto"/>
          <w:color w:val="auto"/>
        </w:rPr>
        <w:t>Acquiror RSUs</w:t>
      </w:r>
      <w:r>
        <w:rPr>
          <w:rFonts w:ascii="Times New Roman" w:cs="Times New Roman" w:eastAsia="Times New Roman" w:hAnsi="Times New Roman"/>
          <w:sz w:val="18"/>
          <w:szCs w:val="18"/>
          <w:color w:val="auto"/>
        </w:rPr>
        <w:t>”) upon substantially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terms and conditions as are in effect with respect to such Company RSU award immediately prior to the Effective Time, including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and termination-related provisions, except that such Acquiror RSU award shall entitle the holders, upon vesting and settlement, to that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Acquiror Common Stock (rounded down to the nearest whole share) equal to the number of shares of Company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such Company RSU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Per Company Share Merger Consideration.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all Company RSUs will no longer be outstanding and each holder of Acquiror RSUs will cease to have any rights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RSUs, except as set forth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For the avoidance of doubt, each holder of an Acquiror RSU as of immediately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Time shall also be entitled to receive its Pro Rata Share of any Company Earnout Shares in accordance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or anything to the contrary contained in this Agreement, the shares of Acquiror Common Stock underlying the Acquiror RSUs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from Company RSUs shall be included in, and shall not be in addition to, the total number of shares of Acquiror Common Stock constituting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Prior to the Effective Time, the Company Board shall adopt such resolutions and take all such other action as may be necessary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Company Incentive Plan (including the award agreements in accordance with the Company Incentive Plan) to give effect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transactions contemplated by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set forth in the disclosure letter delivered to Acquiror and Merger Sub by the Company on the date of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(each section of which, subject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qualifies the correspondingly numbered and lettered representations in this Article IV), the Company represents and warrants to Acquiror and Merger Sub as follows: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4.1           </w:t>
      </w:r>
      <w:r>
        <w:rPr>
          <w:rFonts w:ascii="Times New Roman" w:cs="Times New Roman" w:eastAsia="Times New Roman" w:hAnsi="Times New Roman"/>
          <w:sz w:val="17"/>
          <w:szCs w:val="17"/>
          <w:u w:val="single" w:color="auto"/>
          <w:color w:val="auto"/>
        </w:rPr>
        <w:t>  Company Organization</w:t>
      </w:r>
      <w:r>
        <w:rPr>
          <w:rFonts w:ascii="Times New Roman" w:cs="Times New Roman" w:eastAsia="Times New Roman" w:hAnsi="Times New Roman"/>
          <w:sz w:val="17"/>
          <w:szCs w:val="17"/>
          <w:color w:val="auto"/>
        </w:rPr>
        <w:t>. The Company has been duly incorporated and is validly existing and in good standing under the Laws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 of Delaware, and has the requisite corporate power and authority to own, lease or operate all of its properties and assets and to conduct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as it is now being conducted. The Governing Documents of the Company, as amended to the date of this Agreement and as previously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by or on behalf of the Company to Acquiror, are true, correct and complete and the Company is not in default under or in violation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thereunder. The Company is duly licensed or qualified and in good standing as a foreign or extra-provincial corporation in each jurisdiction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its ownership of property or the character of its activities is such as to require it to be so licensed or qualified or in good standing,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where the failure to be so licensed or qualified or in good standing would not reasonably be expected to have, individually or in the aggregate,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xml:space="preserve">. A complete list of each Subsidiary of the Company and its jurisdiction of incorporation, formation or organization, as applicable, is set forth 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Company Disclosure Letter. The Subsidiaries of the Company have been duly formed or organized and are validly existing and in good standing under the Laws of their respective jurisdictions of incorporation or organization and have the requisite power and authority to own, lease or operate all of their respective properties and assets and to conduct their respective businesses as they are now being conducted. True, correct and complete copies of the Governing Documents of the Company’s Subsidiaries, in each case, as amended to the date of this Agreement, have been previously made available to Acquiror by or on behalf of the Company and no Subsidiary of the Company is in default under or in violation of any provision under its Governing Documents. Each Subsidiary of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reasonably be expected to be material to the business of the Company or such Subsidiary, taken as a whole.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Other than the Company Stockholder Approvals, the Company has all requisite corporate power and authority to execute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deliver this Agreement and the other documents to which it is a party contemplated hereby and (subject to the approvals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Transactions and to perform all of its obligations hereunder and thereunder. The execution and delivery of this Agreement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which the Company is a party contemplated hereby and the consummation of the Transactions have been duly and validly authorized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Company Board, and no other corporate proceeding on the part of the Company is necessary to authorize this Agreement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which the Company is a party contemplated hereby. This Agreement has been, and on or prior to the Closing, the other documents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party contemplated hereby will be, duly and validly executed and delivered by the Company. This Agreement constitutes, and on or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Closing, the other documents to which the Company is a party contemplated hereby will constitute, a legal, valid and binding obligation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enforceable against the Company in accordance with its terms, subject to applicable bankruptcy, insolvency, fraudulent conveyance,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moratorium and similar Laws affecting creditors’ rights generally and subject, as to enforceability, to general principles of equity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On or prior to the date of this Agreement, the Company Board has duly adopted resolutions (i) determining that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other documents to which the Company is a party contemplated hereby and the Transactions are advisable and fair to, and in the best interests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stockholders, as applicable, (ii) authorizing and approving the execution, delivery and performance by the Company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other documents to which the Company is a party contemplated hereby and the Transactions and (iii) recommending that the holders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Common Stock approve this Agreement and the Transactions, including the Merger. No other corporate action is required on the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stockholders to enter into this Agreement or the documents to which the Company is a party contemplated hereby or to approve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other than the Company Stockholder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No Conflict</w:t>
      </w:r>
      <w:r>
        <w:rPr>
          <w:rFonts w:ascii="Times New Roman" w:cs="Times New Roman" w:eastAsia="Times New Roman" w:hAnsi="Times New Roman"/>
          <w:sz w:val="18"/>
          <w:szCs w:val="18"/>
          <w:color w:val="auto"/>
        </w:rPr>
        <w:t xml:space="preserve">. Subject to the receipt of the consents, approvals, authorizations and other requirements set forth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execution and delivery by the Company of this Agreement and the documents to which the Company is a party contemplated hereby and the consummation of the Transactions do not and will not (a) violate or conflict with any provision of, or result in the breach of, or default under the Governing Documents of the Company or any of the Company’s Subsidiaries, (b) violate or conflict with any provision of, or result in the breach of, or default under any Law or Governmental Order applicable to the Company or any of the Company’s Subsidiaries, (c) except as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Company Disclosure Letter,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Times New Roman" w:cs="Times New Roman" w:eastAsia="Times New Roman" w:hAnsi="Times New Roman"/>
          <w:sz w:val="18"/>
          <w:szCs w:val="18"/>
          <w:u w:val="single" w:color="auto"/>
          <w:color w:val="auto"/>
        </w:rPr>
        <w:t>Section 4.12(a) </w:t>
      </w:r>
      <w:r>
        <w:rPr>
          <w:rFonts w:ascii="Times New Roman" w:cs="Times New Roman" w:eastAsia="Times New Roman" w:hAnsi="Times New Roman"/>
          <w:sz w:val="18"/>
          <w:szCs w:val="18"/>
          <w:color w:val="auto"/>
        </w:rPr>
        <w:t>to which the Company or any of the Company’s Subsidiaries is a party or by which the Company or any of the Company’s Subsidiaries may be bound or any License of the Company or any of its Subsidiaries, or terminate or result in the termination of any such foregoing Contract, or (d) result in the creation of any Lien (other than Permitted Liens) upon any of the properties or assets of the Company or any of the Company’s Subsidiaries, except, in the case of clauses (b) through (d), to the extent that the occurrence of the foregoing would not (i) have or would not be reasonably expected to have, individually or in the aggregate, a material adverse effect on the ability of the Company to enter into and perform their obligations under this Agreement or (ii) reasonably be expected to have, individually or in the aggregate, a Company Material Adverse Effect.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Governmental Authorities; Consents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the Company Disclosure Letter, assuming the truth and completeness of the representations and warranties of Acquiror contained in this Agreement, no consent, waiver, approval or authorization of any Governmental Authority (each, a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or designation, declaration or filing with, or notification to, any Governmental Authority, is required on the part of the Company or its Subsidiaries with respect to the Company’s execution or delivery of this Agreement or the consummation by the Company of the Transactions, except for (i) applicable requirements of the HSR Act; (ii) any consents, approvals, authorizations, designations, declarations, waivers or filings, the absence of which would not, individually or in the aggregate, reasonably be expected to have a Company Material Adverse Effect and (iii) the filing of the Merger Certificate in accordance with the DGCL.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Capitalization of the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As of the date of this Agreement, the authorized capital stock of the Company consists of: (i) 175,095,000 shares of Company Common Stock, of which 3,343,660 shares are issued and outstanding as of the date of this Agreement; (ii) 5,032,238 shares of Series Seed Shadow Preferred Stock, of which 2,020,309 shares are issued and outstanding as of the date of this Agreement; (iii) 15,174,130 shares of Series A Shadow Preferred Stock, of which 4,573,935 shares are issued and outstanding as of the date of this Agreement; (iv) 18,392,046 shares of Series B Shadow Preferred Stock, of which 12,234,661 shares are issued and outstanding as of the date of this Agreement; (v) 13,722,052 shares of Series C Shadow Preferred Stock, of which 10,211,548 shares are issued and outstanding as of the date of this Agreement; (vi) 4,707,494 shares of Series D Shadow Preferred Stock, of which 3,990,707 shares are issued and outstanding as of the date of this Agreement; (vii) 3,935,839 shares of Series D-1 Shadow Preferred Stock, of which 3,662,318 shares are issued and outstanding as of the date of this Agreement; (viii) 27,042,965 shares of Series D-2 Shadow Preferred Stock, of which 7,561,820 shares are issued and outstanding as of the date of this Agreement; (ix) 4,707,494 shares of Series D Exchange Shadow Preferred Stock, of which 239,405 shares are issued and outstanding as of the date of this Agreement; and (x) 3,935,839 shares of Series D-1 Exchange Shadow Preferred Stock, of which no shares are issued and outstanding as of the date of this Agreement, and, except as otherwise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there are no other authorized equity interests of the Company that are issued and outstanding. The Company has provided to Acquiror a true, correct and complete capitalization table of the Company as of the date hereof, including, for each holder of Company Common Stock and Company Preferred Stock, the number of Company Common Stock or Company Preferred Stock held by such holder, as applicable, which,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may be updated from time to time by the Company, by promptly providing an updated capitalization table to Acquiror. All of the issued and outstanding shares of Company Common Stock and Company Preferred Stock: (i) have been duly authorized and validly issued and are fully paid and non-assessable; (ii) have been offered, sold and issued in compliance with applicable Law in all material respects, including federal and state securities Laws,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or any of its Subsidiaries is a party or otherwise bound; and (iv) are free and clear of any Liens other than Permitted Liens, restrictions on transfer arising under applicable securities Laws and Liens imposed under the Company’s Governing Documents.  </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Section 4.6(a) </w:t>
      </w:r>
      <w:r>
        <w:rPr>
          <w:rFonts w:ascii="Times New Roman" w:cs="Times New Roman" w:eastAsia="Times New Roman" w:hAnsi="Times New Roman"/>
          <w:sz w:val="17"/>
          <w:szCs w:val="17"/>
          <w:color w:val="auto"/>
        </w:rPr>
        <w:t>of the Company Disclosure Letter sets forth a true, correct and complete list of all holders of Company Warrants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date of this Agreement, including the number of shares of Company Common Stock or Company Preferred Stock (including series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covered by such Company Warrant, the date of issuance, the cash exercise price per share of such Company Warrant and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expiration date thereof, which,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may be updated from time to time by the Company, by promptly providing an updated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4.6(a) </w:t>
      </w:r>
      <w:r>
        <w:rPr>
          <w:rFonts w:ascii="Times New Roman" w:cs="Times New Roman" w:eastAsia="Times New Roman" w:hAnsi="Times New Roman"/>
          <w:sz w:val="18"/>
          <w:szCs w:val="18"/>
          <w:color w:val="auto"/>
        </w:rPr>
        <w:t>of the Company Disclosure Letter to Acquiror. All outstanding Company Warrants (i) have been duly authorized and validly issued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valid and binding obligations of the Company, enforceable against the Company in accordance with their terms, subject to the Enforceability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(ii) have been offered, sold and issued in compliance with applicable Law in all material respects, including federal and state 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requirements set forth in (1) the Governing Documents of the Company and (2) any other applicable Contracts governing the issuance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(iii) are not subject to, nor have they been issued in violation of, any purchase option, call option, right of first refusal, preemptive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right or any similar right under any provision of any applicable Law, the Governing Documents of the Company or any Contract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is a party or otherwise bound; and (iv) are free and clear of any Liens, other than Permitted Liens, restrictions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transfer arising under applicable securities Laws, Liens imposed under the Company’s Governing Documents or as set forth on </w:t>
      </w:r>
      <w:r>
        <w:rPr>
          <w:rFonts w:ascii="Times New Roman" w:cs="Times New Roman" w:eastAsia="Times New Roman" w:hAnsi="Times New Roman"/>
          <w:sz w:val="18"/>
          <w:szCs w:val="18"/>
          <w:u w:val="single" w:color="auto"/>
          <w:color w:val="auto"/>
        </w:rPr>
        <w:t>Section 4.6(a) </w:t>
      </w: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As of the date of this Agreement, 28,283,319 shares of Company Common Stock are available for future issuance pursuant to the Company Incentive Plan. </w:t>
      </w:r>
      <w:r>
        <w:rPr>
          <w:rFonts w:ascii="Times New Roman" w:cs="Times New Roman" w:eastAsia="Times New Roman" w:hAnsi="Times New Roman"/>
          <w:sz w:val="18"/>
          <w:szCs w:val="18"/>
          <w:u w:val="single" w:color="auto"/>
          <w:color w:val="auto"/>
        </w:rPr>
        <w:t>Section 4.6(c) </w:t>
      </w:r>
      <w:r>
        <w:rPr>
          <w:rFonts w:ascii="Times New Roman" w:cs="Times New Roman" w:eastAsia="Times New Roman" w:hAnsi="Times New Roman"/>
          <w:sz w:val="18"/>
          <w:szCs w:val="18"/>
          <w:color w:val="auto"/>
        </w:rPr>
        <w:t xml:space="preserve">of the Company Disclosure Letter sets forth a true and complete list of each holder of a Company Award as of the date of this Agreement, including the type of Company Award, the number of shares of Company Common Stock subject thereto, vesting schedule, current vested and unvested status, any early-exercise features, the expiration date, and, if applicable, the exercise price thereof. All Company Awards are evidenced by award agreements in substantially the forms previously made available to Acquiror, and, except as set forth on </w:t>
      </w:r>
      <w:r>
        <w:rPr>
          <w:rFonts w:ascii="Times New Roman" w:cs="Times New Roman" w:eastAsia="Times New Roman" w:hAnsi="Times New Roman"/>
          <w:sz w:val="18"/>
          <w:szCs w:val="18"/>
          <w:u w:val="single" w:color="auto"/>
          <w:color w:val="auto"/>
        </w:rPr>
        <w:t>Section 4.6(c) </w:t>
      </w:r>
      <w:r>
        <w:rPr>
          <w:rFonts w:ascii="Times New Roman" w:cs="Times New Roman" w:eastAsia="Times New Roman" w:hAnsi="Times New Roman"/>
          <w:sz w:val="18"/>
          <w:szCs w:val="18"/>
          <w:color w:val="auto"/>
        </w:rPr>
        <w:t>of the Company Disclosure Letter, no Company Award is subject to terms that are materially different from those set forth in such forms. Each Company Award was validly issued and properly approved or ratified by the Company Board (or appropriate committee thereof).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Except as otherwise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4.6(c)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4.6(d) </w:t>
      </w:r>
      <w:r>
        <w:rPr>
          <w:rFonts w:ascii="Times New Roman" w:cs="Times New Roman" w:eastAsia="Times New Roman" w:hAnsi="Times New Roman"/>
          <w:sz w:val="18"/>
          <w:szCs w:val="18"/>
          <w:color w:val="auto"/>
        </w:rPr>
        <w:t>of the Company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neither the Company nor any of its Subsidiaries has granted any outstanding subscriptions, options, stock appreciation rights, participations,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phantom option, phantom equity or similar rights, warrants, rights or other securities (including debt securities) convertible into or exchangeable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for shares of Company Common Stock, any other commitments, calls, conversion rights, rights of exchange or privilege (whether pre-emptive,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or by matter of Law), plans or other agreements of any character providing for the issuance of additional shares or registration rights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shares, the sale of treasury shares or other equity interests, or for the repurchase or redemption of shares or other equity interests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other rights the value of which is determined by reference to shares or other equity interests of the Company, and there are no voting trusts,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proxies or agreements of any kind that may obligate the Company to issue, purchase, register for sale, redeem or otherwise acquire any shares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Capitalization of 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4.7(a) </w:t>
      </w:r>
      <w:r>
        <w:rPr>
          <w:rFonts w:ascii="Times New Roman" w:cs="Times New Roman" w:eastAsia="Times New Roman" w:hAnsi="Times New Roman"/>
          <w:sz w:val="18"/>
          <w:szCs w:val="18"/>
          <w:color w:val="auto"/>
        </w:rPr>
        <w:t>of the Company Disclosure Letter sets forth a true, correct and complete capitalization table of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Subsidiaries as of the date hereof. The outstanding shares of capital stock or equity interests of each of the Company’s Subsidiaries (i)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duly authorized and validly issued, are, to the extent applicable, fully paid and non-assessable; (ii) have been offered, sold and issued in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applicable Law in all material respects, including federal and state securities Laws, and all requirements set forth in (A) the Governing Documents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Subsidiary, and (B) any other applicable Contracts governing the issuance of such securities; (iii) are not subject to, nor have they been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 of, any purchase option, call option, right of first refusal, preemptive right, subscription right or any similar right under any provision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the Governing Documents of each such Subsidiary or any Contract to which the Company or any such Subsidiary is a party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and (iv) are free and clear of any Liens other than Permitted Liens, restrictions on transfer arising under applicable securities Laws, any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imposed under the Governing Documents of the applicable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owns of record and beneficially all the issued and outstanding shares of capital stock or equity interests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free and clear of any Liens other than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Section 4.7(c) </w:t>
      </w:r>
      <w:r>
        <w:rPr>
          <w:rFonts w:ascii="Times New Roman" w:cs="Times New Roman" w:eastAsia="Times New Roman" w:hAnsi="Times New Roman"/>
          <w:sz w:val="18"/>
          <w:szCs w:val="18"/>
          <w:color w:val="auto"/>
        </w:rPr>
        <w:t>of the Company Disclosure Letter, there are no outstanding subscriptions, options,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or other securities (including debt securities) exercisable or exchangeable for any capital stock of such Subsidiaries, any other commitments, calls,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rights, rights of exchange or privilege (whether pre-emptive, contractual or by matter of Law), plans or other agreements of any character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for the issuance of additional shares, the sale of treasury shares or other equity interests, or for the repurchase or redemption of shares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of such Subsidiaries or other rights the value of which are determined by reference to shares or other equity interests of the Subsidiaries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there are no voting trusts, proxies or agreements of any kind which may obligate any Subsidiary of the Company to issue,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for sale, redeem or otherwise acquire any of its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Except for the equity interests of the Subsidiaries set forth on </w:t>
      </w:r>
      <w:r>
        <w:rPr>
          <w:rFonts w:ascii="Times New Roman" w:cs="Times New Roman" w:eastAsia="Times New Roman" w:hAnsi="Times New Roman"/>
          <w:sz w:val="18"/>
          <w:szCs w:val="18"/>
          <w:u w:val="single" w:color="auto"/>
          <w:color w:val="auto"/>
        </w:rPr>
        <w:t>Section 4.7(a) </w:t>
      </w:r>
      <w:r>
        <w:rPr>
          <w:rFonts w:ascii="Times New Roman" w:cs="Times New Roman" w:eastAsia="Times New Roman" w:hAnsi="Times New Roman"/>
          <w:sz w:val="18"/>
          <w:szCs w:val="18"/>
          <w:color w:val="auto"/>
        </w:rPr>
        <w:t>of the Company Disclosure Letter, neither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nor any of its Subsidiaries (i) owns, directly or indirectly, any ownership, equity, profits or voting interest in any Person, (ii) has any agreement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to purchase any such interest or (iii) has agreed nor is obligated to make nor is bound by any written, oral or other Contract,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 option, warranty or undertaking of any nature, as of the date hereof or as may hereafter be in effect under which it may become obligated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any future investment in or capital contribution to any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Section 4.8(a) </w:t>
      </w:r>
      <w:r>
        <w:rPr>
          <w:rFonts w:ascii="Times New Roman" w:cs="Times New Roman" w:eastAsia="Times New Roman" w:hAnsi="Times New Roman"/>
          <w:sz w:val="18"/>
          <w:szCs w:val="18"/>
          <w:color w:val="auto"/>
        </w:rPr>
        <w:t xml:space="preserve">of the Company Disclosure Letter, the Financial Statements, when delivered, will (i) fairly present in all material respects the consolidated financial position of the Company and its consolidated Subsidiaries, as at the respective dates thereof, and the consolidated results of their operations, their consolidated losses, their consolidated changes in stockholders’ deficit and their consolidated cash flows for the respective periods then ended, (ii) have been prepared in conformity, and in accordance, with GAAP applied on a consistent basis during the periods involved (except as may be indicated in the notes thereto), (iii) have been prepared from, will be in accordance with and will accurately reflect in all material respects, the books and records of the Company and its consolidated Subsidiaries, (iv) when delivered by the Company for inclusion in the Proxy Statement / Registration Statement for filing with the SEC following the date of this Agreement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comply in all material respects with the applicable accounting requirements and with the rules and regulations of the SEC, the Exchange Act and the Securities Act for financial statements required to be included in the Proxy Statement / Registration Statement, in effect as of the respective dates of such Financial Statements.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4.8(b) </w:t>
      </w:r>
      <w:r>
        <w:rPr>
          <w:rFonts w:ascii="Times New Roman" w:cs="Times New Roman" w:eastAsia="Times New Roman" w:hAnsi="Times New Roman"/>
          <w:sz w:val="18"/>
          <w:szCs w:val="18"/>
          <w:color w:val="auto"/>
        </w:rPr>
        <w:t>of the Company Disclosure Letter, neither the Company (including, to the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employee thereof) nor any independent auditor of the Company has identified or been made aware of (i) any significant deficiency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weakness in the design or system of internal accounting controls utilized by the Company, (ii) any fraud, whether or not material, that involves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management or other employees who have a role in the preparation of financial statements or the internal accounting controls utilized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(iii) any claim or allegation regarding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Neither the Company nor any of its Subsidiaries has any Indebtedness other than the Indebtedness set forth on </w:t>
      </w:r>
      <w:r>
        <w:rPr>
          <w:rFonts w:ascii="Times New Roman" w:cs="Times New Roman" w:eastAsia="Times New Roman" w:hAnsi="Times New Roman"/>
          <w:sz w:val="18"/>
          <w:szCs w:val="18"/>
          <w:u w:val="single" w:color="auto"/>
          <w:color w:val="auto"/>
        </w:rPr>
        <w:t>Section 4.8(c) </w:t>
      </w:r>
      <w:r>
        <w:rPr>
          <w:rFonts w:ascii="Times New Roman" w:cs="Times New Roman" w:eastAsia="Times New Roman" w:hAnsi="Times New Roman"/>
          <w:sz w:val="18"/>
          <w:szCs w:val="18"/>
          <w:color w:val="auto"/>
        </w:rPr>
        <w:t>of the Company Disclosure Letter, which sets forth the outstanding principal amount and any accrued but unpaid interest as of the last day of the month immediately prior to the date of this Agreement with respect to such Indebtedness.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4.9           </w:t>
      </w:r>
      <w:r>
        <w:rPr>
          <w:rFonts w:ascii="Times New Roman" w:cs="Times New Roman" w:eastAsia="Times New Roman" w:hAnsi="Times New Roman"/>
          <w:sz w:val="18"/>
          <w:szCs w:val="18"/>
          <w:u w:val="single" w:color="auto"/>
          <w:color w:val="auto"/>
        </w:rPr>
        <w:t>  Undisclosed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Company Disclosure Letter, there is no other material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(including Indebtedness) or obligation of, or claim or judgment against, the Company or any of the Company’s Subsidiaries (whether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absolute or contingent, accrued or unaccrued, known or unknown, liquidated or unliquidated, or due or to become due) required to be reflected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 for on a balance sheet prepared in accordance with GAAP, except for liabilities, debts, obligations, claims or judgments (a) reflected or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on the Financial Statements or disclosed in the notes thereto, (b) that have arisen since the date of the most recent balance sheet included in the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 the ordinary course of business, consistent with past practice, of the Company and its Subsidiaries, or (c) that will be discharged or paid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at or in connection with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Company Disclosure Letter: (a) there are no pending or, to the knowledge of the Company, threatened, Actions, or other proceedings at law or in equity against the Company or any of the Company’s Subsidiaries or their respective properties or assets; and (b) there is no outstanding Governmental Order imposed upon the Company or any of the Company’s Subsidiaries; nor are any properties or assets of the Company or any of the Company’s Subsidiaries’ respective businesses bound or subject to any Governmental Order, except, in each case, as would not be, or would not reasonably be expected to be, material to the business of the Company and its Subsidiaries, taken as a whole. No Top Vendor or Top Customer has as of the date of this Agreement notified the Company in writing of a pending material dispute or, to the knowledge of the Company, threatened a material dispute against the Company or its Subsidiaries or their respective businesses.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Legal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Each of the Company and its Subsidiaries is, and for the three (3) years preceding the date hereof has been, in compliance with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For the past three (3) years, none of the Company or any of its Subsidiaries has received any written notice of, or, to the knowledge of the Company, been charged with, the violation in any material respect of any Laws.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and its Subsidiaries maintain a program of policies, procedures and internal controls reasonably designed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implemented to provide reasonable assurance that violation of applicable Law by any of the Company’s or its Subsidiaries’ directors, officers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will be prevented, detected and deterred.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Contracts; No Defaults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4.12(a) </w:t>
      </w:r>
      <w:r>
        <w:rPr>
          <w:rFonts w:ascii="Times New Roman" w:cs="Times New Roman" w:eastAsia="Times New Roman" w:hAnsi="Times New Roman"/>
          <w:sz w:val="18"/>
          <w:szCs w:val="18"/>
          <w:color w:val="auto"/>
        </w:rPr>
        <w:t xml:space="preserve">of the Company Disclosure Letter contains a listing of all Contracts described in clauses (a) through (xxi) below to which, as of the date of this Agreement, the Company or any of the Company’s Subsidiaries is a party or by which they are bound, other than any Company Benefit Plans. True, correct and complete copies of the Contracts listed on </w:t>
      </w:r>
      <w:r>
        <w:rPr>
          <w:rFonts w:ascii="Times New Roman" w:cs="Times New Roman" w:eastAsia="Times New Roman" w:hAnsi="Times New Roman"/>
          <w:sz w:val="18"/>
          <w:szCs w:val="18"/>
          <w:u w:val="single" w:color="auto"/>
          <w:color w:val="auto"/>
        </w:rPr>
        <w:t>Section 4.12(a) </w:t>
      </w:r>
      <w:r>
        <w:rPr>
          <w:rFonts w:ascii="Times New Roman" w:cs="Times New Roman" w:eastAsia="Times New Roman" w:hAnsi="Times New Roman"/>
          <w:sz w:val="18"/>
          <w:szCs w:val="18"/>
          <w:color w:val="auto"/>
        </w:rPr>
        <w:t>of the Company Disclosure Letter have previously been delivered to or made available to Acquiror or its agents or representatives, together with all amendments thereto.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            Any Contract with any of the Top Vendors or Top Customers (other than purchase orders, invoices, statements of work and non-disclosure or similar agreements entered into in the ordinary course of business consistent with past practice that do not contain any material terms relating to the Contract underlying the applicable Top Customer or Top Vendor relationship);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(ii)            Each mortgage, note, debenture, guarantee, pledge, loan, credit or financing agreement or instrument or other Contract for money borrowed by the Company or any of the Company’s Subsidiaries or pursuant to which a Lien has been placed on any material assets or properties of the Company or any of its Subsidiaries, including any other agreement or commitment for future loans, credit or financing, in each case, in excess of $500,000 in the aggregate for the Company and its Subsidiaries, taken as a whole (other than any customary credit card line (or similar cash management credit line) used in the ordinary course of business, consistent with past practice);  </w:t>
      </w:r>
    </w:p>
    <w:p>
      <w:pPr>
        <w:spacing w:after="0" w:line="20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Each Contract for the acquisition of any property or Person or any business unit thereof or the disposition of any material assets of the Company or any of its Subsidiaries entered into or consummated in the last three (3) years, in each case, involving payments in excess of $500,000 other than Contracts in which the applicable acquisition or disposition has been consummated and there are no material obligations ongoing;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(iv)           Each Contract related to the formation, governance or operation of a joint venture, partnership or similar arrangement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sharing of profits or revenues therefrom or pursuant to which the Company or any of its Subsidiaries has an ownership interest in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any wholly owned Subsidiary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Contracts (other than employment agreements, employee confidentiality and invention assignment agreements, equity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equity documents that are Company Benefit Plans and Governing Documents) between the Company and its Subsidiaries, on the one hand,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 of the Company or any of the Company’s Subsidiaries (other than the Company or any of the Company’s Subsidiaries), the officers and managers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equivalents) of the Company or any of the Company’s Subsidiaries, the members or stockholders of the Company or any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any employee of the Company or any of the Company’s Subsidiaries or a member of the immediate family of the foregoing Persons,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hand (collectively, “</w:t>
      </w:r>
      <w:r>
        <w:rPr>
          <w:rFonts w:ascii="Times New Roman" w:cs="Times New Roman" w:eastAsia="Times New Roman" w:hAnsi="Times New Roman"/>
          <w:sz w:val="18"/>
          <w:szCs w:val="18"/>
          <w:u w:val="single" w:color="auto"/>
          <w:color w:val="auto"/>
        </w:rPr>
        <w:t>Affiliate Agreements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           Contracts with any employee of the Company or its Subsidiaries that provides for annual base compensation in excess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Contracts with any employee or consultant of the Company or its Subsidiaries that provides for the increase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accelerated vesting, of benefits upon the consummation of the Transactions or the value of any of the benefits of which shall be calculated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any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Contracts containing covenants of the Company or any of the Company’s Subsidiaries (A) prohibiting or limiting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the Company or any of the Company’s Subsidiaries to engage in or compete with any Person in any line of business in any material respect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prohibiting or restricting the Company’s or any of the Company’s Subsidiaries’ ability to conduct their respective businesses with any Person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area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Any collective bargaining (or similar) agreement or Contract between the Company or any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on one hand, and any labor union or other body representing employees of the Company or any of the Company’s Subsidiaries, on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(x)            Each Contract pursuant to which the Company or any of the Company’s Subsidiaries grants a license, sublicense, right, consent or nonassertion under or with respect to any Company Intellectual Property to any third Person (excluding non-exclusive licenses granted by Company or any of the Company’s Subsidiaries to customers and service providers in the ordinary course of business consistent with past practice);  </w:t>
      </w:r>
    </w:p>
    <w:p>
      <w:pPr>
        <w:spacing w:after="0" w:line="204"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(xi)            Each Contract pursuant to which a third Person grants to the Company or any of the Company’s Subsidiaries a license, sublicense, right, consent or nonassertion under or with respect to any Intellectual Property that is material to the business of the Company and its Subsidiaries (other than (A) Contracts granting nonexclusive rights to use commercially available off-the-shelf Software or Software as a service offerings or other Software, products or applications that are non-customized for less than $200,000 annually; or (B) Open Source Licenses);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(xii)           Each Contract to which the Company or any of its Subsidiaries is party or bound that involves the creation, development, transfer, assignment, or ownership of any Company Registered Intellectual Property (other than employee confidentiality and invention assignment agreements entered into in the ordinary course of business consistent with past practice);  </w:t>
      </w:r>
    </w:p>
    <w:p>
      <w:pPr>
        <w:spacing w:after="0" w:line="204"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(xiii)          Each Contract reasonably expected to result in capital expenditures by the Company or any of the Company’s Subsidiaries after the date of this Agreement in an amount in excess of $500,000 in any calendar year;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(xiv)          Any Contract that (A) grants to any third Person any “most favored nation rights”, or (B) grants to any third Person price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for a period greater than one (1) year from the date of this Agreement and requires aggregate future payments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taken as a whole, in excess of $250,000 in any calendar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(xv)           Contracts granting to any Person (other than the Company or its Subsidiaries) a right of first refusal, first offer or similar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preferential right to purchase or acquire equity interests in, or lease, purchase or acquire any material properties or assets of, the Company or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any Contract with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(xvii)        Contracts under which the Company or any of its Subsidiaries is lessee of, or holds or operates any personal property owned by any other party, for which the rental exceeds $500,000 in any calendar year;  </w:t>
      </w:r>
    </w:p>
    <w:p>
      <w:pPr>
        <w:spacing w:after="0" w:line="200"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(xviii)       Contracts under which the Company or any of its Subsidiaries is the lessor of or permits any third party to hold or operate any property, real or personal, for which the rental paid by such third party exceeds $500,000 in any calendar year;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(xix)          Contracts for third party services relating to the Leased Real Property, for which payment for such services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in any calendar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           settlement or coexistence agreements with respect to any pending or threatened action;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          any outstanding offer that, if accepted, would constitute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Except for any Contract that will terminate upon the expiration of the stated term thereof prior to the Closing Date, all of the Contracts listed pursuant to </w:t>
      </w:r>
      <w:r>
        <w:rPr>
          <w:rFonts w:ascii="Times New Roman" w:cs="Times New Roman" w:eastAsia="Times New Roman" w:hAnsi="Times New Roman"/>
          <w:sz w:val="18"/>
          <w:szCs w:val="18"/>
          <w:u w:val="single" w:color="auto"/>
          <w:color w:val="auto"/>
        </w:rPr>
        <w:t>Section 4.12(a) </w:t>
      </w:r>
      <w:r>
        <w:rPr>
          <w:rFonts w:ascii="Times New Roman" w:cs="Times New Roman" w:eastAsia="Times New Roman" w:hAnsi="Times New Roman"/>
          <w:sz w:val="18"/>
          <w:szCs w:val="18"/>
          <w:color w:val="auto"/>
        </w:rPr>
        <w:t xml:space="preserve">in the Company Disclosure Letter are (i) in full force and effect and (ii) represent the legal, valid and binding obligations of the Company or the Subsidiary of the Company party thereto, subject to the Enforceability Exceptions and, to the knowledge of the Company, represent the legal, valid and binding obligations of the counterparties thereto, subject to the Enforceability Exceptions. The Company and its Subsidiaries have performed in all material respects all respective obligations required to be performed by them to date under such Contracts listed pursuant to </w:t>
      </w:r>
      <w:r>
        <w:rPr>
          <w:rFonts w:ascii="Times New Roman" w:cs="Times New Roman" w:eastAsia="Times New Roman" w:hAnsi="Times New Roman"/>
          <w:sz w:val="18"/>
          <w:szCs w:val="18"/>
          <w:u w:val="single" w:color="auto"/>
          <w:color w:val="auto"/>
        </w:rPr>
        <w:t>Section 4.12(a) </w:t>
      </w:r>
      <w:r>
        <w:rPr>
          <w:rFonts w:ascii="Times New Roman" w:cs="Times New Roman" w:eastAsia="Times New Roman" w:hAnsi="Times New Roman"/>
          <w:sz w:val="18"/>
          <w:szCs w:val="18"/>
          <w:color w:val="auto"/>
        </w:rPr>
        <w:t>and neither the Company, the Company’s Subsidiaries, nor, to the knowledge of the Company, any other party thereto is in material breach of or material default under any such Contract. Neither the Company nor any of its Subsidiaries has received any written claim or written notice of termination (including by non-renewal) under any such Contract. To the knowledge of the Company, no event has occurred which individually or together with other events, would reasonably be expected to result in a material breach of or a material default under any such Contract by the Company or its Subsidiaries or, to the knowledge of the Company, any other party thereto (in each case, with or without notice or lapse of time or both). No party to any such Contract that is a Top Vendor or Top Customer has, within the past 24 months, canceled or terminated its business with, or, to the knowledge of the Company, threatened to cancel, terminate, materially limit or materially and adversely modify its business with, the Company or any of its Subsidiaries.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Company Benefit Plans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4.13(a) </w:t>
      </w:r>
      <w:r>
        <w:rPr>
          <w:rFonts w:ascii="Times New Roman" w:cs="Times New Roman" w:eastAsia="Times New Roman" w:hAnsi="Times New Roman"/>
          <w:sz w:val="18"/>
          <w:szCs w:val="18"/>
          <w:color w:val="auto"/>
        </w:rPr>
        <w:t>of the Company Disclosure Letter sets forth a complete list, as of the date hereof, of each material Company Benefit Plan, and separately identifies each Company Benefit Plan that is subject to the Laws of a country other than the United States (a “</w:t>
      </w:r>
      <w:r>
        <w:rPr>
          <w:rFonts w:ascii="Times New Roman" w:cs="Times New Roman" w:eastAsia="Times New Roman" w:hAnsi="Times New Roman"/>
          <w:sz w:val="18"/>
          <w:szCs w:val="18"/>
          <w:u w:val="single" w:color="auto"/>
          <w:color w:val="auto"/>
        </w:rPr>
        <w:t>Foreign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non-U.S. jurisdiction applicable to each Foreign Benefit Plan, but excluding, in each case, any (A) award agreements for Company Awards made pursuant to standard forms of equity award agreement that have been made available to Acquiror, in which case only the forms of such equity award agreements will be listed, and (B) employment agreements or offer letters made pursuant to standard forms that have been made available to Acquiror and which do not provide for severance or change in control benefits, in which case only the forms of such employment agreements or offer letters will be listed. For purposes of this Agreement, a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an “employee benefit plan” as defined in Section 3(3) of ERISA or any other plan, policy, program or agreement (including any employment, bonus, incentive, deferred compensation, employee loan, note or pledge agreement, equity or equity-based compensation, severance, retention, supplemental retirement, change in control, or pension plan, policy, program or agreement) which are maintained, sponsored or contributed to by the Company or any of the Company’s Subsidiaries for the benefit of any current or former director, officer, individual consultant, worker or employee of the Company or any of its Subsidiaries, or to which the Company or any of the Company’s Subsidiaries is a party or has or may have any current or contingent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Company Benefit Plan, the Company has made available to Acquiror, to the extent applicable, true, complete and correct copies of (I) such Company Benefit Plan and all plan documents, trust agreements, insurance Contracts or other funding vehicles and all amendments thereto, (II) the most recent summary plan description, including any summary of material modifications, if applicable, (III) the most recent annual report (Form 5500 series) filed with the IRS with respect to such Company Benefit Plan, (IV) the most recent actuarial report or other financial statement relating to such Company Benefit Plan, if applicable, (V) the most recent determination or opinion letter, if any, issued by the IRS with respect to any Company Benefit Plan and any pending request for such a determination letter, and (VI) all non-routine correspondence with any Governmental Authority within the past three (3) years regarding the operation or the administration of any Company Benefit Plan.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Each Company Benefit Plan has been operated and administered in compliance in all material respects with its terms and all applicable Laws, including ERISA, the Code and the IT Act. In all material respects, all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GAAP. Each Company Benefit Plan which is intended to be qualified within the meaning of Section 401(a) of the Code has received a favorable determination or opinion letter from the IRS as to its qualification or may rely upon an opinion letter for a prototype plan and, to the knowledge of the Company, no fact or event has occurred that would reasonably be expected to adversely affect the qualified status of any such Company Benefit Plan. To the knowledge of the Company, no non-exempt “prohibited transaction” within the meaning of Section 406 of ERISA and Section 4975 of the Code has occurred with respect to any Company Benefit Plan.  </w:t>
      </w: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No Company Benefit Plan is (i) a multiemployer pension plan (as defined in Section 3(37)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(ii) an “employee pension benefit plan” (as defined in Section 3(2) of ERISA) that is subject to Title IV of ERISA (“</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(iii) a “multiple employer plan” as defined in Section 413(c) of the Code or (iv) a “multiple employer welfare arrangement” within the meaning of Section 3(40) of ERISA, and neither the Company nor any of its ERISA Affiliates has sponsored or contributed to, been required to contribute to, or had any actual or contingent liability under, a (i) Multiemployer Plan, or (ii) Title IV Plan, in each case, at any time within the previous six (6) years.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With respect to each Company Benefit Plan, no actions, suits or claims (other than routine claims for benefits in the ordinary course) are pending or, to the knowledge of the Company, threatened, and to the knowledge of the Company, no facts or circumstances exist that would reasonably be expected to give rise to any such actions, suits or claims. Except as set forth on </w:t>
      </w:r>
      <w:r>
        <w:rPr>
          <w:rFonts w:ascii="Times New Roman" w:cs="Times New Roman" w:eastAsia="Times New Roman" w:hAnsi="Times New Roman"/>
          <w:sz w:val="18"/>
          <w:szCs w:val="18"/>
          <w:u w:val="single" w:color="auto"/>
          <w:color w:val="auto"/>
        </w:rPr>
        <w:t>Section 4.13(d) </w:t>
      </w:r>
      <w:r>
        <w:rPr>
          <w:rFonts w:ascii="Times New Roman" w:cs="Times New Roman" w:eastAsia="Times New Roman" w:hAnsi="Times New Roman"/>
          <w:sz w:val="18"/>
          <w:szCs w:val="18"/>
          <w:color w:val="auto"/>
        </w:rPr>
        <w:t>of the Company Disclosure Letter, no Company Benefit Plan is, or within the last three (3) years has been, the subject of an examination, investigation, or audit by a Governmental Authority.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No Company Benefit Plan provides medical, surgical, hospitalization, death or similar benefits (whether or not insured) for employees or former employees of the Company or any Subsidiary for periods extending beyond their retirement or other termination of service, other than (i) coverage mandated by applicable Law or (ii) death benefits under any pension plan.  </w:t>
      </w:r>
    </w:p>
    <w:p>
      <w:pPr>
        <w:spacing w:after="0" w:line="20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(f)            Except as set forth on </w:t>
      </w:r>
      <w:r>
        <w:rPr>
          <w:rFonts w:ascii="Times New Roman" w:cs="Times New Roman" w:eastAsia="Times New Roman" w:hAnsi="Times New Roman"/>
          <w:sz w:val="18"/>
          <w:szCs w:val="18"/>
          <w:u w:val="single" w:color="auto"/>
          <w:color w:val="auto"/>
        </w:rPr>
        <w:t>Section 4.13(f) </w:t>
      </w:r>
      <w:r>
        <w:rPr>
          <w:rFonts w:ascii="Times New Roman" w:cs="Times New Roman" w:eastAsia="Times New Roman" w:hAnsi="Times New Roman"/>
          <w:sz w:val="18"/>
          <w:szCs w:val="18"/>
          <w:color w:val="auto"/>
        </w:rPr>
        <w:t>of the Company Disclosure Letter, the consummation of the Transactions will not, either alone or in combination with another event (such as termination of employment following the consummation of the Transactions), (i) entitle any current or former employee, officer or other individual service provider of the Company or any Subsidiary of the Company to any material severance pay or any other compensation or benefits payable or to be provided by the Company or any Subsidiary of the Company, (ii) accelerate the time of payment, funding or vesting, or increase the amount of material compensation or benefits due to any such employee, officer or other individual service provider by the Company or a Subsidiary of the Company, or (iii) accelerate the vesting and/or settlement of any Company Award. The consummation of the Transactions will not, either alone or in combination with another event, result in any “excess parachute payment” under Section 280G of the Code. No Company Benefit Plan provides for a Tax gross-up, make whole or similar payment with respect to the Taxes imposed under Sections 409A or 4999 of the Code. Each Company Benefit Plan that is a “nonqualified deferred compensation plan” (as defined for purposes of Code Section 409A(d)(1)) is in compliance in all material respects with Section 409A of the Code and the applicable guidance issued thereunder.  </w:t>
      </w:r>
    </w:p>
    <w:p>
      <w:pPr>
        <w:spacing w:after="0" w:line="211"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(g)            All Company Awards have been granted in all material respects in accordance with the terms of the Company Incentive Plan and all applicable Laws, including valid exemptions from registration under any applicable securities Laws.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(h)            With respect to each Foreign Benefit Plan: (i) all employer and employee contributions to each Foreign Benefit Plan required by Law or by the terms of such Foreign Benefit Plan have been made in all material respects, or, if applicable, accrued; (ii) no Foreign Benefit Plan has any material unfunded liabilities; (iii) if intended to qualify for special tax treatment under applicable Law, satisfies all requirements to obtain such tax treatment; (iv) each Foreign Benefit Plan required to be registered has been registered and has been maintained in good standing with applicable Governmental Authorities; and (v) has been maintained in compliance in all material respects with applicable Law. No Foreign Benefit Plan is in the nature of a defined benefit plan for the benefit of any Person in, or subject to any legal Laws of, a jurisdiction outside the United States.  </w:t>
      </w:r>
    </w:p>
    <w:p>
      <w:pPr>
        <w:spacing w:after="0" w:line="208"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Neither the Company nor any of its Subsidiaries has incurred (whether or not assessed) any Tax, penalty or other liability in the past three (3) years under Sections 4980B, 4980D, 4980H, 6055 or 6056 of the Code.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4.14         </w:t>
      </w:r>
      <w:r>
        <w:rPr>
          <w:rFonts w:ascii="Times New Roman" w:cs="Times New Roman" w:eastAsia="Times New Roman" w:hAnsi="Times New Roman"/>
          <w:sz w:val="18"/>
          <w:szCs w:val="18"/>
          <w:u w:val="single" w:color="auto"/>
          <w:color w:val="auto"/>
        </w:rPr>
        <w:t>  Labor Relations; Employees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The Company has provided to Acquiror a true and complete anonymized list of all employees of the Company or any of its Subsidiaries, with an indication as to: (i) title or position; (ii) whether full or part time; (iii) hire date; and (iv) location.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Except as set forth on </w:t>
      </w:r>
      <w:r>
        <w:rPr>
          <w:rFonts w:ascii="Times New Roman" w:cs="Times New Roman" w:eastAsia="Times New Roman" w:hAnsi="Times New Roman"/>
          <w:sz w:val="18"/>
          <w:szCs w:val="18"/>
          <w:u w:val="single" w:color="auto"/>
          <w:color w:val="auto"/>
        </w:rPr>
        <w:t>Section 4.14(b) </w:t>
      </w:r>
      <w:r>
        <w:rPr>
          <w:rFonts w:ascii="Times New Roman" w:cs="Times New Roman" w:eastAsia="Times New Roman" w:hAnsi="Times New Roman"/>
          <w:sz w:val="18"/>
          <w:szCs w:val="18"/>
          <w:color w:val="auto"/>
        </w:rPr>
        <w:t>of the Company Disclosure Letter, (i) neither the Company nor any of its Subsidiaries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or bound by any collective bargaining agreement, or any similar agreement, (ii) no such agreement is being negotiated by the Company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Subsidiaries, and (iii) no labor union or any other employee representative body has requested or, to the knowledge of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sought to represent any of the employees of the Company or its Subsidiaries. In the past three (3) years, there has been no actual or, to the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threatened strike, slowdown, work stoppage, picketing, lockout or other labor dispute against or affecting the Company or any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Each of the Company and its Subsidiaries are, and have been for the past three (3) years, in compliance in all material respects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applicable Laws respecting labor and employment including, but not limited to, all applicable Laws respecting terms and conditions of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and safety, wages and hours, meal and rest breaks, holiday pay and the calculation of holiday pay, working time, employee classification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both exempt vs. non-exempt status and employee vs. independent contractor and worker status), child labor, work authorization and immigration,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discrimination, harassment, disability rights or benefits, equal opportunity and equal pay, plant closures and layoffs, affirmative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workers’ compensation, labor relations, maternity benefits, employee leave issues and unemployment insurance (including under the federal Emergency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Sick Leave Act and the federal Emergency Family and Medical Leave Expansion Act). Each of the Company and its Subsidiaries currently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classify, and for the past three (3) years has properly classified, each person who performs or performed services for the Company or such Subsidiary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or independent contractor and (with respect to their U.S. employees) as exempt or non-exempt under the Fair Labor Standards Act and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local Laws. Neither the Company nor any of its Subsidiaries has any liability as a joint employer with respect to any temporary employees 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staffed through a third-party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In the past three (3) years, the Company and its Subsidiaries have not received (i) written notice of any unfair labor practice charge or complaint pending or threatened before the National Labor Relations Board or any other Governmental Authority against the Company or any of its Subsidiaries, (ii) written notice of any complaints, grievances or arbitrations arising out of any collective bargaining agreement or any other complaints, grievances or arbitration procedures against the Company or any of its Subsidiaries, (iii) written notice of any charge or complaint with respect to or relating to the Company or any of its Subsidiaries pending before the Equal Employment Opportunity Commission or any other Governmental Authority responsible for the prevention of unlawful employment practices, (iv) written notice of the intent of any Governmental Authority responsible for the enforcement of labor, employment, wages and hours of work, child labor, immigration, or occupational safety and health Laws to conduct an investigation with respect to or relating to the Company or any of its Subsidiaries or notice that such investigation is in progress, or (v) written notice of any complaint, lawsuit or other proceeding pending or threatened in any forum by or on behalf of any current or former employees against the Company or any of its Subsidiaries related to breach of any express or implied Contract of employment, unfair labor practices, employment discrimination, harassment, retaliation, equal pay, wage and hour, or wrongful or tortious conduct in connection with the employment relationship.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Neither the Company nor any of the Company’s Subsidiaries is party to a settlement agreement with a current or former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or independent contractor of the Company or any of the Company’s Subsidiaries that involves allegations relating to sexual harassment, sexual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misconduct or discrimination by either (i) an officer of the Company or any of the Company’s Subsidiaries or (ii) an employee of the Company or any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Subsidiaries. To the knowledge of the Company, in the past three (3) years, no allegations of sexual harassment, sexual misconduct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discrimination have been made against (x) an officer of the Company or any of the Company’s Subsidiaries or (y) an employee of the Company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In the past three (3) years, the Company and its Subsidiaries have not engaged in layoffs, furloughs or employment terminations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sufficient to trigger application of the Workers’ Adjustment and Retraining Notification Act or any similar state, local or foreign Law relating to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(g)            There are adequate resources available to meet any liability arising in the Indian Subsidiary on account of gratuity payments, as the same has neither been funded nor covered through specific gratuity insurance.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All income and other material Tax Returns required to be filed by the Company or any of its Subsidiaries has been timely filed (taking into account any applicable extension), all such Tax Returns are true, correct, and complete in all material respects, and the Company and each of its Subsidiaries has timely paid all income and other material Taxes due (whether or not shown on such Tax Returns).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Each of the Company and its Subsidiaries has deducted and withheld from amounts (including, without limitation, any Company Award) owing to any employee, former employee, independent contractor, creditor, stockholder, related party, or other third party all material Taxes required to be deducted and withheld, and paid over to the proper Governmental Authority all such Taxes required by applicable Law to be so paid over, and complied in all material respects with all Tax Laws applicable to such deduction and withholding and related reporting requirements (including, without limitation, all information reporting, filing of prescribed returns and backup withholding provisions of the applicable Tax Law).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Except for Permitted Liens under clause (ii) of the definition thereof, there are no Liens for Taxes upon any assets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or any Company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No claim, assessment, deficiency, or proposed adjustment for any Taxes has been asserted or assessed by any Governmental Authority in writing against the Company or any of its Subsidiaries except for deficiencies which have been satisfied by payment, settled or withdrawn.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There are no Tax audits, examinations or other Actions relating to Taxes due from the Company or any of its Subsidiaries that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presently in progress or threatened in writing, and there are no waivers, extensions, or requests for any waivers or extensions of any statute of limitations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in effect with respect to any material Taxes of the Company or any of its Subsidiaries, in each case, other than customary extensions of the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for filing a Tax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Neither the Company nor any of its Subsidiaries is a party to any Tax indemnification, sharing, or similar agreement,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any such agreement solely among the Company and its Subsidiaries and (ii) customary Contracts entered into in the ordinary course of business and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related to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(g)           Neither the Company nor any of its Subsidiaries has constituted either a “distributing corporation” or a “controlled corporation” in a distribution of stock intended to be governed in whole or in part under Section 355 of the Code within the past two (2) years.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(h)           Neither the Company nor any of its Subsidiaries (i) has any liability for Taxes of any other Person (other than the Company and its Subsidiaries) under Treasury Regulations Section 1.1502-6 or any similar provision of state, local, or non-U.S. Tax Law, as a transferee or successor, or by Contract (other than any customary Contract entered into in the ordinary course of business and not primarily related to Taxes) or (ii) has been a member of a group filing income Tax Returns on an affiliated, consolidated, combined, or unitary basis, other than a group the common parent of which was or is the Company (and of which only the Company and its Subsidiaries are or were members).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Neither the Company nor any of its Subsidiaries has received any written notice from any Governmental Authority in a jurisdiction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Company or any of its Subsidiaries does not file Tax Returns that it is or may be required to file Tax Returns or subject to taxation in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Neither the Company nor any of its Subsidiaries has a permanent establishment (within the meaning of an applicable Tax treaty)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has an office or fixed place of business in any country other than the country of its organization, or is, or has ever been, subject to income Tax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jurisdiction outside the country of its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(k)           Neither the Company nor any of its Subsidiaries has participated in a “reportable transaction” within the meaning of Treasury Regulations Section 1.6011-4(b) (or any corresponding or similar provision of state, local or non-U.S. Law).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(l)            Neither the Company nor any of its Subsidiaries will be required to include any item of income that, individually or in the aggregate with all similar items, is material in, or exclude any item of deduction, that, individually or in the aggregate with all similar items is material from, taxable income, for any taxable period (or portion thereof) ending after the Closing Date, in each case, as a result of any (i) installment sale or open transaction disposition made prior to the Closing outside the ordinary course of business, (ii) prepaid amount received or deferred revenue recognized on or prior to the Closing outside the ordinary course of business, (iii) change in method of accounting or the use of impermissible method of accounting for a taxable period ending on or prior to the Closing Date made before the Closing, (iv) “closing agreement” as described in Section 7121 of the Code (or any similar provision of state, local, or non-U.S. Tax Law) executed prior to the Closing, (v) intercompany transaction or excess loss account as described in the Treasury Regulations promulgated under Section 1502 of the Code (or any similar provision of state, local, or non-U.S. Tax Law), (vi) any inclusion under Section 965 of the Code, (vii) inclusion pursuant to Section 951 or Section 951A of the Code with respect to any interest held in a “controlled foreign corporation” (as that term is defined in Section 957 of the Code) with respect to any Tax period ending on or prior to the Closing Date, or (viii) a “domestic use election” under Section 1503(d) of the Code or a “gain recognition agreement” under Treasury Regulations Section 1.367(a)-8.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(m)           Neither the Company nor any of its Subsidiaries has knowingly taken any action or agreed to take any action, or is aware of any facts or circumstances, that could reasonably be expected to impede or prevent the Merger from qualifying for the Intended Tax Treatment.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(n)            Neither the Company nor any of its Subsidiaries has utilized the employment Tax deferral or employee retention credit relief provided under Sections 2301, 2302 or 3606 of the CARES Act, as applicable, or the payroll Tax obligation deferral under IRS Notice 2020-65 or any related guidance, executive order or memorandum. The Company and its Subsidiaries have properly complied with all applicable laws and duly accounted for any available Tax credits under Sections 7001 through 7005 of the Families First Coronavirus Response Act for 2020 (or any similar election under state, local or non-U.S. law) and Section 2301 of the CARES Act (or any similar election under state, local or non-U.S. law).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Neither the Company nor any of its Subsidiaries has made a request for or entered into a closing agreement, private letter ruling,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tax ruling or similar agreement with any Governmental Authority with respect to Taxes or a request for a change of any method of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would, individually or in the aggregate with all similar requests, adversely impact the Taxes of the Company or any of its Subsidiaries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The Company and its Subsidiaries are in material compliance with escheat and unclaimed property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The Company and its Subsidiaries are in compliance in all material respects with all terms and conditions of any applicable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or Tax holiday or Tax incentive including those in respect of export income of the Indian Subsidiary from the units set up in Special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Zones in India. The consummation of the Transactions will not have any material adverse effect on the continued validity and effectiveness of any such Tax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Tax holiday or Tax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To the extent any provisions of the IT Act are applicable and subject to the provisions of the IT Act, all the material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performed (including part performance) or undertaken on or prior to the Effective Time by the Company and its Subsidiaries have been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 or undertaken on an Arm’s Length Basis in accordance with the provisions of the IT Act in all material respects.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4.15(r)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Arm’s Length Basis</w:t>
      </w:r>
      <w:r>
        <w:rPr>
          <w:rFonts w:ascii="Times New Roman" w:cs="Times New Roman" w:eastAsia="Times New Roman" w:hAnsi="Times New Roman"/>
          <w:sz w:val="18"/>
          <w:szCs w:val="18"/>
          <w:color w:val="auto"/>
        </w:rPr>
        <w:t>” means fair and reasonable terms that are consistent with market practice and which have been agreed in comparable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parties which are independent and not related parties of, or otherwise affiliated with, each other under comparable circumstances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accepted as such by the tax authorities under the IT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For the purposes of claiming tax exemption under the IT Act, the Indian Subsidiary has complied in all material respects with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and requirements to claim such tax exemption.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            Neither the Company nor any of its Subsidiaries has at any time entered into or been party to any material transactions, schemes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arrangements which could be reasonably expected (as determined by the Company in good faith) to be reclassified for the purposes of Indian Tax under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legislation, enactment or other applicable Tax Law or otherwise by any Indian Tax authority including under the provisions of General Anti Avoidance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under the IT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(u)            None of the Company’s Subsidiaries organized or formed under the laws of a jurisdiction outside of the United States (i) is a “surrogate foreign corporation” or “expatriated entity” within the meaning of Section 7874 of the Code (or any corresponding or similar provision of state, local or non-U.S. Tax Law) or is treated as a U.S. corporation for U.S. federal Tax purposes by reason of the application of Sections 269B or 7874(b) of the Code (or any corresponding or similar provision of state, local or non-U.S. Tax Law) or (ii) is taxable in the United States as a domestic entity pursuant to the dual charter provision of Treasury Regulation Section 301.7701-5(a) (or any corresponding or similar provision of state, local or non-U.S. Tax Law).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The Company and its Subsidiaries are in compliance with all applicable transfer pricing Laws and regulations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including, to the extent required by applicable Law, the execution and maintenance of contemporaneous documentation substantiating the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practices and methodology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  Section 4.15(w) </w:t>
      </w:r>
      <w:r>
        <w:rPr>
          <w:rFonts w:ascii="Times New Roman" w:cs="Times New Roman" w:eastAsia="Times New Roman" w:hAnsi="Times New Roman"/>
          <w:sz w:val="17"/>
          <w:szCs w:val="17"/>
          <w:color w:val="auto"/>
        </w:rPr>
        <w:t>of the Company Disclosure Letter, sets forth the tax classification of the Company and each of its Subsidiaries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U.S. federal income tax purposes, and except as set forth in </w:t>
      </w:r>
      <w:r>
        <w:rPr>
          <w:rFonts w:ascii="Times New Roman" w:cs="Times New Roman" w:eastAsia="Times New Roman" w:hAnsi="Times New Roman"/>
          <w:sz w:val="17"/>
          <w:szCs w:val="17"/>
          <w:u w:val="single" w:color="auto"/>
          <w:color w:val="auto"/>
        </w:rPr>
        <w:t>Section 4.15(w) </w:t>
      </w:r>
      <w:r>
        <w:rPr>
          <w:rFonts w:ascii="Times New Roman" w:cs="Times New Roman" w:eastAsia="Times New Roman" w:hAnsi="Times New Roman"/>
          <w:sz w:val="17"/>
          <w:szCs w:val="17"/>
          <w:color w:val="auto"/>
        </w:rPr>
        <w:t>of the Company Disclosure Letter, such classification has not changed since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formation of each such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(x)            Except as otherwise disclosed on </w:t>
      </w:r>
      <w:r>
        <w:rPr>
          <w:rFonts w:ascii="Times New Roman" w:cs="Times New Roman" w:eastAsia="Times New Roman" w:hAnsi="Times New Roman"/>
          <w:sz w:val="18"/>
          <w:szCs w:val="18"/>
          <w:u w:val="single" w:color="auto"/>
          <w:color w:val="auto"/>
        </w:rPr>
        <w:t>Section 4.15(x) </w:t>
      </w:r>
      <w:r>
        <w:rPr>
          <w:rFonts w:ascii="Times New Roman" w:cs="Times New Roman" w:eastAsia="Times New Roman" w:hAnsi="Times New Roman"/>
          <w:sz w:val="18"/>
          <w:szCs w:val="18"/>
          <w:color w:val="auto"/>
        </w:rPr>
        <w:t>of the Company Disclosure Letter, none of the Subsidiaries of the Company is a “passive foreign investment company” within the meaning of Section 1297 of the Code.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(y)            The Company and its Subsidiaries have (i) collected and remitted to the proper Governmental Authorities all sales, use, value added and similar Taxes that (A) are required to be collected and remitted by the applicable Law and (B) individually or in the aggregate with all similar Taxes, are material; (ii) for all transactions (including sales or the provision of services) that were (A) treated as exempt from sales, use, value added, and similar Taxes and (B) individually or in the aggregate with all similar transactions, are material, received and retained any Tax exemption certificates and other documentation qualifying such transactions as exempt to the extent such exemptions were material.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(z)            Neither the Company nor any of the Company’s Subsidiaries has liability for a material amount of unpaid Taxes that has not been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adequately accrued for or reserved on the Company’s or any Company Subsidiary’s Financial Statements, other than any liability for unpaid Taxes that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incurred since the date of the most recent Financial Statements in connection with the operation of the business of the Company or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(aa)          Neither the Company nor any of its non-Indian Subsidiaries have their respective place of effective management in India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(bb)         The Company has ascertained that the transaction contemplated under this Agreement does not attract capital gains tax upon indirect transfer of Indian capital asset on the shareholders of the Company in India, in respect of which the Acquiror is required to withhold tax.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The shares of the Company do not derive substantial value from any Indian assets including the Indian Subsidiary in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Section 9, Explanation 5 of the IT Act. Accordingly, the transfer of shares of the Company contemplated in the transaction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do not attract obligation on the Acquiror to withhold Indian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(dd)         Neither the Company nor any its Subsidiaries is or has been a member of a qualifying multinational group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Chapter 2 of Part 3 of the Finance (No 2) Act 2023 or is or has been a member of a multinational group as contemplated by Article 1.3.1 of the OECD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GloBE Rules or by any law or regulation implementing the OECD GloBE Rules. For purposes of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OECD GloBE Rules means the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Anti-Base Erosion Model Rules (Pillar Two) published by the OECD Secretariat on 20 December 2021 as amended, supplemented or substituted from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(ee)          Neither the Company nor any its Subsidiaries is or has been a qualifying entity within the meaning of Part 4 of the Finance (No 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(ff)           Neither the Company nor any its Subsidiaries is subject to a Qualified Domestic Minimum Top-Up Tax as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10.1.1 of the OECD GloBE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4.16         </w:t>
      </w:r>
      <w:r>
        <w:rPr>
          <w:rFonts w:ascii="Times New Roman" w:cs="Times New Roman" w:eastAsia="Times New Roman" w:hAnsi="Times New Roman"/>
          <w:sz w:val="17"/>
          <w:szCs w:val="17"/>
          <w:u w:val="single" w:color="auto"/>
          <w:color w:val="auto"/>
        </w:rPr>
        <w:t>  Brokers’ Fees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of the Company Disclosure Letter, no broker, finder, investment banker or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is entitled to any brokerage fee, finders’ fee or other commission in connection with the Transactions based upon arrangements made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of the Company’s Subsidiaries’ or any of their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Company Disclosure Letter contains a list of, as of the date hereof, all material policies or binders of property, fire and casualty, product liability, workers’ compensation, vehicle, and other forms of insurance held by, or for the benefit of, the Company or any of the Company’s Subsidiaries as of the date of this Agreement. True, correct and complete copies of such insurance policies as in effect as of the date hereof have previously been made available to Acquiror. All such policies are in full force and effect, all premiums due have been paid, and no notice of cancellation or termination has been received by the Company or any of the Company’s Subsidiaries with respect to any such policy. Neither the Company nor any of its Subsidiaries is in material default with respect to any provision contained in any such policy. Except as disclosed on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Company Disclosure Letter, no insurer has denied or disputed coverage of any material claim under an insurance policy during the last twelve (12) months.  </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4.18         </w:t>
      </w:r>
      <w:r>
        <w:rPr>
          <w:rFonts w:ascii="Times New Roman" w:cs="Times New Roman" w:eastAsia="Times New Roman" w:hAnsi="Times New Roman"/>
          <w:sz w:val="18"/>
          <w:szCs w:val="18"/>
          <w:u w:val="single" w:color="auto"/>
          <w:color w:val="auto"/>
        </w:rPr>
        <w:t>  Licenses</w:t>
      </w:r>
      <w:r>
        <w:rPr>
          <w:rFonts w:ascii="Times New Roman" w:cs="Times New Roman" w:eastAsia="Times New Roman" w:hAnsi="Times New Roman"/>
          <w:sz w:val="18"/>
          <w:szCs w:val="18"/>
          <w:color w:val="auto"/>
        </w:rPr>
        <w:t xml:space="preserve">. The Company and its Subsidiaries have obtained, and maintain, all of the material Licenses reasonably required to permit the Company and its Subsidiaries to acquire, originate, own, operate, use and maintain their assets in the manner in which they are now operated and maintained and to conduct the business of the Company and its Subsidiaries as currently conducted. Each material License held by the Company or any of the Company’s Subsidiaries is in full force and effect. Neither the Company nor any of its Subsidiaries (a) is in material default or material violation (and no event has occurred which, with notice or the lapse of time or both, would constitute a material default or material violation) of any term, condition or provision of any material License to which it is a party, (b) is or has been the subject of any pending or, to the knowledge of the Company, threatened Action by a Governmental Authority seeking the revocation, suspension, termination, modification, or impairment of any material License; or (c) has received any notice that any Governmental Authority that has issued any material License intends to cancel, terminate, or not renew any such material License, except to the extent such material License may be amended, replaced, or reissued as a result of and as necessary to reflect the Transactions, or as otherwise disclosed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Company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replacement, or reissuance does not materially adversely affect the continuous conduct of the business of the Company and its Subsidiaries as currently conducted from and after Closing.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Company Disclosure Letter sets forth a true, correct and complete list of material Licenses held by the Company or its Subsidiaries.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4.19         </w:t>
      </w:r>
      <w:r>
        <w:rPr>
          <w:rFonts w:ascii="Times New Roman" w:cs="Times New Roman" w:eastAsia="Times New Roman" w:hAnsi="Times New Roman"/>
          <w:sz w:val="17"/>
          <w:szCs w:val="17"/>
          <w:u w:val="single" w:color="auto"/>
          <w:color w:val="auto"/>
        </w:rPr>
        <w:t>  Equipment and Other Tangible Property</w:t>
      </w:r>
      <w:r>
        <w:rPr>
          <w:rFonts w:ascii="Times New Roman" w:cs="Times New Roman" w:eastAsia="Times New Roman" w:hAnsi="Times New Roman"/>
          <w:sz w:val="17"/>
          <w:szCs w:val="17"/>
          <w:color w:val="auto"/>
        </w:rPr>
        <w:t>. The Company or one of its Subsidiaries owns and has good title to, and has the legal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of or a valid leasehold interest in or right to use by license or otherwise, all material machinery, equipment and other tangible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on the books of the Company and its Subsidiaries as owned by the Company or one of its Subsidiaries, free and clear of all Liens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 Except as would not reasonably be expected to have a Company Material Adverse Effect, all material personal property and 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property assets of the Company and its Subsidiaries are structurally sound and in good operating condition and repair (ordinary wear and tear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excepted) and are suitable for their present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4.20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of the Company Disclosure Letter sets forth a true, correct and complete list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all Leased Real Property and all Real Property Leases (as hereinafter defined) pertaining to such Leased Real Property. With respect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parcel of Leased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Company or one of its Subsidiaries holds a good and valid leasehold estate in such Leased Real Property, free and clear of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except for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Company and its Subsidiaries have delivered to Acquiror true, correct and complete copies of all leases, lease guaranties, subleases, agreements for the leasing, use or occupancy of, or otherwise granting a right in and to the Leased Real Property by or to the Company and its Subsidiaries, including all amendments and modifications thereof (collectively,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none of such Real Property Leases have been modified in any material respect, except to the extent that such modifications have been disclosed by the copies delivered to Acquiror.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 xml:space="preserve">(c)            Except as disclosed on </w:t>
      </w:r>
      <w:r>
        <w:rPr>
          <w:rFonts w:ascii="Times New Roman" w:cs="Times New Roman" w:eastAsia="Times New Roman" w:hAnsi="Times New Roman"/>
          <w:sz w:val="18"/>
          <w:szCs w:val="18"/>
          <w:u w:val="single" w:color="auto"/>
          <w:color w:val="auto"/>
        </w:rPr>
        <w:t>Section 4.20(c) </w:t>
      </w:r>
      <w:r>
        <w:rPr>
          <w:rFonts w:ascii="Times New Roman" w:cs="Times New Roman" w:eastAsia="Times New Roman" w:hAnsi="Times New Roman"/>
          <w:sz w:val="18"/>
          <w:szCs w:val="18"/>
          <w:color w:val="auto"/>
        </w:rPr>
        <w:t>of the Company Disclosure Letter, to the knowledge of the Company, neither the Company, its Subsidiaries or any counterparty to a Real Property Lease is in material breach or material default under the Real Property Leases.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Except as disclosed on </w:t>
      </w:r>
      <w:r>
        <w:rPr>
          <w:rFonts w:ascii="Times New Roman" w:cs="Times New Roman" w:eastAsia="Times New Roman" w:hAnsi="Times New Roman"/>
          <w:sz w:val="18"/>
          <w:szCs w:val="18"/>
          <w:u w:val="single" w:color="auto"/>
          <w:color w:val="auto"/>
        </w:rPr>
        <w:t>Section 4.20(d) </w:t>
      </w:r>
      <w:r>
        <w:rPr>
          <w:rFonts w:ascii="Times New Roman" w:cs="Times New Roman" w:eastAsia="Times New Roman" w:hAnsi="Times New Roman"/>
          <w:sz w:val="18"/>
          <w:szCs w:val="18"/>
          <w:color w:val="auto"/>
        </w:rPr>
        <w:t>of the Company Disclosure Letter, as of the date of this Agreement, there are no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subleases, licenses or other agreements that create or confer upon any Person other than the Company or its Subsidiaries, a right to use or occupy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Real Property or any portion thereof, subject to the entry and reversionary rights of lessors under the Real Property Leases and the rights of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(e)            Neither the Company nor any of its Subsidiaries have received written notice of any current condemnation proceeding or proposed similar Action or agreement for taking in lieu of condemnation with respect to any portion of the Leased Real Property.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None of the Company or any of its Subsidiaries owns any Owned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4.21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4.21(a) </w:t>
      </w:r>
      <w:r>
        <w:rPr>
          <w:rFonts w:ascii="Times New Roman" w:cs="Times New Roman" w:eastAsia="Times New Roman" w:hAnsi="Times New Roman"/>
          <w:sz w:val="18"/>
          <w:szCs w:val="18"/>
          <w:color w:val="auto"/>
        </w:rPr>
        <w:t>of the Company Disclosure Letter lists (A) each item of Company Intellectual Property that is issued by or registered or pending with a Governmental Authority or domain name registrar as of the date of this Agreement (“</w:t>
      </w:r>
      <w:r>
        <w:rPr>
          <w:rFonts w:ascii="Times New Roman" w:cs="Times New Roman" w:eastAsia="Times New Roman" w:hAnsi="Times New Roman"/>
          <w:sz w:val="18"/>
          <w:szCs w:val="18"/>
          <w:u w:val="single" w:color="auto"/>
          <w:color w:val="auto"/>
        </w:rPr>
        <w:t>Company Registered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specifying as to each item, as applicable: (i) the title, mark, or design; (ii) the record owner; (iii) the jurisdiction by or in which it has been issued, registered, or filed; (iv) the patent, registration, or application serial number; and (v) the issue, registration, or filing date; and the current status; (B) all material unregistered Trademarks included in the Company Intellectual Property; (C) all Company Software; and (D) a correct, current, and complete list of all social media accounts used in the Company and its Subsidiaries business. The Company or one of its Subsidiaries is the sole and exclusive beneficial and record owner of all Company Registered Intellectual Property. To the knowledge of the Company, all Company Registered Intellectual Property is subsisting and (excluding any pending applications included in the Company Registered Intellectual Property) is valid and enforceable. All assignments and other instruments necessary to establish of record the Company’s and its Subsidiaries’ ownership interest in the Company Registered Intellectual Property have been validly executed, delivered, and filed with the relevant Governmental Authorities and authorized registrars.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or one of its Subsidiaries owns, free and clear of all Liens (other than Permitted Liens) all Company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Without limiting the generality of the foregoing, and except as set forth in </w:t>
      </w:r>
      <w:r>
        <w:rPr>
          <w:rFonts w:ascii="Times New Roman" w:cs="Times New Roman" w:eastAsia="Times New Roman" w:hAnsi="Times New Roman"/>
          <w:sz w:val="18"/>
          <w:szCs w:val="18"/>
          <w:u w:val="single" w:color="auto"/>
          <w:color w:val="auto"/>
        </w:rPr>
        <w:t>Section 4.21(a) </w:t>
      </w:r>
      <w:r>
        <w:rPr>
          <w:rFonts w:ascii="Times New Roman" w:cs="Times New Roman" w:eastAsia="Times New Roman" w:hAnsi="Times New Roman"/>
          <w:sz w:val="18"/>
          <w:szCs w:val="18"/>
          <w:color w:val="auto"/>
        </w:rPr>
        <w:t>of the Company Disclosure Letter,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have entered into written agreements with every current and former employee and independent contractor who, in each case, has created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material Intellectual Property for or on behalf of the Company or any of its Subsidiaries, whereby such employees and independent contractors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to the Company or a Subsidiary of the Company a present, irrevocable assignment of all of their right, title and interest in such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(ii) irrevocably waive any right or interest, including any moral rights, regarding any such Intellectual Property, to the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To the knowledge of Company, the Company or one of its Subsidiaries have valid and continuing rights to all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necessary and sufficient for the conduct of the business of the Company and its Subsidiaries as presently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and warranty in this sentence does not constitute a representation and warranty of non-infringement of the Intellectual Property of any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To the knowledge of Company, the Company, its Subsidiaries, and the conduct of the business of the Company and its Subsidiaries (including the creation, development, licensing, marketing, importation, offering for sale, sale, or use of the products and services of the business of the Company and its Subsidiaries) as currently conducted and as formerly conducted in the six (6) years preceding the date of this Agreement, have not infringed upon, misappropriated or otherwise violated the Intellectual Property of any third Person and do not infringe upon, misappropriate or otherwise violate the Intellectual Property of any third Person. As of the date of this Agreement, there is no action pending or threatened in writing to which the Company or any Subsidiary of the Company is a named party, or, to the Company’s knowledge, for which any other Person is entitled to be indemnified, defended, held harmless, or reimbursed by the Company or any Subsidiary of the Company, in each case that (i) alleges the infringement, misappropriation or other violation of the Intellectual Property of any third Person or (ii) challenges the ownership, use, validity or enforceability of any Company Intellectual Property. There has not been any such action brought or threatened in writing in the past six (6) years, and to the knowledge of the Company, there are no facts or circumstances that could reasonably be expected to give rise to any such Action.  </w:t>
      </w:r>
    </w:p>
    <w:p>
      <w:pPr>
        <w:spacing w:after="0" w:line="21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Section 4.21(d) </w:t>
      </w:r>
      <w:r>
        <w:rPr>
          <w:rFonts w:ascii="Times New Roman" w:cs="Times New Roman" w:eastAsia="Times New Roman" w:hAnsi="Times New Roman"/>
          <w:sz w:val="18"/>
          <w:szCs w:val="18"/>
          <w:color w:val="auto"/>
        </w:rPr>
        <w:t>of the Company Disclosure Letter, to the knowledge of the Company (i) no Person is infringing upon, misappropriating or otherwise violating any material Company Intellectual Property in any material respect, and (ii) the Company and its Subsidiaries have not sent to any Person any written notice, charge, complaint, claim or other written assertion against such third Person claiming infringement, violation or misappropriation by such third Person of any material Company Intellectual Property.  </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(e)            The Company and its Subsidiaries have made available to Acquiror a complete and accurate copy of each standard form of IP Agreement of the Company and its Subsidiaries, used by Company and its Subsidiaries within the last three (3) years. Except as set forth on </w:t>
      </w:r>
      <w:r>
        <w:rPr>
          <w:rFonts w:ascii="Times New Roman" w:cs="Times New Roman" w:eastAsia="Times New Roman" w:hAnsi="Times New Roman"/>
          <w:sz w:val="18"/>
          <w:szCs w:val="18"/>
          <w:u w:val="single" w:color="auto"/>
          <w:color w:val="auto"/>
        </w:rPr>
        <w:t>Section 4.21(e) </w:t>
      </w:r>
      <w:r>
        <w:rPr>
          <w:rFonts w:ascii="Times New Roman" w:cs="Times New Roman" w:eastAsia="Times New Roman" w:hAnsi="Times New Roman"/>
          <w:sz w:val="18"/>
          <w:szCs w:val="18"/>
          <w:color w:val="auto"/>
        </w:rPr>
        <w:t xml:space="preserve">of the Company Disclosure Letter, within the last three (3) years, the Company and its Subsidiaries have not granted any Person rights to use any Company Software except pursuant to a Contract either in (a) a form made available to Acquiror pursuant to this </w:t>
      </w:r>
      <w:r>
        <w:rPr>
          <w:rFonts w:ascii="Times New Roman" w:cs="Times New Roman" w:eastAsia="Times New Roman" w:hAnsi="Times New Roman"/>
          <w:sz w:val="18"/>
          <w:szCs w:val="18"/>
          <w:u w:val="single" w:color="auto"/>
          <w:color w:val="auto"/>
        </w:rPr>
        <w:t>Section 4.21(e) </w:t>
      </w:r>
      <w:r>
        <w:rPr>
          <w:rFonts w:ascii="Times New Roman" w:cs="Times New Roman" w:eastAsia="Times New Roman" w:hAnsi="Times New Roman"/>
          <w:sz w:val="18"/>
          <w:szCs w:val="18"/>
          <w:color w:val="auto"/>
        </w:rPr>
        <w:t xml:space="preserve">without material deviations, and which represent the legal, valid and binding obligations of the Company or the Subsidiary of the Company party thereto, subject to the Enforceability Exceptions and, to the knowledge of the Company, represent the legal, valid and binding obligations of the counterparties thereto, subject to the Enforceability Exceptions, or (b) pursuant to a Contract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the Company Disclosure Letter.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The Company and its Subsidiaries have taken commercially reasonable measures to protect the Company Intellectual Property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the confidentiality of trade secrets and other confidential information included therein. To the knowledge of the Company, there has not been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unauthorized disclosure of or unauthorized access to any material trade secrets or other material confidential information to any Person in a manner that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or may result in the misappropriation of, or loss of trade secret or other rights in and to such information to the detriment of the Company,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 to the knowledge of the Company, such Person to whom the Company or any of its Subsidiaries has a Contract with confidentiality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Company and its Subsidiaries are in actual possession of the source code necessary to compile and operate all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No source code for any Company Software (excluding Open Source Materials) has been delivered, licensed or made available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Subsidiaries to, or accessed by, any escrow agent or other Person, other than employees or independent contractors subject to written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agreements restricting the disclosure and use of such source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No funding, facilities or resources of any Governmental Authority or any research or academic institution was used in the creation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development of any material Company Intellectual Property or other material Intellectual Property created or developed by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 a manner that has resulted in such Governmental Authority or research or academic institution having any ownership of or right to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            The current version of the Company Software substantially conforms to all applicable contractual commitments. To the knowledge of the Company, the current version of the Company Software does not contain any (i) undisclosed or hidden device or feature designed to disrupt, disable, or otherwise impair the functioning of any Software or any “back door,” “time bomb”, “Trojan horse,” “virus”, “worm,” contaminants, “drop dead device,” or other malicious code or routines that enable or permit the unauthorized access, unauthorized disablement or unauthorized erasure, of any Company System, or (ii)  except as would not reasonably be expected to be material to the business of Company and its Subsidiaries, “bugs”, faults, or errors.  </w:t>
      </w:r>
    </w:p>
    <w:p>
      <w:pPr>
        <w:spacing w:after="0" w:line="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(j)            The Company and its Subsidiaries own, or have a valid right to access and use, the Company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and warranty in this sentence does not constitute a representation and warranty of non-infringement of the Intellectual Property of any third Person. The Company Systems constitute all the information technology systems infrastructure reasonably necessary to carry on the businesses of the Company and its Subsidiaries as currently conducted. The Company takes and has taken commercially reasonable measures, including (if applicable) entering into Contracts with third parties pursuant to which such third parties operate the Company Systems on behalf of the Company, to maintain and protect the performance, integrity and security of the Company Systems and to back up such Company Systems. In the past three (3) years (i) to the Company’s knowledge, there have been no material breaches of the security of the Company Systems, and (ii) there have been no disruptions in any Company Systems that has, or is reasonably likely to materially adversely affect the Company’s or its Subsidiaries’ businesses or operations.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Section 4.21(k) </w:t>
      </w:r>
      <w:r>
        <w:rPr>
          <w:rFonts w:ascii="Times New Roman" w:cs="Times New Roman" w:eastAsia="Times New Roman" w:hAnsi="Times New Roman"/>
          <w:sz w:val="18"/>
          <w:szCs w:val="18"/>
          <w:color w:val="auto"/>
        </w:rPr>
        <w:t>of the Company Disclosure Letter sets forth a correct, current, and complete list of each item of Open Source Material that is or has been included, incorporated or embedded in, linked to, combined, made available or distributed with any Company Software by the Company or any of its Subsidiaries, including for each item of Open Source Material, (i) the applicable Company Software and (ii) the name and version number of the applicable license agreement. No Open Source Material is or has been included, incorporated or embedded in, linked to, combined, made available or distributed with any Company Software by the Company or any of its Subsidiaries, in each case, in a manner that has required the Company or any Subsidiary: (A) to distribute, make available, license or disclose to any Person the source code to any Company Software (other than the Open Source Material itself); (B) to distribute, make available, or license any Company Software (other than the Open Source Material itself) without charge or at a reduced or nominal charge; (C) to distribute, make available, license or disclose any Company Software (other than the Open Source Material itself) for the purpose of making modifications or derivative works; or (D) to grant a license to, or refrain from asserting of enforcing any Company Intellectual Property. Except as would not reasonably be expected to have a Company Material Adverse Effect, the Company and its Subsidiaries are in material compliance with the terms and conditions of the applicable Open Source Licenses (including all notice and attribution requirements) for the Open Source Materials that are included, incorporated or embedded in, linked to, combined, made available or distributed with any Company Software.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(l)            Except as would not reasonably be expected to be material to the business of Company and its Subsidiaries, neither the execution and delivery of this Agreement nor the consummation of the transactions contemplated by this Agreement will result in: (i) the loss or impairment of any Company Intellectual Property; (ii) the release, disclosure, provision or delivery of, or the requirement to release, disclose, provide or deliver, any source code constituting Company Software to any third Person; (iii) the grant, assignment or transfer of, or the requirement to grant, assign or transfer, to any other Person of any license, ownership or other right or interest in, to or under any Company Intellectual Property; or (iv) the obligation to pay any additional consideration to, or the reduction of any payments from, any Person with respect to any Company Intellectual Property.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4.22         </w:t>
      </w:r>
      <w:r>
        <w:rPr>
          <w:rFonts w:ascii="Times New Roman" w:cs="Times New Roman" w:eastAsia="Times New Roman" w:hAnsi="Times New Roman"/>
          <w:sz w:val="18"/>
          <w:szCs w:val="18"/>
          <w:u w:val="single" w:color="auto"/>
          <w:color w:val="auto"/>
        </w:rPr>
        <w:t>  Privacy and Cybersecurity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Except as would not reasonably be expected to be material to the business of Company and its Subsidiaries, the Company and its Subsidiaries are in compliance with, and during the three (3) years preceding the date of this Agreement have been in compliance with, (i) all applicable Privacy Laws, including requirements thereunder to maintain privacy policies and notices regarding Personal Information, and (ii) all of the Company’s and its Subsidiaries’ internal and publicly facing privacy policies and notices regarding Personal Information, and (iii) the Company’s and its Subsidiaries’ contractual obligations concerning cybersecurity, data security and the security of the Company’s and each of its Subsidiaries’ information technology systems and processing of Personal Information. Except as would not reasonably be expected to be material to the business of Company and its Subsidiaries, the Company and its Subsidiaries have implemented and maintained policies, procedures and systems as are required by Privacy Laws for receiving and appropriately responding to requests from individuals concerning their Personal Information. There are no Actions by any Person (including any Governmental Authority), to which the Company or any of the Company’s Subsidiaries is a named party, pending or to the knowledge of the Company threatened against the Company or its Subsidiaries alleging a violation of any (i) Privacy Laws, or (ii) contractual commitments (including any applicable privacy policies) of the Company or any of the Company’s Subsidiaries with respect to any Personal Information.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To the knowledge of the Company, during the three (3) years preceding the date of this Agreement, (i) there have been no actual or reasonably suspected instances of data breaches, security incidents, or misuse of or unauthorized use of, access to, intrusions into, disruptions of, or data loss involving Company Systems which would, individually or in the aggregate, reasonably be expected to result in a Company Material Adverse Effect (a “</w:t>
      </w:r>
      <w:r>
        <w:rPr>
          <w:rFonts w:ascii="Times New Roman" w:cs="Times New Roman" w:eastAsia="Times New Roman" w:hAnsi="Times New Roman"/>
          <w:sz w:val="18"/>
          <w:szCs w:val="18"/>
          <w:u w:val="single" w:color="auto"/>
          <w:color w:val="auto"/>
        </w:rPr>
        <w:t>Data Breach</w:t>
      </w:r>
      <w:r>
        <w:rPr>
          <w:rFonts w:ascii="Times New Roman" w:cs="Times New Roman" w:eastAsia="Times New Roman" w:hAnsi="Times New Roman"/>
          <w:sz w:val="18"/>
          <w:szCs w:val="18"/>
          <w:color w:val="auto"/>
        </w:rPr>
        <w:t>”), (ii) the Company and its Subsidiaries have implemented commercially reasonable measures designed to protect Personal Information in their possession or control against a Data Breach, and (iii) neither the Company nor any Subsidiary of the Company has received any written notice or complaint from any Person with respect to any such Data Breach, nor has any such notice or complaint been threatened in writing against the Company or any of the Company’s Subsidiaries. Neither the Company nor any of its Subsidiaries have provided or been required to provide any written notification to any Person in connection with a Data Breach. Neither the Company nor any of its Subsidiaries has paid (i) any perpetrator of any data breach incident or cyber-attack or (ii) any third party with actual or alleged information about any data breach incident or cyber-attack.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current third-party services providers, outsourcers, processors or other third parties who currently process, store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handle any Personal Information for or on behalf of the Company or any of its Subsidiaries have contractually agreed to (i) comply with applicable Privacy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(ii) maintain the confidentiality of Personal Information processed on behalf of the Company or any of its Subsidiaries and, (iii) maintain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appropriate technical, physical and administrative safeguards to protect and secure such Personal Information from loss, theft, misuse or unauthorized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use, modification, alteration, destruction or disclosure. To the knowledge of the Company, such third parties have not (A) suffered any Data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Company’s or any of its Subsidiaries’ Personal Information, (B) breached any obligations relating to the Company’s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Personal Information or (C) violated any Privacy Laws in relation to the Company’s or any of its Subsidiaries’ Personal Information.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the Company, no third party who has provided any Personal Information to the Company and its Subsidiaries has done so in violation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Privacy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As of the date of this Agreement, neither the Company nor any of its Subsidiaries is subject to any contractual requirements or other legal obligations that, following the Closing, would prohibit Acquiror, the Company, or any of the Company’s Subsidiaries from receiving, accessing, storing or using any Personal Information in the manner in which the Company or the respective Subsidiary received, accessed, stored and used such Personal Information prior to the date of this Agreement. The execution, delivery and performance of this Agreement by the Company does not violate its obligations under applicable Privacy Laws, the Company’s privacy policies and applicable contractual obligations of the Company or any of its Subsidiaries regarding its collection, use or disclosure of Personal Information.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4.23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To the knowledge of the Company, the Company and its Subsidiaries are, and for the past three (3) years have been, in compliance in all material respects with all applicable Environmental Laws, which compliance includes obtaining, maintaining and complying in all material respects with all material Licenses required by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(b)            Neither the Company nor its Subsidiaries has received written notice that it is subject to any current Governmental Order relating to any material non-compliance with Environmental Laws by the Company or its Subsidiaries or the investigation, sampling, monitoring, treatment, remediation, removal or cleanup of any material release of Hazardous Materials.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No material Action is pending or, to the knowledge of the Company, threatened with respect to the Company’s and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or liability under Environmental Laws, and, to the knowledge of the Company, there are no facts or circumstances which could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form the basis of such an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(d)            In the past three (3) years, (i) the Company has not received written notice that the Company or any of its Subsidiaries has released Hazardous Materials at, on, in, under or from the Leased Real Property, the Owned Real Property or any other location, including any properties formerly owned, leased or operated by the Company or any of its Subsidiaries and, (ii) neither the Company nor any of its Subsidiaries has released any Hazardous Materials at any location, in each case for which there was a material obligation under Environmental Law to perform any investigation or remedial action.  </w:t>
      </w:r>
    </w:p>
    <w:p>
      <w:pPr>
        <w:spacing w:after="0" w:line="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            The Company has made available to Acquiror all material environmental reports, assessments, audits and inspections, including copies of all Phase I and Phase II environmental site assessments relating to the Leased Real Property and Owned Real Property, or other location formerly owned, leased or operated by the Company or any of its Subsidiaries, prepared within the past three (3) years and in the Company’s possession, and any material communications or notices concerning any material non-compliance of the Company or any of the Company’s Subsidiaries with, or material liability of the Company or any of the Company’s Subsidiaries under, Environmental Law.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4.24         </w:t>
      </w:r>
      <w:r>
        <w:rPr>
          <w:rFonts w:ascii="Times New Roman" w:cs="Times New Roman" w:eastAsia="Times New Roman" w:hAnsi="Times New Roman"/>
          <w:sz w:val="18"/>
          <w:szCs w:val="18"/>
          <w:u w:val="single" w:color="auto"/>
          <w:color w:val="auto"/>
        </w:rPr>
        <w:t>  Absence of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From the date of the most recent balance sheet included in the Financial Statements to the date of this Agreement, there has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any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Since the date of the most recent balance sheet included in the Financial Statements, except (i) as set forth on </w:t>
      </w:r>
      <w:r>
        <w:rPr>
          <w:rFonts w:ascii="Times New Roman" w:cs="Times New Roman" w:eastAsia="Times New Roman" w:hAnsi="Times New Roman"/>
          <w:sz w:val="18"/>
          <w:szCs w:val="18"/>
          <w:u w:val="single" w:color="auto"/>
          <w:color w:val="auto"/>
        </w:rPr>
        <w:t>Section 4.24(b) </w:t>
      </w:r>
      <w:r>
        <w:rPr>
          <w:rFonts w:ascii="Times New Roman" w:cs="Times New Roman" w:eastAsia="Times New Roman" w:hAnsi="Times New Roman"/>
          <w:sz w:val="18"/>
          <w:szCs w:val="18"/>
          <w:color w:val="auto"/>
        </w:rPr>
        <w:t>of the Company Disclosure Letter and (ii) in connection with the transactions contemplated by this Agreement and the other documents to which the Company is a party contemplated hereby, through and including the date of this Agreement, the Company and its Subsidiaries have carried on their respective businesses and operated their properties in all material respects in the ordinary course of business.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(c)            Since the date of the most recent balance sheet included in the Financial Statements, except (i) as set forth on </w:t>
      </w:r>
      <w:r>
        <w:rPr>
          <w:rFonts w:ascii="Times New Roman" w:cs="Times New Roman" w:eastAsia="Times New Roman" w:hAnsi="Times New Roman"/>
          <w:sz w:val="17"/>
          <w:szCs w:val="17"/>
          <w:u w:val="single" w:color="auto"/>
          <w:color w:val="auto"/>
        </w:rPr>
        <w:t>Section 4.24(c) </w:t>
      </w:r>
      <w:r>
        <w:rPr>
          <w:rFonts w:ascii="Times New Roman" w:cs="Times New Roman" w:eastAsia="Times New Roman" w:hAnsi="Times New Roman"/>
          <w:sz w:val="17"/>
          <w:szCs w:val="17"/>
          <w:color w:val="auto"/>
        </w:rPr>
        <w:t>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Letter and (ii) in connection with the transactions contemplated by this Agreement and the other documents to which the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party contemplated hereby, neither the Company nor any of its Subsidiaries has taken or permitted to occur any action that, were it to be taken from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after the date hereof, would require the prior written consent of Acquiror pursuant to </w:t>
      </w:r>
      <w:r>
        <w:rPr>
          <w:rFonts w:ascii="Times New Roman" w:cs="Times New Roman" w:eastAsia="Times New Roman" w:hAnsi="Times New Roman"/>
          <w:sz w:val="18"/>
          <w:szCs w:val="18"/>
          <w:u w:val="single" w:color="auto"/>
          <w:color w:val="auto"/>
        </w:rPr>
        <w:t>Section 6.1(a)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 </w:t>
      </w:r>
      <w:r>
        <w:rPr>
          <w:rFonts w:ascii="Times New Roman" w:cs="Times New Roman" w:eastAsia="Times New Roman" w:hAnsi="Times New Roman"/>
          <w:sz w:val="18"/>
          <w:szCs w:val="18"/>
          <w:color w:val="auto"/>
        </w:rPr>
        <w:t>or,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the foregoing,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4.25         </w:t>
      </w:r>
      <w:r>
        <w:rPr>
          <w:rFonts w:ascii="Times New Roman" w:cs="Times New Roman" w:eastAsia="Times New Roman" w:hAnsi="Times New Roman"/>
          <w:sz w:val="18"/>
          <w:szCs w:val="18"/>
          <w:u w:val="single" w:color="auto"/>
          <w:color w:val="auto"/>
        </w:rPr>
        <w:t>  Anti-Corruption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Neither the Company nor any of its Subsidiaries, nor any director, officer or employee, nor, to the knowledge of the Company,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while acting on behalf of the Company or any of the Company’s Subsidiaries, has offered or given anything of value to any official or employee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any political party or official thereof, or any candidate for political office or any other Person, in any such case while knowing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all or a portion of such money or thing of value will be offered, given or promised, directly or indirectly, to any official or employee of a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Authority or candidate for political office, for the purpose of (i) influencing any act or decision of such government official or employee, candidate, party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(ii) inducing such government official or employee, candidate, party or campaign to do or omit to do any act in violation of a lawful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obtaining or retaining business for or with any person, (iv) expediting or securing the performance of official acts of a routine nature, (v) securing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improper advantage, or (vi) otherwise in violation of the Anti-Bribery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Neither the Company nor any of its Subsidiaries has established or maintained any unlawful fund of corporate monies or any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Each of the Company and its Subsidiaries, has instituted and maintains policies and procedures reasonably designed to ensure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in all material respects with the Anti-Bribery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To the knowledge of the Company, as of the date hereof, there are no current or pending internal investigations, third party investigations (including by any Governmental Authority), or internal or external audits that address any material allegations or information concerning possible material violations of the Anti-Bribery Laws related to the Company or any of the Company’s Subsidiaries.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4.26         </w:t>
      </w:r>
      <w:r>
        <w:rPr>
          <w:rFonts w:ascii="Times New Roman" w:cs="Times New Roman" w:eastAsia="Times New Roman" w:hAnsi="Times New Roman"/>
          <w:sz w:val="18"/>
          <w:szCs w:val="18"/>
          <w:u w:val="single" w:color="auto"/>
          <w:color w:val="auto"/>
        </w:rPr>
        <w:t>  Sanctions and International Trade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The Company and its Subsidiaries (i) are, and have been for the past five (5) years, in compliance in all material respects with all applicable International Trade Laws and Sanctions Laws, and (ii) have obtained all required licenses, consents, notices, waivers, approvals, orders, registrations, declarations, or other authorizations from, and have made all requisite filings with, any applicable Governmental Authority for the import, export, re-export, deemed export, deemed re-export, or transfer required under the International Trade Laws and Sanctions Laws (the “</w:t>
      </w:r>
      <w:r>
        <w:rPr>
          <w:rFonts w:ascii="Times New Roman" w:cs="Times New Roman" w:eastAsia="Times New Roman" w:hAnsi="Times New Roman"/>
          <w:sz w:val="18"/>
          <w:szCs w:val="18"/>
          <w:u w:val="single" w:color="auto"/>
          <w:color w:val="auto"/>
        </w:rPr>
        <w:t>Export Approvals</w:t>
      </w:r>
      <w:r>
        <w:rPr>
          <w:rFonts w:ascii="Times New Roman" w:cs="Times New Roman" w:eastAsia="Times New Roman" w:hAnsi="Times New Roman"/>
          <w:sz w:val="18"/>
          <w:szCs w:val="18"/>
          <w:color w:val="auto"/>
        </w:rPr>
        <w:t>”). There are no pending or, to the knowledge of the Company threatened, complaints, charges, voluntary disclosures or Actions against the Company or any of the Company’s Subsidiaries related to any International Trade Laws or Sanctions Laws or any Export Approvals.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Neither the Company nor any of its Subsidiaries nor any of their respective directors or officers, or to the knowledge of the Company, any of the Company’s or its Subsidiaries’ respective employees, agents, representatives or other Persons acting on behalf of the Company or any of the Company’s Subsidiaries, (i) is, or has been, a Sanctioned Person or (ii) during the past five (5) years, has transacted business directly or knowingly indirectly with any Sanctioned Person or in any Sanctioned Country in violation of applicable Sanctions Laws.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4.27         </w:t>
      </w:r>
      <w:r>
        <w:rPr>
          <w:rFonts w:ascii="Times New Roman" w:cs="Times New Roman" w:eastAsia="Times New Roman" w:hAnsi="Times New Roman"/>
          <w:sz w:val="17"/>
          <w:szCs w:val="17"/>
          <w:u w:val="single" w:color="auto"/>
          <w:color w:val="auto"/>
        </w:rPr>
        <w:t>  Vendors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4.27</w:t>
      </w:r>
      <w:r>
        <w:rPr>
          <w:rFonts w:ascii="Times New Roman" w:cs="Times New Roman" w:eastAsia="Times New Roman" w:hAnsi="Times New Roman"/>
          <w:sz w:val="17"/>
          <w:szCs w:val="17"/>
          <w:color w:val="auto"/>
        </w:rPr>
        <w:t xml:space="preserve"> of the Company Disclosure Letter sets forth, as of the date of this Agreement, the top ten (10) vendors 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aggregate Dollar value of the Company’s and its Subsidiaries’ transaction volume with such counterparty during the trailing twelve months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ending December 31, 2022 (the “</w:t>
      </w:r>
      <w:r>
        <w:rPr>
          <w:rFonts w:ascii="Times New Roman" w:cs="Times New Roman" w:eastAsia="Times New Roman" w:hAnsi="Times New Roman"/>
          <w:sz w:val="18"/>
          <w:szCs w:val="18"/>
          <w:u w:val="single" w:color="auto"/>
          <w:color w:val="auto"/>
        </w:rPr>
        <w:t>Top Vendors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4.28         </w:t>
      </w:r>
      <w:r>
        <w:rPr>
          <w:rFonts w:ascii="Times New Roman" w:cs="Times New Roman" w:eastAsia="Times New Roman" w:hAnsi="Times New Roman"/>
          <w:sz w:val="17"/>
          <w:szCs w:val="17"/>
          <w:u w:val="single" w:color="auto"/>
          <w:color w:val="auto"/>
        </w:rPr>
        <w:t>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4.28</w:t>
      </w:r>
      <w:r>
        <w:rPr>
          <w:rFonts w:ascii="Times New Roman" w:cs="Times New Roman" w:eastAsia="Times New Roman" w:hAnsi="Times New Roman"/>
          <w:sz w:val="17"/>
          <w:szCs w:val="17"/>
          <w:color w:val="auto"/>
        </w:rPr>
        <w:t xml:space="preserve"> of the Company Disclosure Letter sets forth, as of the date of this Agreement, the top ten (10) customers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aggregate Dollar value of the Company’s and its Subsidiaries’ revenue with such counterparty during the trailing twelve months for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December 31, 2022 (the “</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4.29         </w:t>
      </w:r>
      <w:r>
        <w:rPr>
          <w:rFonts w:ascii="Times New Roman" w:cs="Times New Roman" w:eastAsia="Times New Roman" w:hAnsi="Times New Roman"/>
          <w:sz w:val="18"/>
          <w:szCs w:val="18"/>
          <w:u w:val="single" w:color="auto"/>
          <w:color w:val="auto"/>
        </w:rPr>
        <w:t>  Government Contracts</w:t>
      </w:r>
      <w:r>
        <w:rPr>
          <w:rFonts w:ascii="Times New Roman" w:cs="Times New Roman" w:eastAsia="Times New Roman" w:hAnsi="Times New Roman"/>
          <w:sz w:val="18"/>
          <w:szCs w:val="18"/>
          <w:color w:val="auto"/>
        </w:rPr>
        <w:t>. Neither the Company nor any of its Subsidiaries is party to: (i) any Contract, including an individual task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delivery order, purchase order, basic ordering agreement, letter Contract or blanket purchase agreement between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on one hand, and any Governmental Authority, on the other hand, or (ii) any subcontract or other Contract by which the Company or one of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has agreed to provide goods or services through a prime contractor directly to a Governmental Authority that is expressly identified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subcontract or other Contract as the ultimate consumer of such goods or services. None of the Company or any of its Subsidiaries have provided any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 quotation or proposal to sell products made or services provided by the Company or any of its Subsidiaries that, if accepted or awarded, would lead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Contract or subcontract of the type described by the foregoing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4.30          </w:t>
      </w:r>
      <w:r>
        <w:rPr>
          <w:rFonts w:ascii="Times New Roman" w:cs="Times New Roman" w:eastAsia="Times New Roman" w:hAnsi="Times New Roman"/>
          <w:sz w:val="17"/>
          <w:szCs w:val="17"/>
          <w:u w:val="single" w:color="auto"/>
          <w:color w:val="auto"/>
        </w:rPr>
        <w:t>  No Additional Representations or Warranties</w:t>
      </w:r>
      <w:r>
        <w:rPr>
          <w:rFonts w:ascii="Times New Roman" w:cs="Times New Roman" w:eastAsia="Times New Roman" w:hAnsi="Times New Roman"/>
          <w:sz w:val="17"/>
          <w:szCs w:val="17"/>
          <w:color w:val="auto"/>
        </w:rPr>
        <w:t xml:space="preserve">. Except as provided in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neither the Company nor any of its Affiliates,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any of their respective directors, managers, officers, employees, equityholders, partners, members or representatives has made, or is making,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or warranty whatsoever to Acquiror or Merger Sub or their Affiliates and no such party shall be liable in respect of the accuracy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completeness of any information provided to Acquiror or Merger Sub or their Affiliates. Without limiting the foregoing, each of Acquiror and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that Acquiror and Merger Sub and their respective advisors have made their own investigation of the Company and its Subsidiaries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are not relying on any representation or warranty whatsoever as to the condition, merchantability, suitability or fitness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particular purpose or trade as to any of the assets of the Company or any of its Subsidiaries, the prospects (financial or otherwise) or the viability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likelihood of success of the business of the Company and its Subsidiaries as conducted after the Closing, as contained in any materials provided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its Subsidiaries or any of their respective Affiliates or any of their or their Affiliates’ respective directors, officers, employees,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members or representatives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 AND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Except as set forth in (i) any Acquiror SEC Filings filed or submitted on or prior to the date hereof (excluding (a) any disclosures in any risk factors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that do not constitute statements of fact, disclosures in any forward-looking statements disclaimer and other disclosures that are 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predictive or forward-looking in nature and (b) any exhibits or other documents appended thereto) or (ii) the disclosure letter delivered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and Merger Sub to the Company (the “</w:t>
      </w:r>
      <w:r>
        <w:rPr>
          <w:rFonts w:ascii="Times New Roman" w:cs="Times New Roman" w:eastAsia="Times New Roman" w:hAnsi="Times New Roman"/>
          <w:sz w:val="18"/>
          <w:szCs w:val="18"/>
          <w:u w:val="single" w:color="auto"/>
          <w:color w:val="auto"/>
        </w:rPr>
        <w:t>Acquiror Disclosure Letter</w:t>
      </w:r>
      <w:r>
        <w:rPr>
          <w:rFonts w:ascii="Times New Roman" w:cs="Times New Roman" w:eastAsia="Times New Roman" w:hAnsi="Times New Roman"/>
          <w:sz w:val="18"/>
          <w:szCs w:val="18"/>
          <w:color w:val="auto"/>
        </w:rPr>
        <w:t xml:space="preserve">”) on the date of this Agreement (each section of which, subject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qualifies the correspondingly numbered and lettered representations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Acquiror and Merger Sub represent and warrant to the Company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Company Organization</w:t>
      </w:r>
      <w:r>
        <w:rPr>
          <w:rFonts w:ascii="Times New Roman" w:cs="Times New Roman" w:eastAsia="Times New Roman" w:hAnsi="Times New Roman"/>
          <w:sz w:val="18"/>
          <w:szCs w:val="18"/>
          <w:color w:val="auto"/>
        </w:rPr>
        <w:t>. Each of Acquiror and Merger Sub has been duly incorporated, organized or formed and is validly existing as a corporation or exempted company in good standing (or equivalent status, to the extent that such concept exists) under the Laws of its jurisdiction of incorporation, organization or formation, and has the requisite company power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incident to this Agreement and the Transactions. All of the equity interests of Merger Sub are held directly by Acquiror. Each of Acquiror and Merger Sub is duly licensed or qualified and in good standing as a foreign corporation or company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Each of Acquiror and Merger Sub has all requisite corporate power and authority to (a) execute and deliver this Agreement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contemplated hereby, and (b) subject to obtaining the Acquiror Stockholder Approval, consummate the Transactions and perform all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performed by it hereunder and thereunder. The execution and delivery of this Agreement and the documents contemplated hereby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Transactions have been (i) duly and validly authorized and approved by the Acquiror Board and by Acquiror as the sole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Merger Sub and (ii) determined by the Acquiror Board as advisable to Acquiror and the Acquiror Stockholders and (iii) recommended for approval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Acquiror Stockholders. No other company proceeding on the part of Acquiror or Merger Sub is necessary to authorize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contemplated hereby (other than the Acquiror Stockholder Approval). This Agreement has been, and at or prior to the Closing,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contemplated hereby will be, duly and validly executed and delivered by each of Acquiror and/or Merger Sub, as applicable,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constitutes, and at or prior to the Closing, the other documents contemplated hereby will constitute, a legal, valid and binding obligation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Acquiror and/or Merger Sub, as applicable, enforceable against Acquiror and/or Merger Sub, as applicable, in accordance with its terms,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Enforceability Exceptions.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Assuming that a quorum (as determined pursuant to Acquiror’s Governing Documents) is present, the Acquiror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is the only vote of any of Acquiror’s capital stock necessary in connection with entry into this Agreement by Acquiror and Merger Sub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Transactions, including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At a meeting duly called and held, the Acquiror Board has unanimously approved the transactions contemplated by this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5.3           </w:t>
      </w:r>
      <w:r>
        <w:rPr>
          <w:rFonts w:ascii="Times New Roman" w:cs="Times New Roman" w:eastAsia="Times New Roman" w:hAnsi="Times New Roman"/>
          <w:sz w:val="17"/>
          <w:szCs w:val="17"/>
          <w:u w:val="single" w:color="auto"/>
          <w:color w:val="auto"/>
        </w:rPr>
        <w:t>  No Conflict</w:t>
      </w:r>
      <w:r>
        <w:rPr>
          <w:rFonts w:ascii="Times New Roman" w:cs="Times New Roman" w:eastAsia="Times New Roman" w:hAnsi="Times New Roman"/>
          <w:sz w:val="17"/>
          <w:szCs w:val="17"/>
          <w:color w:val="auto"/>
        </w:rPr>
        <w:t>. Subject to the Acquiror Stockholder Approval, the execution and delivery of this Agreement by Acquiror and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and the other documents contemplated hereby by Acquiror and Merger Sub and the consummation of the Transactions do not and will not (a) violate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with any provision of, or result in the breach of or default under the Governing Documents of Acquiror or Merger Sub, (b) violate or conflict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provision of, or result in the breach of, or default under any applicable Law or Governmental Order applicable to Acquiror or Merger Sub, (c) violate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with any provision of, or result in the breach of, result in the loss of any right or benefit, or cause acceleration, or constitute (with or without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or lapse of time or both) a default (or give rise to any right of termination, cancellation or acceleration) under any Contract to which Acquiror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is a party or by which Acquiror or Merger Sub may be bound, or terminate or result in the termination of any such Contract or (d) result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creation of any Lien upon any of the properties or assets of Acquiror or Merger Sub, except, in the case of clauses (b) through (d), to the extent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the foregoing would not (i) have, or would not reasonably be expected to have, individually or in the aggregate, an Acquiror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or (ii) be material to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As of the date of this Agreement, there are no pending or, to the knowledge of Acquiror, threatened Actions against Acquiror or Merger Sub, their respective properties or assets, or, to the knowledge of Acquiror, any of their respective directors, managers, officers or employees (in their capacity as such). As of the date of this Agreement, there are no investigations or other inquiries pending or, to the knowledge of Acquiror, threatened by any Governmental Authority, against Acquiror or Merger Sub, their respective properties or assets, or, to the knowledge of Acquiror, any of their respective directors, managers, officers or employees (in their capacity as such). As of the date of this Agreement, there is no outstanding Governmental Order imposed upon Acquiror or Merger Sub, nor are any assets of Acquiror’s or Merger Sub’s respective businesses bound or subject to any Governmental Order the violation of which would, individually or in the aggregate, reasonably be expected to be material to Acquiror. From their respective dates of inception to the date of this Agreement, Acquiror and Merger Sub have not received any written notice of or been charged with the violation of any Laws, except where such violation has not been, individually or in the aggregate, material to Acquiror.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SEC Filings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otherwise disclosed on </w:t>
      </w:r>
      <w:r>
        <w:rPr>
          <w:rFonts w:ascii="Times New Roman" w:cs="Times New Roman" w:eastAsia="Times New Roman" w:hAnsi="Times New Roman"/>
          <w:sz w:val="18"/>
          <w:szCs w:val="18"/>
          <w:u w:val="single" w:color="auto"/>
          <w:color w:val="auto"/>
        </w:rPr>
        <w:t>Section 5.5(a) </w:t>
      </w:r>
      <w:r>
        <w:rPr>
          <w:rFonts w:ascii="Times New Roman" w:cs="Times New Roman" w:eastAsia="Times New Roman" w:hAnsi="Times New Roman"/>
          <w:sz w:val="18"/>
          <w:szCs w:val="18"/>
          <w:color w:val="auto"/>
        </w:rPr>
        <w:t>of the Acquiror Disclosure Letter, Acquiror has timely filed or furnished all statements, prospectuses, registration statements, forms, reports and documents required to be filed by it with the SEC since December 15, 2021, pursuant to the Exchange Act or the Securities Act (collectively, as they have been amended since the time of their filing through the date hereof, the “</w:t>
      </w:r>
      <w:r>
        <w:rPr>
          <w:rFonts w:ascii="Times New Roman" w:cs="Times New Roman" w:eastAsia="Times New Roman" w:hAnsi="Times New Roman"/>
          <w:sz w:val="18"/>
          <w:szCs w:val="18"/>
          <w:u w:val="single" w:color="auto"/>
          <w:color w:val="auto"/>
        </w:rPr>
        <w:t>Acquiror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Each of the Acquiror SEC Filings, as of the respective date of its filing (or if amended or superseded by a filing prior to the date of this Agreement or the Effective Time, then on the date of such filing),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date of this Agreement or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On the effective date of the Proxy Statement / Registration Statement, and when first filed in accordance with Rule 424(b)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 and/or filed pursuant to Section 14(a) of the Exchange Act, the Proxy Statement / Registration Statement (or any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will comply in all material respects with the applicable requirements of the Securities Act and the Exchange Act. On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Proxy Statement / Registration Statement, the information supplied in writing by Acquiror or Merger Sub for inclusion in the Proxy Statement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will not contain any untrue statement of a material fact or omit to state any material fact required to be stated therein or necessary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to make the statements therein, in light of the circumstances under which they are made, not misleading. On the date of any filing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424(b) under the Securities Act and/or Section 14(a) of the Exchange Act, the date the Proxy Statement / Registration Statement is first mailed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Stockholders, and at the time of the Acquiror Stockholders’ Meeting, the information supplied in writing by Acquiror or Merger Sub for inclusion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Proxy Statement / Registration Statement (together with any amendments or supplements thereto), will not contain any untrue statement of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or omit to state any material fact required to be stated therein or necessary in order to make the statements therein, in light of the circumstances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are made, not misleading. Notwithstanding the foregoing, neither Acquiror nor Merger Sub makes any representation or warranty or 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 statements made or incorporated by reference therein in any of the foregoing documents based on information supplied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Subsidiaries for inclusion therein or (b) any projections or forecast or forward looking statements included in the Proxy Statement /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Internal Controls; Listing; 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Except as not required in reliance on exemptions from various reporting requirements by virtue of Acquiror’s status as an “emerging growth company” within the meaning of the Securities Act, as modified by JOBS Act, Acquiror has established and maintains disclosure controls and procedures (as defined in Rule 13a-15 under the Exchange Act). Such disclosure controls and procedures are designed to ensure that material information relating to Acquiror is made known to Acquiror’s principal executive officer and its principal financial officer by others within those entities, particularly during the periods in which the periodic reports required under the Exchange Act are being prepared. Such disclosure controls and procedures are effective in timely alerting Acquiror’s principal executive officer and principal financial officer to material information required to be included in Acquiror’s periodic reports required under the Exchange Act. Acquiror has established and maintained a system of internal controls over financial reporting (as defined in Rule 13a-15 under the Exchange Act) that is sufficient to provide reasonable assurance regarding the reliability of Acquiror’s financial reporting and the preparation of Acquiror’s financial statements for external purposes in accordance with GAAP and there have been no significant deficiencies or material weakness in Acquiror’s internal control over financial reporting (whether or not remediated) and no change in Acquiror’s control over financial reporting that has materially affected, or is reasonably likely to materially affect Acquiror’s internal control over financial reporting.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Acquiror has not taken any action prohibited by Section 402 of the Sarbanes-Oxley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Acquiror Class A Common Stock is registered pursuant to Section 12(b) of the Exchange Act and is listed for trading on Nasdaq. Except as disclosed in the Acquiror SEC Filings or as otherwise set forth on </w:t>
      </w:r>
      <w:r>
        <w:rPr>
          <w:rFonts w:ascii="Times New Roman" w:cs="Times New Roman" w:eastAsia="Times New Roman" w:hAnsi="Times New Roman"/>
          <w:sz w:val="18"/>
          <w:szCs w:val="18"/>
          <w:u w:val="single" w:color="auto"/>
          <w:color w:val="auto"/>
        </w:rPr>
        <w:t>Section 5.6(c) </w:t>
      </w:r>
      <w:r>
        <w:rPr>
          <w:rFonts w:ascii="Times New Roman" w:cs="Times New Roman" w:eastAsia="Times New Roman" w:hAnsi="Times New Roman"/>
          <w:sz w:val="18"/>
          <w:szCs w:val="18"/>
          <w:color w:val="auto"/>
        </w:rPr>
        <w:t>of the Acquiror Disclosure Letter, there is no Action pending or, to the knowledge of Acquiror, threatened against Acquiror by Nasdaq or the SEC with respect to any intention by such entity to deregister the Acquiror Class A Common Stock or prohibit or terminate the listing of Acquiror Class A Common Stock on Nasdaq.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Except as disclosed in the Acquiror SEC Filings or as otherwise set forth on </w:t>
      </w:r>
      <w:r>
        <w:rPr>
          <w:rFonts w:ascii="Times New Roman" w:cs="Times New Roman" w:eastAsia="Times New Roman" w:hAnsi="Times New Roman"/>
          <w:sz w:val="18"/>
          <w:szCs w:val="18"/>
          <w:u w:val="single" w:color="auto"/>
          <w:color w:val="auto"/>
        </w:rPr>
        <w:t>Section 5.6(d) </w:t>
      </w:r>
      <w:r>
        <w:rPr>
          <w:rFonts w:ascii="Times New Roman" w:cs="Times New Roman" w:eastAsia="Times New Roman" w:hAnsi="Times New Roman"/>
          <w:sz w:val="18"/>
          <w:szCs w:val="18"/>
          <w:color w:val="auto"/>
        </w:rPr>
        <w:t>of the Acquiror Disclosure Letter,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notes contained or incorporated by reference in the Acquiror SEC Filings fairly present in all material respects the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the results of operations, changes in stockholders’ deficit and cash flows of Acquiror as at the respective dates of, and for the periods 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 such financial statements, all in accordance with: (i) GAAP; and (ii) Regulation S-X or Regulation S-K, as applicable, subject, in the case of interim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to normal recurring year-end adjustments (the effect of which will not, individually or in the aggregate, be material) and the omission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notes to the extent permitted by Regulation S-X or Regulation S-K, as applicable. Acquiror has no off-balance sheet arrangements that are not disclosed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Acquiror SEC Filings. No financial statements other than those of Acquiror are required by GAAP to be included in the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Neither Acquiror nor Acquiror’s independent auditors has identified or been made aware of (i) any significant deficiency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weakness in the system of internal accounting controls utilized by Acquiror, (ii) any actual fraud, whether or not material, that involves Acquiror’s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or other employees who have a role in the preparation of financial statements or the internal accounting controls utilized by Acquiror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any claim or allegation regarding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5.7           </w:t>
      </w:r>
      <w:r>
        <w:rPr>
          <w:rFonts w:ascii="Times New Roman" w:cs="Times New Roman" w:eastAsia="Times New Roman" w:hAnsi="Times New Roman"/>
          <w:sz w:val="17"/>
          <w:szCs w:val="17"/>
          <w:u w:val="single" w:color="auto"/>
          <w:color w:val="auto"/>
        </w:rPr>
        <w:t>  Governmental Authorities; Consents</w:t>
      </w:r>
      <w:r>
        <w:rPr>
          <w:rFonts w:ascii="Times New Roman" w:cs="Times New Roman" w:eastAsia="Times New Roman" w:hAnsi="Times New Roman"/>
          <w:sz w:val="17"/>
          <w:szCs w:val="17"/>
          <w:color w:val="auto"/>
        </w:rPr>
        <w:t>. Assuming the truth and completeness of the representations and warranties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this Agreement, no Governmental Authorization of, or designation, declaration or filing with, or notification to,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Person is mandatorily required on the part of Acquiror or Merger Sub with respect to Acquiror’s or Merger Sub’s execution or delivery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the consummation of the Transactions, except for (i) applicable requirements of the HSR Act and the NSI Act, and (ii) as otherwise disclosed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Acquiror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Trust Account</w:t>
      </w:r>
      <w:r>
        <w:rPr>
          <w:rFonts w:ascii="Times New Roman" w:cs="Times New Roman" w:eastAsia="Times New Roman" w:hAnsi="Times New Roman"/>
          <w:sz w:val="18"/>
          <w:szCs w:val="18"/>
          <w:color w:val="auto"/>
        </w:rPr>
        <w:t>. As of the date of this Agreement, Acquiror has at least $45,000,000 in the Trust Account. There are no separate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side letters or other arrangements or understandings (whether written or unwritten, express or implied) that would cause the description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Agreement in the Acquiror SEC Filings to be inaccurate or that would entitle any Person (other than the Acquiror Stockholders holding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Common Stock sold in Acquiror’s initial public offering who shall have elected to redeem their shares of Acquiror Common Stock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Acquiror’s Governing Documents and the underwriters of Acquiror’s initial public offering with respect to deferred underwriting commissions)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proceeds in the Trust Account. Prior to the Closing, none of the funds held in the Trust Account may be released other than (i) to pay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to redeem shares of Acquiror Class A Common Stock in accordance with the provisions of the SPAC’s Governing Documents and the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Trust Agreement is a valid and binding obligation of Acquiror and is in full force and effect and is enforceable in accordance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There are no claims or proceedings pending or, to the knowledge of Acquiror, threatened with respect to the Trust Account. Acquiror has performed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obligations required to be performed by it to date under, and is not in default, breach or delinquent in performance or any other respect (claimed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actual) in connection with, the Trust Agreement, and no event has occurred which, with due notice or lapse of time or both, would constitute such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or breach thereunder. As of the Effective Time, the obligations of Acquiror to dissolve or liquidate pursuant to Acquiror’s Governing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terminate, and as of the Effective Time, Acquiror shall have no obligation whatsoever pursuant to Acquiror’s Governing Documents to dissolve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liquidate the assets of Acquiror by reason of the consummation of the Transactions. To Acquiror’s knowledge, as of the date hereof, following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no Acquiror Stockholder shall be entitled to receive any amount from the Trust Account except to the extent such Acquiror Stockholder is exercising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Acquiror Share Redemption. As of the date hereof, assuming the accuracy of the representations and warranties of the Company contained herein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compliance by the Company with its obligations hereunder, neither Acquiror or Merger Sub have any reason to believe that any of the conditions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funds in the Trust Account will not be satisfied or funds available in the Trust Account will not be available to Acquiror and Merger Sub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5.9           </w:t>
      </w:r>
      <w:r>
        <w:rPr>
          <w:rFonts w:ascii="Times New Roman" w:cs="Times New Roman" w:eastAsia="Times New Roman" w:hAnsi="Times New Roman"/>
          <w:sz w:val="17"/>
          <w:szCs w:val="17"/>
          <w:u w:val="single" w:color="auto"/>
          <w:color w:val="auto"/>
        </w:rPr>
        <w:t>  Investment Company Act; JOBS Act</w:t>
      </w:r>
      <w:r>
        <w:rPr>
          <w:rFonts w:ascii="Times New Roman" w:cs="Times New Roman" w:eastAsia="Times New Roman" w:hAnsi="Times New Roman"/>
          <w:sz w:val="17"/>
          <w:szCs w:val="17"/>
          <w:color w:val="auto"/>
        </w:rPr>
        <w:t>. Acquiror is not an “investment company” or a Person directly or indirectly “controlled” by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an “investment company,” in each case within the meaning of the Investment Company Act. Acquiror constitutes an “emerging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within the meaning of the JOBS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5.10         </w:t>
      </w:r>
      <w:r>
        <w:rPr>
          <w:rFonts w:ascii="Times New Roman" w:cs="Times New Roman" w:eastAsia="Times New Roman" w:hAnsi="Times New Roman"/>
          <w:sz w:val="17"/>
          <w:szCs w:val="17"/>
          <w:u w:val="single" w:color="auto"/>
          <w:color w:val="auto"/>
        </w:rPr>
        <w:t>  Absence of Changes</w:t>
      </w:r>
      <w:r>
        <w:rPr>
          <w:rFonts w:ascii="Times New Roman" w:cs="Times New Roman" w:eastAsia="Times New Roman" w:hAnsi="Times New Roman"/>
          <w:sz w:val="17"/>
          <w:szCs w:val="17"/>
          <w:color w:val="auto"/>
        </w:rPr>
        <w:t>. Since June 30, 2023, (a) there has not been any event or occurrence that has had, or would not reasonably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expected to have, individually or in the aggregate, an Acquiror Material Adverse Effect and (b) except as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Letter, Acquiror and Merger Sub have, in all material respects, conducted their business and operated their properties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consistent with past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No Undisclosed Liabilities</w:t>
      </w:r>
      <w:r>
        <w:rPr>
          <w:rFonts w:ascii="Times New Roman" w:cs="Times New Roman" w:eastAsia="Times New Roman" w:hAnsi="Times New Roman"/>
          <w:sz w:val="18"/>
          <w:szCs w:val="18"/>
          <w:color w:val="auto"/>
        </w:rPr>
        <w:t>. Except for any fees and expenses payable by Acquiror or Merger Sub as a result of or in connection with the consummation of the Transactions, there is no liability, debt or obligation of or claim or judgment against Acquiror or Merger Sub (whether direct or indirect, absolute or contingent, accrued or unaccrued, known or unknown, liquidated or unliquidated, or due or to become due), except for liabilities and obligations (i) reflected or reserved for on the financial statements or disclosed in the notes thereto included in Acquiror SEC Filings, (ii) that have arisen since the date of the most recent balance sheet included in the Acquiror SEC Filings in the ordinary course of business of Acquiror and Merger Sub, or (iii) which would not be, or would not reasonably be expected to be, material to Acquiror.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Capitalization of Acquiror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of the date of this Agreement, the authorized share capital of Acquiror is 301,000,000 consisting of (i) 280,000,000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Class A Common Stock, 30,079,500 of which are issued and outstanding as of the date of this Agreement, (ii) 20,000,000 shares of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of which 9,487,500 shares are issued and outstanding as of the date of this Agreement, and (iii) 1,000,000 preferred shares of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$0.0001 each, of which no shares are issued and outstanding as of the date of this Agreement ((i), (ii) and (iii) collectively, the “</w:t>
      </w:r>
      <w:r>
        <w:rPr>
          <w:rFonts w:ascii="Times New Roman" w:cs="Times New Roman" w:eastAsia="Times New Roman" w:hAnsi="Times New Roman"/>
          <w:sz w:val="18"/>
          <w:szCs w:val="18"/>
          <w:u w:val="single" w:color="auto"/>
          <w:color w:val="auto"/>
        </w:rPr>
        <w:t>Acquiror Securities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represents all of the issued and outstanding Acquiror Securities as of the date of this Agreement. All issued and outstanding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 have been duly authorized and validly issued and are fully paid and non-assessable; (ii) have been offered, sold and issued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including federal and state securities Laws, and all requirements set forth in (1) Acquiror’s Governing Documents, and (2)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Contracts governing the issuance of such securities; and (iii) are not subject to, nor have they been issued in violation of, any purchase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option, right of first refusal, preemptive right, subscription right or any similar right under any provision of any applicable Law, Acquiror’s Governing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or any Contract to which Acquiror is a party or otherwise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Acquiror Warrants will be exercisable after giving effect to the Merger for one share of Acquiror Class A Common Stock at an exercise price of eleven Dollars fifty cents ($11.50) per share. As of the date of this Agreement, 28,750,000 Acquiror Public Warrants and 898,250 Acquiror Private Placement Warrants are issued and outstanding. All outstanding Acquiror Warrants (i) have been duly authorized and validly issued and constitute valid and binding obligations of Acquiror, enforceable against Acquiror in accordance with their terms, subject to the Enforceability Exceptions; (ii) have been offered, sold and issued in compliance with applicable Law, including federal and state securities Laws, and all requirements set forth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Acquiror’s Governing Documents and (2) any other applicable Contracts governing the issuance of such securities; and (iii) are not subject to, nor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been issued in violation of, any purchase option, call option, right of first refusal, preemptive right, subscription right or any similar right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any applicable Law, Acquiror’s Governing Documents or any Contract to which Acquiror is a party or otherwise bound. Except Acquiror’s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Documents and this Agreement, there are no outstanding Contracts of Acquiror to repurchase, redeem or otherwise acquire any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Except as set forth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as contemplated by this Agreement or the other documents contemplated hereby, and other than in connection with any Private Placement Investment consummated in accordance with this Agreement,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 and there are no Contracts of any kind which may obligate Acquiror to issue, purchase, redeem or otherwise acquire any of its Acquiror Securities.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Subject to obtaining the Acquiror Stockholder Approval, the shares of Acquiror Class A Common Stock comprising the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Consideration, when issued in accordance with the terms hereof, shall be duly authorized and validly issued, fully paid and non-assessable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in compliance with all applicable state and federal securities Laws and not subject to, and not issued in violation of, any Lien, purchase, option,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right of first refusal, preemptive right, subscription right or any similar right under any provision of applicable Law, Acquiror’s Governing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or any Contract to which Acquiror is a party or otherwise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Acquiror has no Subsidiaries apart from Merger Sub, and does not own, directly or indirectly, any equity interests or other interests or investments (whether equity or debt) in any Person, whether incorporated or unincorporated. Acquiror is not party to any Contract that obligates Acquiror to invest money in, loan money to or make any capital contribution to any other Person.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Brokers’ Fees</w:t>
      </w:r>
      <w:r>
        <w:rPr>
          <w:rFonts w:ascii="Times New Roman" w:cs="Times New Roman" w:eastAsia="Times New Roman" w:hAnsi="Times New Roman"/>
          <w:sz w:val="18"/>
          <w:szCs w:val="18"/>
          <w:color w:val="auto"/>
        </w:rPr>
        <w:t xml:space="preserve">. Except fees described on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Acquiror Disclosure Letter, no broker, finder, investment banker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is entitled to any brokerage fee, finders’ fee or other commission in connection with the Transactions based upon arrangements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5.14         </w:t>
      </w:r>
      <w:r>
        <w:rPr>
          <w:rFonts w:ascii="Times New Roman" w:cs="Times New Roman" w:eastAsia="Times New Roman" w:hAnsi="Times New Roman"/>
          <w:sz w:val="17"/>
          <w:szCs w:val="17"/>
          <w:u w:val="single" w:color="auto"/>
          <w:color w:val="auto"/>
        </w:rPr>
        <w:t>  Indebtedness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of the Acquiror Disclosure Letter sets forth the principal amount of all of the outstanding Indebtedness,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15, 2023, of Acquiror and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All income and other material Tax Returns required to be filed by Acquiror or Merger Sub have been timely filed (taking into account any applicable extension), all such Tax Returns are true, correct, and complete in all material respects, and the Acquiror and Merger Sub have timely paid all income and other material Taxes due (whether or not shown on such Tax Returns).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of Acquiror and Merger Sub has deducted and withheld from amounts owing to any employee, former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contractor, creditor, stockholder, or other third party all material Taxes required to be deducted and withheld, and paid over to the proper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Governmental Authority all such Taxes required by applicable Law to be so paid over, and complied in all material respects with all Tax Laws applicable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deduction and withholding and related reporting requirements (including, without limitation, all information reporting and backup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applicable Tax Law). Each of Acquiror and Merger Sub has properly classified all service providers as employees or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contractors for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Except for Permitted Liens under clause (ii) of the definition thereof, there are no Liens for Taxes upon any assets of Acquiror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No claim, assessment, deficiency, or proposed adjustment for any Taxes has been asserted or assessed by any Governmental Authority against Acquiror or Merger Sub except for deficiencies that have been satisfied by payment, settled or withdrawn.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There are no Tax audits, examinations or other Actions relating to Taxes of Acquiror or Merger Sub that are presently in progress or threatened in writing, and there are no waivers, extensions, or requests for any waivers or extensions of any statute of limitations currently in effect with respect to any material Taxes of Acquiror or Merger Sub, in each case, other than customary extensions of the due date for filing a Tax Return.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Neither Acquiror nor Merger Sub is a party to any Tax indemnification, sharing, or similar agreement, other than (i)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solely between Acquiror and Merger Sub and (ii) customary Contracts entered into in the ordinary course of business and not primarily related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(g)            Neither Acquiror nor Merger Sub has constituted either a “distributing corporation” or a “controlled corporation” in a distribution of stock intended to be governed in whole or in part under Section 355 of the Code within the past two (2) years.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Neither Acquiror nor Merger Sub (i) has any liability for Taxes of any other Person (other than Acquiror and Merger Sub)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Regulations Section 1.1502-6 or any similar provision of state, local, or non-U.S. Tax Law, as a transferee or successor, or by Contract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customary Contract entered into in the ordinary course of business and not primarily related to Taxes) or (ii) has been a member of a group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Returns on an affiliated, consolidated, combined, or unitary basis, other than a group the common parent of which was or is Acquiror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only the Acquiror or Merger Sub are or were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Neither Acquiror nor Merger Sub has received any written notice from any Governmental Authority in a jurisdiction where Acquiror or Merger Sub does not file Tax Returns that it is or may be required to file Tax Returns or subject to taxation in that jurisdiction.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Neither Acquiror nor Merger Sub has a permanent establishment (within the meaning of an applicable Tax treaty) or otherwise has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office or fixed place of business in any country other than the country of its organization, or is, or has ever been, subject to income Tax in a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country of its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(k)            Neither Acquiror nor Merger Sub has participated in a “reportable transaction” within the meaning of Treasury Regulations Section 1.6011-4(b) (or any corresponding or similar provision of state, local or non-U.S. Law).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(l)            Neither Acquiror nor Merger Sub will be required to include any item of income that, individually or in the aggregate with all similar items, is material in, or exclude any item of deduction that, individually or in the aggregate with all similar items, is material from, taxable income, for any taxable period (or portion thereof) ending after the Closing Date, in each case, as a result of any (i) installment sale or open transaction disposition made prior to the Closing outside the ordinary course of business, (ii) prepaid amount received or deferred revenue recognized on or prior to the Closing outside the ordinary course of business, (iii) change in method of accounting or the use of impermissible method of accounting for a taxable period ending on or prior to the Closing Date made before the Closing, (iv) “closing agreement” as described in Section 7121 of the Code (or any similar provision of state, local, or non-U.S. Tax Law) executed prior to the Closing, or (v) intercompany transaction or excess loss account as described in the Treasury Regulations promulgated under Section 1502 of the Code (or any similar provision of state, local, or non-U.S. Tax Law).  </w:t>
      </w:r>
    </w:p>
    <w:p>
      <w:pPr>
        <w:spacing w:after="0" w:line="212"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(m)            Neither Acquiror nor Merger Sub has knowingly taken any action or agreed to take any action, or is aware of any facts or circumstances, that could reasonably be expected to impede or prevent the Merger from qualifying for the Intended Tax Treatment.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Section 5.15(n) </w:t>
      </w:r>
      <w:r>
        <w:rPr>
          <w:rFonts w:ascii="Times New Roman" w:cs="Times New Roman" w:eastAsia="Times New Roman" w:hAnsi="Times New Roman"/>
          <w:sz w:val="18"/>
          <w:szCs w:val="18"/>
          <w:color w:val="auto"/>
        </w:rPr>
        <w:t>of the Acquiror Disclosure Letter, sets forth the tax classification of Acquiror and Merger Sub for U.S.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tax purposes, and except as set forth in </w:t>
      </w:r>
      <w:r>
        <w:rPr>
          <w:rFonts w:ascii="Times New Roman" w:cs="Times New Roman" w:eastAsia="Times New Roman" w:hAnsi="Times New Roman"/>
          <w:sz w:val="18"/>
          <w:szCs w:val="18"/>
          <w:u w:val="single" w:color="auto"/>
          <w:color w:val="auto"/>
        </w:rPr>
        <w:t>Section 5.15(n) </w:t>
      </w:r>
      <w:r>
        <w:rPr>
          <w:rFonts w:ascii="Times New Roman" w:cs="Times New Roman" w:eastAsia="Times New Roman" w:hAnsi="Times New Roman"/>
          <w:sz w:val="18"/>
          <w:szCs w:val="18"/>
          <w:color w:val="auto"/>
        </w:rPr>
        <w:t>of the Acquiror Disclosure Letter, such classification has not changed since the formation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Acquiror and Merger Sub are in material compliance with escheat and unclaimed property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            Neither the Acquiror nor Merger Sub has made a request for or entered into a closing agreement, private letter ruling, advance tax ruling or similar agreement with any Governmental Authority with respect to Taxes or a request for a change of any method of accounting, which would, individually or in the aggregate with all similar requests, adversely impact the Taxes of Acquiror or Merger Sub after the Effective Time.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(q)            Neither Acquiror nor Merger Sub has liability for a material amount of unpaid Taxes that has not been adequately accrued for or reserved on Acquiror’s or Merger Sub’s Financial Statements, other than any liability for unpaid Taxes that has been incurred since the date of the most recent Financial Statements in connection with the operation of the business of Acquiror or Merger Sub in the ordinary course of business.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Business Activities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Since formation, neither Acquiror nor Merger Sub have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there is no agreement, commitment, or Governmental Order binding upon Acquiror or Merger Sub or to which Acquiror or Merger Sub is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Acquiror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Merger Sub was formed solely for the purpose of effecting the transactions contemplated by this Agreement and has not engaged in any business activities or conducted any operations other than incident to the Transactions and has no, and at all times prior to the Effective Time, except as expressly contemplated by this Agreement, the Ancillary Agreements and the other documents and Transactions, will have no, assets, liabilities or obligations of any kind or nature whatsoever other than those incident to its formation.  </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u w:val="single" w:color="auto"/>
          <w:color w:val="auto"/>
        </w:rPr>
        <w:t>  Stock Market Quotation</w:t>
      </w:r>
      <w:r>
        <w:rPr>
          <w:rFonts w:ascii="Times New Roman" w:cs="Times New Roman" w:eastAsia="Times New Roman" w:hAnsi="Times New Roman"/>
          <w:sz w:val="18"/>
          <w:szCs w:val="18"/>
          <w:color w:val="auto"/>
        </w:rPr>
        <w:t>. As of the date hereof, the Acquiror Class A Common Stock is registered pursuant to Section 12(b) of the Exchange Act and is listed for trading on Nasdaq under the symbol “BRKH”. As of the date hereof, the Acquiror Public Warrants are registered pursuant to Section 12(b) of the Exchange Act and are listed for trading on Nasdaq under the symbol “BRKHW.” There is no Action or proceeding pending or, to the knowledge of Acquiror, threatened against Acquiror by Nasdaq or the SEC with respect to any intention by such entity to deregister the Acquiror Class A Common Stock or Acquiror Public Warrants or terminate the listing of Acquiror Class A Common Stock or Acquiror Public Warrants on Nasdaq. None of Acquiror, Merger Sub or their respective Affiliates has taken any action in an attempt to terminate the registration of the Acquiror Class A Common Stock or Acquiror Warrants under the Exchange Act except as contemplated by this Agreement.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Benefit Plans</w:t>
      </w:r>
      <w:r>
        <w:rPr>
          <w:rFonts w:ascii="Times New Roman" w:cs="Times New Roman" w:eastAsia="Times New Roman" w:hAnsi="Times New Roman"/>
          <w:sz w:val="18"/>
          <w:szCs w:val="18"/>
          <w:color w:val="auto"/>
        </w:rPr>
        <w:t>. None of Acquiror, Merger Sub or any of their respective Subsidiaries maintains, sponsors or contributes to, or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actual or contingent obligation or liability under, any employee benefit plan (as defined in Section 3(3) of ERISA, whether or not subject to ERISA)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plan, policy, program, arrangement or agreement that provides compensation and/or benefits to any current or former employee, officer,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individual independent contractor thereof (each, an “</w:t>
      </w:r>
      <w:r>
        <w:rPr>
          <w:rFonts w:ascii="Times New Roman" w:cs="Times New Roman" w:eastAsia="Times New Roman" w:hAnsi="Times New Roman"/>
          <w:sz w:val="18"/>
          <w:szCs w:val="18"/>
          <w:u w:val="single" w:color="auto"/>
          <w:color w:val="auto"/>
        </w:rPr>
        <w:t>Acquiror Benefit Plan</w:t>
      </w:r>
      <w:r>
        <w:rPr>
          <w:rFonts w:ascii="Times New Roman" w:cs="Times New Roman" w:eastAsia="Times New Roman" w:hAnsi="Times New Roman"/>
          <w:sz w:val="18"/>
          <w:szCs w:val="18"/>
          <w:color w:val="auto"/>
        </w:rPr>
        <w:t>”), nor does Acquiror, Merger Sub or any of their respective Subsidiaries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obligation or commitment to create or adopt any such Acquiror Benefit Plan (except for the Equity Incentive Plan and ESPP expressly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5.19         </w:t>
      </w:r>
      <w:r>
        <w:rPr>
          <w:rFonts w:ascii="Times New Roman" w:cs="Times New Roman" w:eastAsia="Times New Roman" w:hAnsi="Times New Roman"/>
          <w:sz w:val="17"/>
          <w:szCs w:val="17"/>
          <w:u w:val="single" w:color="auto"/>
          <w:color w:val="auto"/>
        </w:rPr>
        <w:t>  No Additional Representation or Warranties</w:t>
      </w:r>
      <w:r>
        <w:rPr>
          <w:rFonts w:ascii="Times New Roman" w:cs="Times New Roman" w:eastAsia="Times New Roman" w:hAnsi="Times New Roman"/>
          <w:sz w:val="17"/>
          <w:szCs w:val="17"/>
          <w:color w:val="auto"/>
        </w:rPr>
        <w:t xml:space="preserve">. Except as provided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neither Acquiror nor Merger Sub nor any their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nor any of their respective directors, managers, officers, employees, stockholders, partners, members or representatives has made,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making, any representation or warranty whatsoever to the Company or its Affiliates and no such party shall be liable in respect of the accuracy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completeness of any information provided to the Company or its Affiliates. Without limiting the foregoing, the Company acknowledges that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its advisors have made their own investigation of Acquiror, Merger Sub and their respective Subsidiaries and, except as provided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relying on any representation or warranty whatsoever as to the condition, merchantability, suitability or fitness for a particular purpose or trade as to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assets of Acquiror, Merger Sub or any of their respective Subsidiaries, the prospects (financial or otherwise) or the viability or likelihood of success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business of Acquiror, Merger Sub and their respective Subsidiaries as conducted after the Closing, as contained in any materials provided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Merger Sub or any of their Affiliates or any of their respective directors, officers, employees, stockholders, partners, members or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Conduct of Business</w:t>
      </w:r>
      <w:r>
        <w:rPr>
          <w:rFonts w:ascii="Times New Roman" w:cs="Times New Roman" w:eastAsia="Times New Roman" w:hAnsi="Times New Roman"/>
          <w:sz w:val="18"/>
          <w:szCs w:val="18"/>
          <w:color w:val="auto"/>
        </w:rPr>
        <w:t xml:space="preserve">. From the date of this Agreement through the earlier of the Closing or valid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shall, and shall cause its Subsidiaries to, except (i) as otherwise explicitly contemplated by this Agreement or the Ancillary Agreements, (ii) as required by Law or (iii) as consented to by Acquiror in writing (which consent shall not be unreasonably conditioned, withheld, delayed or denied), use commercially reasonable efforts to operate the business of the Company in the ordinary course of business consistent with past practice, including, but not limited to, continuing to maintain its relationship with customers, suppliers and vendors, accrue and collect accounts receivable, accrue and pay accounts payable and other expenses, and establish reserves for uncollectible accounts and doubtful receivables consistent with custom and past practice. Without limiting the generality of the foregoing, except as required by this Agreement or the Ancillary Agreements, as required by Law, as set forth on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Company Disclosure Letter or as consented to by Acquiror in writing (which consent shall not be unreasonably conditioned, withheld, delayed or denied), the Company shall not, and the Company shall cause its Subsidiaries not to: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materially change or amend the Governing Documents of the Company or any of the Company’s Subsidiaries or form or cause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formed any new Subsidiary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make or declare any dividend or distribution to the stockholders of the Company or make any other distributions in respect of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Common Stock or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split, combine, reclassify, recapitalize or otherwise amend any terms of any shares or series of the Company’s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capital stock or equity interests, except for any such transaction by a wholly owned Subsidiary of the Company that remains a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after consummation of such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purchase, repurchase, redeem or otherwise acquire any issued and outstanding share capital, outstanding shares of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interests or other equity interests of the Company or its Subsidiaries, except for (i) the acquisition by the Company or any of its Subsidiaries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capital stock, membership interests or other equity interests of the Company or its Subsidiaries in connection with the forfeiture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 of such interests and (ii) transactions between the Company and any wholly owned Subsidiary of the Company or between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except in the ordinary course of business consistent with past practice or transactions between the Company and its wholly owned Subsidiaries: (i) enter into, modify in any material respect or terminate (other than expiration in accordance with its terms) any Contract of a type required to be listed on </w:t>
      </w:r>
      <w:r>
        <w:rPr>
          <w:rFonts w:ascii="Times New Roman" w:cs="Times New Roman" w:eastAsia="Times New Roman" w:hAnsi="Times New Roman"/>
          <w:sz w:val="18"/>
          <w:szCs w:val="18"/>
          <w:u w:val="single" w:color="auto"/>
          <w:color w:val="auto"/>
        </w:rPr>
        <w:t>Section 4.12(a) </w:t>
      </w:r>
      <w:r>
        <w:rPr>
          <w:rFonts w:ascii="Times New Roman" w:cs="Times New Roman" w:eastAsia="Times New Roman" w:hAnsi="Times New Roman"/>
          <w:sz w:val="18"/>
          <w:szCs w:val="18"/>
          <w:color w:val="auto"/>
        </w:rPr>
        <w:t xml:space="preserve">of the Company Disclosure Letter or any Real Property Lease, (ii) waive, delay the exercise of, release or assign any material rights or claims under any Contract of a type required to be listed on </w:t>
      </w:r>
      <w:r>
        <w:rPr>
          <w:rFonts w:ascii="Times New Roman" w:cs="Times New Roman" w:eastAsia="Times New Roman" w:hAnsi="Times New Roman"/>
          <w:sz w:val="18"/>
          <w:szCs w:val="18"/>
          <w:u w:val="single" w:color="auto"/>
          <w:color w:val="auto"/>
        </w:rPr>
        <w:t>Section 4.12(a) </w:t>
      </w:r>
      <w:r>
        <w:rPr>
          <w:rFonts w:ascii="Times New Roman" w:cs="Times New Roman" w:eastAsia="Times New Roman" w:hAnsi="Times New Roman"/>
          <w:sz w:val="18"/>
          <w:szCs w:val="18"/>
          <w:color w:val="auto"/>
        </w:rPr>
        <w:t>of the Company Disclosure Letter or any Real Property Lease or (iii) amend in any respect that certain Note Purchase Agreement, dated as of July 3, 2023, by and among the Company and the lenders party thereto;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sell, assign, transfer, convey, lease or otherwise dispose of any material tangible assets or properties of the Company or its Subsidiaries, except for (i) dispositions of obsolete or worthless equipment, (ii) transactions among the Company and its wholly owned Subsidiaries or among its wholly owned Subsidiaries and (iii) transactions in the ordinary course of business consistent with past practice;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acquire any ownership interest in any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(h)            except as otherwise required by applicable Law, existing Company Benefit Plans or existing Contracts, (i) grant any severance, retention, change in control or termination or similar pay, except in connection with the promotion, hiring or termination of employment of any employee of the Company or its Subsidiaries in the ordinary course of business consistent with past practice, (ii) make any change in the key management structure of the Company or any of the Company’s Subsidiaries, (iii) (x) hire additional employees with annual compensation in excess of $300,000 or additional officers or (y) terminate existing employees with annual compensation in excess of $300,000 or existing officers, other than terminations for cause or due to death or disability, (iv) terminate, adopt, enter into or materially amend any Company Benefit Plan, (v) increase the annual base salary or bonus opportunity of any employee, officer, director or other individual service provider with annual compensation in excess of $300,000, except in the ordinary course of business consistent with past practice, (vi) establish any trust or take any other action to secure the payment of any compensation payable by the Company or any of the Company’s Subsidiaries or (vii) take any action to amend or waive any performance or vesting criteria or to accelerate the time of payment or vesting of any compensation or benefit payable by the Company or any of the Company’s Subsidiaries;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acquire by merger or consolidation with, or merge or consolidate with, or purchase substantially all or a material portion of the assets or equity interests of, any corporation, partnership, association, joint venture or other business organization or division thereof;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other than as required by applicable Law, (i) make or change any Tax election other than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amend, modify, or otherwise change any filed income or other material Tax Return, (iii) change any accounting method in respect of material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(iv) enter into any “closing agreement” as described in Section 7121 of the Code (or any similar provision of state, local, or non-U.S. Tax Law) in respect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Taxes or any Tax sharing, indemnification, or similar agreement in respect of Taxes (other than any customary Contract entered into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and not primarily related to Taxes), (v) settle any claim or assessment in respect of material Taxes, (vi) knowingly surrender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 to expire any right to claim a refund of material Taxes, (vii) consent to any extension or waiver of the statute of limitations applicable to any claim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assessment in respect of material Taxes (other than customary extensions of the due date for filing a Tax Return), or (viii) initiate or enter into any voluntary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agreement related to material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(k)           except as permitted under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enter into or amend any agreement with, or pay, distribute or advance any assets or property to, any of its officers, directors, employees, partners, stockholders or other Affiliates, other than (x) payments or distributions relating to obligations in respect of arms-length commercial transactions pursuant to the agreements set forth on Section 6.1(k) of the Company Disclosure Letter as existing on the date of this Agreement or (y) pursuant to any Company Financing up to $5,000,000 in the aggregate;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knowingly take any action or agree to take any action where such action could reasonably be expected to impede or prevent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from qualifying for the Intended Tax Treatment;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(m)          issue any additional shares of Company Common Stock or securities exercisable for or convertible into Company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for clarity, Company Awards), other than (i) the issuance of Company Common Stock upon the exercise or settlement of Company Warrants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Awards in the ordinary course of business (and, with respect to Company Awards, under the Company Incentive Plan and applicable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each case, outstanding on the date of this Agreement in accordance with their terms as in effect as of the date of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pursuant to any Company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(n)           adopt a plan of, or otherwise enter into or effect a, complete or partial liquidation, dissolution, restructuring, recapitalization or other reorganization of the Company or its Subsidiaries (other than the Merger);  </w:t>
      </w:r>
    </w:p>
    <w:p>
      <w:pPr>
        <w:spacing w:after="0" w:line="200"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(o)           waive, release, settle, compromise or otherwise resolve any Action, litigation or other proceedings, except where such waivers, releases, settlements or compromises involve only the payment of monetary damages in an amount less than $250,000 in the aggregate;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(p)           sell, assign, lease, license, sublicense, covenant not to assert, encumber, cancel, dispose of, abandon, fail to maintain, permit to lapse or expire, convey, or otherwise transfer (or agree to do any of the foregoing with respect to), any material Company Intellectual Property, except for (i) the expiration of Company Registered Intellectual Property in accordance with the applicable statutory term or Contract (without the possibility of any further extension or renewal) or where Company, using its reasonable business judgment, determines that such Company Registered Intellectual Property is not material to its business (ii) non-exclusive licenses granted in the ordinary course of business;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(q)            disclose or agree to disclose to any Person (other than Acquiror or any of its representatives) any trade secret or any other material confidential or proprietary information, know-how or process of the Company or any of its Subsidiaries, in each case other than in the ordinary course of business and pursuant to customary contractual obligations to maintain the confidentiality thereof;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(r)            make or commit to make capital expenditures other than in an amount not in excess of the amount set forth on </w:t>
      </w:r>
      <w:r>
        <w:rPr>
          <w:rFonts w:ascii="Times New Roman" w:cs="Times New Roman" w:eastAsia="Times New Roman" w:hAnsi="Times New Roman"/>
          <w:sz w:val="17"/>
          <w:szCs w:val="17"/>
          <w:u w:val="single" w:color="auto"/>
          <w:color w:val="auto"/>
        </w:rPr>
        <w:t>Section 6.1(r) </w:t>
      </w:r>
      <w:r>
        <w:rPr>
          <w:rFonts w:ascii="Times New Roman" w:cs="Times New Roman" w:eastAsia="Times New Roman" w:hAnsi="Times New Roman"/>
          <w:sz w:val="17"/>
          <w:szCs w:val="17"/>
          <w:color w:val="auto"/>
        </w:rPr>
        <w:t>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Letter,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other than as required by applicable Law, enter into or extend any collective bargaining agreement or similar labor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 or certify any labor union, labor organization, or group of employees of the Company or its Subsidiaries as the bargaining representative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the Company 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            (i) limit the right of the Company or any of the Company’s Subsidiaries to engage in any line of business or in any geographic area, to develop, market or sell products or services, or to compete with any Person or (ii)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businesses of the Company and its Subsidiaries, taken as a whole;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(u)            except as set forth on </w:t>
      </w:r>
      <w:r>
        <w:rPr>
          <w:rFonts w:ascii="Times New Roman" w:cs="Times New Roman" w:eastAsia="Times New Roman" w:hAnsi="Times New Roman"/>
          <w:sz w:val="18"/>
          <w:szCs w:val="18"/>
          <w:u w:val="single" w:color="auto"/>
          <w:color w:val="auto"/>
        </w:rPr>
        <w:t>Section 6.1(u) </w:t>
      </w:r>
      <w:r>
        <w:rPr>
          <w:rFonts w:ascii="Times New Roman" w:cs="Times New Roman" w:eastAsia="Times New Roman" w:hAnsi="Times New Roman"/>
          <w:sz w:val="18"/>
          <w:szCs w:val="18"/>
          <w:color w:val="auto"/>
        </w:rPr>
        <w:t>of the Company Disclosure Letter, terminate without replacement or amend in a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detrimental to the Company and its Subsidiaries, taken as a whole, any insurance policy insuring the business of the Company or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            incur, guarantee or otherwise become liable for (whether directly, contingently or otherwise) any Indebtedness, issue or sell any debt securities or any rights to acquire debt securities of the Company or any of its Subsidiaries, incur any Liens other than Permitted Liens, or enter into any arrangement having the economic effect of any of the foregoing, other than pursuant to any Company Financing; or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(w)            enter into any agreement to do any action prohibited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Inspection</w:t>
      </w:r>
      <w:r>
        <w:rPr>
          <w:rFonts w:ascii="Times New Roman" w:cs="Times New Roman" w:eastAsia="Times New Roman" w:hAnsi="Times New Roman"/>
          <w:sz w:val="18"/>
          <w:szCs w:val="18"/>
          <w:color w:val="auto"/>
        </w:rPr>
        <w:t>. Subject to confidentiality obligations that may be applicable to information furnished to the Company or any of the Company’s Subsidiaries by third parties that may be in the Company’s or any of its Subsidiaries’ possession from time to time, and except for any information that is subject to attorney-client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possible, the Parties shall cooperate in good faith to permit disclosure of such information in a manner that preserves such privilege or compliance with such confidentiality obligation), and to the extent permitted by applicable Law, during the Interim Period, (a) the Company shall, and shall cause its Subsidiaries to, afford to Acquiror and its accountants, counsel and other representatives reasonable access during the Interim Period (including for the purpose of coordinating transition planning for employees and completing Acquiror’s due diligence review of the Company and its Subsidiaries), during normal business hours and with reasonable advance notice, in such manner as to not materially interfere with the ordinary course of business of the Company and its Subsidiaries, to (x) all of their respective properties, books, Contracts, commitments, Tax Returns, records, and (promptly following the execution of a consent in form and substance reasonably acceptable to such auditors or independent accountants) accounts and work papers of the Company’s and its Subsidiaries’ independent accountants and auditors and (y) appropriate officers and employees of the Company and its Subsidiaries, and shall furnish such representatives with all financial and operating data and other information concerning the affairs of the Company and its Subsidiaries as such representatives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not include any unreasonably invasive or intrusive investigations or other testing, sampling or analysis of any properties, facilities or equipment of the Company or its Subsidiaries without the prior written consent of the Company, and (b) the Company shall, and shall cause its Subsidiaries to, provide to Acquiror and, if applicable, its accountants, counsel or other representatives, (x) such information and such other materials and resources relating to any Action initiated, pending or threatened during the Interim Period, or to the compliance and risk management operations and activities of the Company and its Subsidiaries during the Interim Period, in each case, as Acquiror or such representative may reasonably request, (y) prompt written notice of any material status updates in connection with any such Action or otherwise relating to any compliance and risk management matters or decisions of the Company or its Subsidiaries, and (z) copies of any communications sent or received by the Company or its Subsidiaries in connection with such Action, matters and decisions (and, if any such communications occurred orally, the Company shall, and shall cause its Subsidiaries to, memorialize such communications in writing to Acquiror). To the extent permitted by applicable Law and to the extent not inconsistent with the other limitations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during the Interim Period, the Company shall, and shall cause its Subsidiaries to, provide promptly to Acquiror and, if applicable, its accountants, counsel or other representatives all information concerning the Company and its Subsidiaries, and their respective business, properties and personnel, in each case, as Acquiror or such representative may reasonably request for the purpose of completing Acquiror’s due diligence. All information obtained by Acquiror, Merger Sub or their respective representatives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subject to the Confidentiality Agreement.  </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Preparation and Delivery of Additional Company 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The Company shall use commercially reasonable efforts to deliver to Acquiror, as soon as reasonably practicable following the date hereof, (i) the GAAP, PCAOB-audited consolidated balance sheets and statements of operations, comprehensive loss and stockholders’ deficit and cash flows of the Company and its Subsidiaries as of and for the years ended December 31, 2021 and December 31, 2022, together with the auditor’s reports thereon, and (ii) the auditor-reviewed, unaudited consolidated balance sheets of the Company and its Subsidiaries as of June 30, 2023 or September 30, 2023, as applicable, and the related auditor-reviewed, unaudited consolidated statements of operations, comprehensive loss and stockholders’ deficit and cash flows for the six or nine months then ended, as applicable, in each case, in compliance in all material respects with the applicable accounting requirements and with the rules and regulations of the SEC, the Exchange Act and the Securities Act applicable to such registrant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delivery of such Financial Statements, the representations and warranties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deemed to apply to the Financial Statements with the same force and effect as if made as of the date of this Agreement.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 Company shall, to the extent necessary, use commercially reasonable efforts to deliver to Acquiror as promptly as reasonably practicable following the date hereof, the unaudited condensed consolidated balance sheets and statements of operations and comprehensive loss, stockholders’ deficit, and cash flow of the Company and its Subsidiaries as of and for any additional three (3) month periods that would be reasonably requested or required by Acquiror for inclusion in the Proxy Statement / Registration Statement (the “</w:t>
      </w:r>
      <w:r>
        <w:rPr>
          <w:rFonts w:ascii="Times New Roman" w:cs="Times New Roman" w:eastAsia="Times New Roman" w:hAnsi="Times New Roman"/>
          <w:sz w:val="18"/>
          <w:szCs w:val="18"/>
          <w:u w:val="single" w:color="auto"/>
          <w:color w:val="auto"/>
        </w:rPr>
        <w:t>Additional Quarterly Financial Statements</w:t>
      </w:r>
      <w:r>
        <w:rPr>
          <w:rFonts w:ascii="Times New Roman" w:cs="Times New Roman" w:eastAsia="Times New Roman" w:hAnsi="Times New Roman"/>
          <w:sz w:val="18"/>
          <w:szCs w:val="18"/>
          <w:color w:val="auto"/>
        </w:rPr>
        <w:t xml:space="preserve">”), which shall comply with the applicable accounting requirements and with the rules and regulations of the SEC, the Exchange Act and the Securities Act applicable to a registrant;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delivery of any Additional Quarterly Financial Statements, the representations and warranties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deemed to apply to such Additional Quarterly Financial Statements with the same force and effect as if made as of the date of this Agreement.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Company shall use commercially reasonable efforts to provide Acquiror, as promptly as reasonably practicable, with all other information concerning the Company and its management, operations and financial condition of the Company and its Subsidiaries, in each case, as is reasonably requested by Acquiror or required by applicable Law for inclusion in the Proxy Statement / Registration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Section 6.4           </w:t>
      </w:r>
      <w:r>
        <w:rPr>
          <w:rFonts w:ascii="Times New Roman" w:cs="Times New Roman" w:eastAsia="Times New Roman" w:hAnsi="Times New Roman"/>
          <w:sz w:val="18"/>
          <w:szCs w:val="18"/>
          <w:u w:val="single" w:color="auto"/>
          <w:color w:val="auto"/>
        </w:rPr>
        <w:t>  Affiliate Agreements</w:t>
      </w:r>
      <w:r>
        <w:rPr>
          <w:rFonts w:ascii="Times New Roman" w:cs="Times New Roman" w:eastAsia="Times New Roman" w:hAnsi="Times New Roman"/>
          <w:sz w:val="18"/>
          <w:szCs w:val="18"/>
          <w:color w:val="auto"/>
        </w:rPr>
        <w:t xml:space="preserve">. All Affiliate Agreements shall be terminated or settled at or prior to the Closing without further liability to Acquiror, the Company or any of the Company’s Subsidiaries, in each case, except as otherwise set forth on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Company Disclosure Letter. With respect to each such Affiliate Agreement, the Company shall deliver to Acquiror evidence of such termination or settlement, as applicable, at or prior to the Closing.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ACQUIROR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Section 7.1            </w:t>
      </w:r>
      <w:r>
        <w:rPr>
          <w:rFonts w:ascii="Times New Roman" w:cs="Times New Roman" w:eastAsia="Times New Roman" w:hAnsi="Times New Roman"/>
          <w:sz w:val="18"/>
          <w:szCs w:val="18"/>
          <w:u w:val="single" w:color="auto"/>
          <w:color w:val="auto"/>
        </w:rPr>
        <w:t>  Trust Account Proceeds and Related Available Equity</w:t>
      </w:r>
      <w:r>
        <w:rPr>
          <w:rFonts w:ascii="Times New Roman" w:cs="Times New Roman" w:eastAsia="Times New Roman" w:hAnsi="Times New Roman"/>
          <w:sz w:val="18"/>
          <w:szCs w:val="18"/>
          <w:color w:val="auto"/>
        </w:rPr>
        <w:t xml:space="preserve">. Upon satisfaction or waiver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reasonable best efforts to cause the Trustee to, and the Trustee shall thereupon be obligated to (1) pay as and when due all amounts payable to Acquiror Stockholders pursuant to the Acquiror Share Redemptions, and (2) pay all remaining amounts then available in the Trust Account to Acquiror for immediate use or otherwise at its direction, subject to this Agreement and the Trust Agreement, and (ii) thereafter, the Trust Account shall terminate, except as otherwise provided in the Trust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Section 7.2           </w:t>
      </w:r>
      <w:r>
        <w:rPr>
          <w:rFonts w:ascii="Times New Roman" w:cs="Times New Roman" w:eastAsia="Times New Roman" w:hAnsi="Times New Roman"/>
          <w:sz w:val="18"/>
          <w:szCs w:val="18"/>
          <w:u w:val="single" w:color="auto"/>
          <w:color w:val="auto"/>
        </w:rPr>
        <w:t>  Listing</w:t>
      </w:r>
      <w:r>
        <w:rPr>
          <w:rFonts w:ascii="Times New Roman" w:cs="Times New Roman" w:eastAsia="Times New Roman" w:hAnsi="Times New Roman"/>
          <w:sz w:val="18"/>
          <w:szCs w:val="18"/>
          <w:color w:val="auto"/>
        </w:rPr>
        <w:t>. During the Interim Period, Acquiror shall use reasonable best efforts to cause Acquiror to remain listed as a public company on Nasdaq, and shall prepare and submit to Nasdaq a listing application, if required under Nasdaq rules, covering the Total Merger Consideration, and shall use reasonable best efforts to obtain approval for the listing of such shares of Acquiror Class A Common Stock and the Company shall reasonably cooperate with Acquiror with respect to such listing.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 Section 7.3          </w:t>
      </w:r>
      <w:r>
        <w:rPr>
          <w:rFonts w:ascii="Times New Roman" w:cs="Times New Roman" w:eastAsia="Times New Roman" w:hAnsi="Times New Roman"/>
          <w:sz w:val="18"/>
          <w:szCs w:val="18"/>
          <w:u w:val="single" w:color="auto"/>
          <w:color w:val="auto"/>
        </w:rPr>
        <w:t>  Acquiror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During the Interim Period, except as set forth on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of the Acquiror Disclosure Letter, Acquiror shall, and shall cause Merger Sub to, except as required by Law, as contemplated by this Agreement, or as consented to by the Company in writing (which consent shall not be unreasonably conditioned, withheld, delayed or denied), operate its business in the ordinary course and consistent with past practice. Without limiting the generality of the foregoing, except as consented to by the Company in writing (which consent shall not be unreasonably conditioned, withheld, delayed or denied), Acquiror shall not, and Acquiror shall cause Merger Sub not to, except as otherwise contemplated by this Agreement or the Ancillary Agreements or as required by Law:</w:t>
      </w:r>
    </w:p>
    <w:p>
      <w:pPr>
        <w:spacing w:after="0" w:line="18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seek any approval from the Acquiror Stockholders to change, modify or amend the Trust Agreement or the Governing Documents of Acquiror or Merger Sub, except as contemplated by the Transaction Proposals;</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(x) make or declare any dividend or distribution to the Acquiror Stockholders or make any other distributions in respect of any of Acquiror’s equity interests or Merger Sub Capital Stock, share capital or equity interests, (y) split, combine, reclassify or otherwise amend any terms of any shares or series of Acquiror’s equity interests or Merger Sub Capital Stock, or (z) purchase, repurchase, redeem or otherwise acquire any issued and outstanding share capital, outstanding shares of capital stock, share capital or membership interests, warrants or other equity interests of Acquiror or Merger Sub, other than a redemption of shares of Acquiror Class A Common Stock made as part of the Acquiror Share Redemptions;</w:t>
      </w:r>
    </w:p>
    <w:p>
      <w:pPr>
        <w:spacing w:after="0" w:line="183"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other than as required by applicable Law, (A) make or change any Tax election other than in the ordinary course of business, (B) amend, modify, or otherwise change any filed income or other material Tax Return, (C) change any accounting method in respect of material Taxes, (D) enter into any “closing agreement” as described in Section 7121 of the Code (or any similar provision of state, local, or non-U.S. Tax Law) in respect of material Taxes or any Tax sharing, indemnification, or similar agreement in respect of Taxes (other than any customary Contract entered into in the ordinary course of business and not primarily related to Taxes), (E) settle any claim or assessment in respect of material Taxes, (F) knowingly surrender or allow to expire any right to claim a refund of material Taxes, (G) consent to any extension or waiver of the statute of limitations applicable to any claim or assessment in respect of material Taxes (other than customary extensions of the due date for filing a Tax Return) or (H) initiate or enter into any voluntary disclosure agreement related to material Taxes;</w:t>
      </w:r>
    </w:p>
    <w:p>
      <w:pPr>
        <w:spacing w:after="0" w:line="19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knowingly take any action or agree to take any action where such action could reasonably be expected to prevent the Merger from qualifying for the Intended Tax Treatment;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(v)           (A) enter into, renew or amend in any material respect, any transaction or Contract with an Affiliate of Acquiror or Merger Sub (including, for the avoidance of doubt, (x) the Sponsor and (y) any Person in which the Sponsor has a direct or indirect legal, contractual or beneficial ownership interest of 5% or greater) or (B) amend in any respect that certain letter agreement, dated December 10, 2021, by and among Acquiror, its officers and directors, the Sponsor and certain other stockholders of Acquiror party thereto;</w:t>
      </w:r>
    </w:p>
    <w:p>
      <w:pPr>
        <w:spacing w:after="0" w:line="18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(vi)          incur or assume any Indebtedness or guarantee any Indebtedness of another Person, issue or sell any debt securities or warrants or other rights to acquire any debt securities of the Company or any of the Company’s Subsidiaries or guaranty any debt securities of another Person, other than (x) any indebtedness for borrowed money or guarantee from its Affiliates and stockholders in order to meet its reasonable capital requirements, with any such loans to be made only as reasonably required by the operation of Acquiror in due course on a non-interest basis and otherwise on arm’s-length terms and conditions and repayable at the Closing, and in any event in an aggregate amount not to exceed $5,000,000 (which the Parties agree shall include any Indebtedness in respect of any Working Capital Loan) or (y) incurred between Acquiror and Merger Sub;</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(vii)         other than with respect to the sale of shares of Acquiror Class A Common Stock in connection with the Private Placement Investment, (A) issue or promise to issue any Acquiror Securities or securities exercisable for or convertible into Acquiror Securities, other than the issuance of the shares of Acquiror Class A Common Stock comprising the Total Merger Consideration, (B) grant any options, warrants or other equity-based awards with respect to Acquiror Securities not outstanding on the date hereof, or (C) amend, modify or waive any of the material terms or rights set forth in any Acquiror Warrant or the Warrant Agreement, including any amendment, modification or reduction of the warrant price set forth therein;</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(viii)        except as contemplated by the Equity Incentive Plan and ESPP, (A) enter into, adopt or amend any Acquiror Benefit Plan, or enter into any employment contract or collective bargaining agreement or (B) hire any employee or any other individual to provide services to Acquiror or its Subsidiaries following Closing;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(ix)           enter into any agreement to do any action prohibited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Post-Closing Officers of Acquiror</w:t>
      </w:r>
      <w:r>
        <w:rPr>
          <w:rFonts w:ascii="Times New Roman" w:cs="Times New Roman" w:eastAsia="Times New Roman" w:hAnsi="Times New Roman"/>
          <w:sz w:val="18"/>
          <w:szCs w:val="18"/>
          <w:color w:val="auto"/>
        </w:rPr>
        <w:t>. Subject to the terms of the Acquiror’s Governing Documents, Acquiror shall take all such action within its power as may be necessary or appropriate such that immediately following the Effective Time, the initial officers of Acquiror shall be as determined by the Company. The Company agrees to consult, in good faith, with the Sponsor regarding the determination of such initial officers. Each of such initial officers of Acquiror shall serve in such capacity in accordance with the terms of Acquiror’s Governing Documents following the Effective Time.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From and after the Effective Time, Acquiror agrees that it shall indemnify and hold harmless each present and former director and officer of (x) the Company and each of its Subsidiaries (in each case, solely to the extent acting in their capacity as such and to the extent such activities are related to the business of the Company being acquired under this Agreement) (the “</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and (y) Acquiror and each of its Subsidiaries (the “</w:t>
      </w:r>
      <w:r>
        <w:rPr>
          <w:rFonts w:ascii="Times New Roman" w:cs="Times New Roman" w:eastAsia="Times New Roman" w:hAnsi="Times New Roman"/>
          <w:sz w:val="18"/>
          <w:szCs w:val="18"/>
          <w:u w:val="single" w:color="auto"/>
          <w:color w:val="auto"/>
        </w:rPr>
        <w:t>Acquiror Indemnified Parties</w:t>
      </w:r>
      <w:r>
        <w:rPr>
          <w:rFonts w:ascii="Times New Roman" w:cs="Times New Roman" w:eastAsia="Times New Roman" w:hAnsi="Times New Roman"/>
          <w:sz w:val="18"/>
          <w:szCs w:val="18"/>
          <w:color w:val="auto"/>
        </w:rPr>
        <w:t>” together with the Company Indemnified Parties,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its Governing Documents concerning the indemnification and exoneration (including provisions relating to expense advancement) of Acquiror’s and its Subsidiaries’ former and current officers, directors, employees, and agents that are no less favorable to those Persons than the provisions of the Governing Documents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not less favorable than the terms of such current insurance coverage, except that in no event shall Acquiror be required to pay an annual premium for such insurance in excess of one hundred and fifty percent (150%) of the aggregate annual premium payable by Acquiror or the Company, as applicable, for such insurance policy for the year ending December 31,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Acquiror may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and (ii) if any claim is asserted or made within such six (6) year period, any insurance required to be maintained under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continued in respect of such claim until the final disposition thereof.</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anything contained in this Agreement to the contrary,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On the Closing Date,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Acquiror SEC Filings</w:t>
      </w:r>
      <w:r>
        <w:rPr>
          <w:rFonts w:ascii="Times New Roman" w:cs="Times New Roman" w:eastAsia="Times New Roman" w:hAnsi="Times New Roman"/>
          <w:sz w:val="18"/>
          <w:szCs w:val="18"/>
          <w:color w:val="auto"/>
        </w:rPr>
        <w:t>. During the Interim Period, Acquiror will use reasonable best efforts to keep current and timely file all reports required to be filed or furnished with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Private 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In connection with the Merger and the other Transactions, Acquiror shall use commercially reasonable efforts to seek equity financing in the form of a private placement of additional shares of Acquiror Class A Common Stock of up to $100,000,000.</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Unless otherwise approved in writing by the Company (which approval shall not be unreasonably withheld, conditioned or delayed), and except for any of the following actions that would not increase conditionality or impose any new obligation on the Company or Acquiror, Acquiror shall not agree to reduce or impair the rights of Acquiror or any third-party rights of the Company under any Securities Purchase Agreement, and Acquiror shall not permit any material amendment or material modification to be made to, any material waiver (in whole or in part) of, or provide consent to modify (including consent to terminate), any material provision or material remedy under, or any replacements of, any of the Securities Purchase Agreements, in each case, other than any assignment or transfer contemplated therein or expressly permitted thereby (without any further amendment, modification or waiver to such assignment or transfer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such assignment or transfer, the initial party to such Securities Purchase Agreement remains bound by its obligations with respect thereto in the event that the transferee or assignee, as applicable, does not comply with its obligations to consummate the Private Placement Investment contemplated thereby. Subject to the immediately preceding sentence, Acquiror shall take, or cause to be taken, all actions and do, or cause to be done, all things reasonably necessary, proper or advisable to consummate the Private Placement Investments and the other transactions contemplated by the Securities Purchase Agreements on the terms and conditions described therein, including maintaining in effect the Securities Purchase Agreements and take, or to cause to be taken, all actions required, necessary or that it otherwise deems to be proper or advisable to consummate the transactions contemplated by the Securities Purchase Agreements on the terms described therein, including: (1) satisfying in all material respects on a timely basis all conditions and covenants applicable to Acquiror in the Securities Purchase Agreements and otherwise comply with its obligations thereunder, (2) in the event that all conditions in the applicable Securities Purchase Agreements (other than conditions that Acquiror or any of its Affiliates control the satisfaction of and other than those conditions that by their nature are to be satisfied at the Closing) have been satisfied, consummating the transactions contemplated by such Securities Purchase Agreements at or prior to Closing;</w:t>
      </w:r>
    </w:p>
    <w:p>
      <w:pPr>
        <w:spacing w:after="0" w:line="10" w:lineRule="exact"/>
        <w:rPr>
          <w:sz w:val="20"/>
          <w:szCs w:val="20"/>
          <w:color w:val="auto"/>
        </w:rPr>
      </w:pPr>
    </w:p>
    <w:p>
      <w:pPr>
        <w:jc w:val="both"/>
        <w:ind w:firstLine="8"/>
        <w:spacing w:after="0" w:line="253" w:lineRule="auto"/>
        <w:tabs>
          <w:tab w:leader="none" w:pos="2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conferring with the Company regarding timing of the consummation of the Private Placement Investments; (4) delivering notices to counterparties to the Securities Purchase Agreements sufficiently in advance of the Closing to cause them to fund their obligations in advance of the Closing; and (5) pursuant to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using its reasonable best efforts to enforce its rights under the Securities Purchase Agreements to cause the applicable Private Placement Investors to pay to (or as directed by) Acquiror the applicable purchase price under the applicable Securities Purchase Agreement in accordance with its terms.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Without limiting the generality of the foregoing, Acquiror shall give the Company, prompt (and, in any event within three Business Days) written notice: (i) of any amendment to any Securities Purchase Agreement (together with a copy of such amendment); (ii) of any breach or default (or any event or circumstance that, with or without notice, lapse of time or both, could give rise to any breach or default) by any party to any Securities Purchase Agreement known to Acquiror; and (ii) if Acquiror does not expect to receive all or any portion of the Private Placement Investments on the terms, in the manner or from the sources contemplated by the Securities Purchase Agreements.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Extension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Promptly following the date of this Agreement, Acquiror shall prepare (with the reasonable cooperation of the Company) and file with the SEC a proxy statement (such proxy statement, together with any amendments or supplements to such proxy statement, the “</w:t>
      </w:r>
      <w:r>
        <w:rPr>
          <w:rFonts w:ascii="Times New Roman" w:cs="Times New Roman" w:eastAsia="Times New Roman" w:hAnsi="Times New Roman"/>
          <w:sz w:val="18"/>
          <w:szCs w:val="18"/>
          <w:u w:val="single" w:color="auto"/>
          <w:color w:val="auto"/>
        </w:rPr>
        <w:t>Extension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pursuant to which it shall seek the approval of the Acquiror Stockholders to amend the Governing Documents of Acquiror to extend the deadline by which Acquiror must complete a Business Combination in accordance therewith (such date, the “</w:t>
      </w:r>
      <w:r>
        <w:rPr>
          <w:rFonts w:ascii="Times New Roman" w:cs="Times New Roman" w:eastAsia="Times New Roman" w:hAnsi="Times New Roman"/>
          <w:sz w:val="18"/>
          <w:szCs w:val="18"/>
          <w:u w:val="single" w:color="auto"/>
          <w:color w:val="auto"/>
        </w:rPr>
        <w:t>Business Combination Deadline</w:t>
      </w:r>
      <w:r>
        <w:rPr>
          <w:rFonts w:ascii="Times New Roman" w:cs="Times New Roman" w:eastAsia="Times New Roman" w:hAnsi="Times New Roman"/>
          <w:sz w:val="18"/>
          <w:szCs w:val="18"/>
          <w:color w:val="auto"/>
        </w:rPr>
        <w:t>”) to such date as may be agreed in writing by Acquiror and the Company (such agreement not to be unreasonably withheld, conditioned or delayed)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Acquiror shall use its reasonable best efforts to cause the Extension Proxy Statement to: (i) comply with the rules and regulations promulgated by the SEC; and (ii) have the Extension Proxy Statement cleared by the SEC as promptly as practicable after such filing. To the extent not prohibited by Law, Acquiror shall provide the Company a reasonable opportunity to review the Extension Proxy Statement prior to its filing with the SEC and will consider in good faith the incorporation of any comments from the Company and its counsel to the Extension Proxy Statement.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the extent not prohibited by Law, Acquiror will advise the Company, reasonably promptly after Acquiror receives notice, of:</w:t>
      </w:r>
    </w:p>
    <w:p>
      <w:pPr>
        <w:spacing w:after="0" w:line="27" w:lineRule="exact"/>
        <w:rPr>
          <w:sz w:val="20"/>
          <w:szCs w:val="20"/>
          <w:color w:val="auto"/>
        </w:rPr>
      </w:pPr>
    </w:p>
    <w:p>
      <w:pPr>
        <w:jc w:val="both"/>
        <w:ind w:firstLine="8"/>
        <w:spacing w:after="0" w:line="252" w:lineRule="auto"/>
        <w:tabs>
          <w:tab w:leader="none" w:pos="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when any supplement or amendment to the Extension Proxy Statement has been filed; or (B) any request by the SEC for the amendment or supplement of the Extension Proxy Statement or for additional information. To the extent not prohibited by Law, Acquiror shall provide the Company and its counsel with (x) any comments or other communications, whether written or oral, that Acquiror or its counsel may receive from time to time from the SEC or its staff with respect to the Extension Proxy Statement (including any notification (orally or in writing) from the SEC that the Extension Proxy Statement will not be “reviewed” or will not be subject to further review) promptly after receipt of those comments or other communications and (y) a reasonable opportunity to participate in the response of Acquiror to those comments and to provide comments on that response (to which reasonable and good faith consideration shall be given).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Each of Acquiror and the Company agrees to, as promptly as reasonably practicable, furnish the other party with such information as shall be reasonably requested concerning itself, its Subsidiaries, officers, directors, managers, stockholders, shareholders and other equityholders and information regarding such other matters as may be reasonably necessary or advisable or as may be reasonably requested for inclusion in (including to be incorporated by reference in) or attachment to the Extension Proxy Statement. Each of Acquiror and the Company shall ensure that: (i) all of the information supplied by it or on its behalf for inclusion in (including to be incorporated by reference in) or attachment to the Extension Proxy Statement, at the earlier of the date it is filed with the SEC or first mailed to the Acquiror Stockholders, shall be accurate in all material respects and shall not omit to state any material fact required to be stated in the Extension Proxy Statement or necessary in order to make the statements in the Extension Proxy Statement, in light of the circumstances under which they are made, not misleading; (ii) the Extension Proxy Statement shall comply as to form in all material respects with the requirements of the Exchange Act and the rules and regulations promulgated under the Exchange Act; and (iii) the Extension Proxy Statement shall contain substantially the same financial and other information about the Company and its equityholders as is required under Regulation 14A of the Exchange Act regulating the solicitation of proxies. If, at any time prior to the Closing, Acquiror or the Company becomes aware of:</w:t>
      </w:r>
    </w:p>
    <w:p>
      <w:pPr>
        <w:spacing w:after="0" w:line="4" w:lineRule="exact"/>
        <w:rPr>
          <w:sz w:val="20"/>
          <w:szCs w:val="20"/>
          <w:color w:val="auto"/>
        </w:rPr>
      </w:pPr>
    </w:p>
    <w:p>
      <w:pPr>
        <w:jc w:val="both"/>
        <w:ind w:firstLine="8"/>
        <w:spacing w:after="0" w:line="251"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Proxy Statement containing any untrue statement of a material fact or omitting to state a material fact necessary in order to make the statements made, in light of the circumstances under which they were made, not misleading; or (y) any other information which is required to be set forth in an amendment or supplement to the Extension Proxy Statement so that it would not include any untrue statement of a material fact or omit to state a material fact necessary in order to make the statements made, in light of the circumstances under which they were made, not misleading, the Company or Acquiror (as applicable) shall promptly inform Acquiror or the Company (as applicable). Thereafter, each of the Company and Acquiror shall cooperate with the other in filing with the SEC or mailing to the Acquiror Stockholders an amendment or supplement to the Extension Proxy Statement. Each of the Company and Acquiror shall use its reasonable best efforts to cause their and their Subsidiaries’ managers, directors, officers and employees to be reasonably available to Acquiror, the Company and their respective counsel in connection with the drafting of such filings and mailings and responding in a timely manner to comments from the SEC.</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Acquiror shall: (i) as promptly as practicable after the Extension Proxy Statement is cleared by the SEC, (A) cause the Extension Proxy Statement to be disseminated to the Acquiror Stockholders in compliance with applicable Law, (B) duly (x) give notice of and (y) convene and hold a meeting of the Acquiror Stockholders (the “</w:t>
      </w:r>
      <w:r>
        <w:rPr>
          <w:rFonts w:ascii="Times New Roman" w:cs="Times New Roman" w:eastAsia="Times New Roman" w:hAnsi="Times New Roman"/>
          <w:sz w:val="18"/>
          <w:szCs w:val="18"/>
          <w:u w:val="single" w:color="auto"/>
          <w:color w:val="auto"/>
        </w:rPr>
        <w:t>Acquiror Extension Meeting</w:t>
      </w:r>
      <w:r>
        <w:rPr>
          <w:rFonts w:ascii="Times New Roman" w:cs="Times New Roman" w:eastAsia="Times New Roman" w:hAnsi="Times New Roman"/>
          <w:sz w:val="18"/>
          <w:szCs w:val="18"/>
          <w:color w:val="auto"/>
        </w:rPr>
        <w:t xml:space="preserve">”) in accordance with the Acquiror’s Governing Documents and the applicable rules of Nasdaq for a date no later than three (3) Business Days prior to the Business Combination Deadline then in effect (or such later date as the Company and Acquiror shall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Acquiror Extension Meeting shall be scheduled for a date and time such that, after the conclusion of such meeting, Acquiror shall have sufficient time to effectuate the amendment of the Acquiror’s Organizational Documents, and (C) solicit proxies from the Acquiror Stockholders to vote in favor of the Extension; and (ii) provide the Acquiror Stockholders with the opportunity to elect to effect an Acquiror Share Redemption. Notwithstanding anything to the contrary set forth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to the extent (1) the Acquiror Stockholder Approval is obtained at any time before the Acquiror Extension Meeting is held and (2) the Closing has occurred prior to the Business Combination Deadline then in effect, all obligations under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terminate and be of no further force or effect. Acquiror shall, through its Board of Directors, recommend to the Acquiror Stockholders the approval of the Extension, and include such recommendation in the Extension Proxy Statement. Subject to the Modification in Recommendation in response to an Acquiror Intervening Event as set forth in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the board of directors of Acquiror shall not effect a Modification in Recommendation to the Acquiror Stockholders with respect to the approval of the Extension.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To the fullest extent permitted by applicable Law, Acquiror shall promptly continue to take all such necessary actions, including the actions required by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and hold additional Acquiror Extension Meetings in order to obtain the requisite approval of the Acquiror Stockholders to the Extension, in each case, if such approval shall not have been obtained at any such Acquiror Extension Meeting. Acquiror may only adjourn the Acquiror Extension Meeting: (i) to solicit additional proxies for the purpose of obtaining the requisite approval of the Acquiror Stockholders to the Extension; (ii) for the absence of a quorum;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the Acquiror Stockholders prior to the Acquiror Extension Meeting; (iv) to allow reasonable additional time to reduce the number of shares of Acquiror’s common stock as to which the holders thereof have elected to effect a redemption thereof; or</w:t>
      </w:r>
    </w:p>
    <w:p>
      <w:pPr>
        <w:spacing w:after="0" w:line="1" w:lineRule="exact"/>
        <w:rPr>
          <w:sz w:val="20"/>
          <w:szCs w:val="20"/>
          <w:color w:val="auto"/>
        </w:rPr>
      </w:pPr>
    </w:p>
    <w:p>
      <w:pPr>
        <w:jc w:val="both"/>
        <w:ind w:firstLine="8"/>
        <w:spacing w:after="0" w:line="255" w:lineRule="auto"/>
        <w:tabs>
          <w:tab w:leader="none" w:pos="2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prior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following the adjournment, the rescheduled Acquiror Extension Meeting shall be scheduled for a date and time such that, after the conclusion of such meeting, Acquiror shall have sufficient time to effectuate the amendment of the Acquiror’s Organizational Documents.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7.9             </w:t>
      </w:r>
      <w:r>
        <w:rPr>
          <w:rFonts w:ascii="Times New Roman" w:cs="Times New Roman" w:eastAsia="Times New Roman" w:hAnsi="Times New Roman"/>
          <w:sz w:val="18"/>
          <w:szCs w:val="18"/>
          <w:u w:val="single" w:color="auto"/>
          <w:color w:val="auto"/>
        </w:rPr>
        <w:t>  Equity Incentive Plan; ESPP</w:t>
      </w:r>
      <w:r>
        <w:rPr>
          <w:rFonts w:ascii="Times New Roman" w:cs="Times New Roman" w:eastAsia="Times New Roman" w:hAnsi="Times New Roman"/>
          <w:sz w:val="18"/>
          <w:szCs w:val="18"/>
          <w:color w:val="auto"/>
        </w:rPr>
        <w:t>. Prior to the Closing Date, Acquiror shall approve and adopt an equity incentive plan in form and substance mutually agreed upon between the Company and Acquiror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that provides for grants of awards to eligible service providers and an employee stock purchase plan in form and substance mutually agreed upon between the Company and Acquiror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pursuant to which eligible participants may purchase shares of Acquiror Common Stock. The initial aggregate share reserves under the Equity Incentive Plan and ESPP will represent fifteen percent (15%) of the aggregate number of shares of Acquiror Common Stock issued and outstanding immediately after the Closing. In addition, (a) the Equity Incentive Plan will provide for an annual increase to the initial share reserve thereof on the first day of each calendar year during the term of the Equity Incentive Plan equal to 4% of the aggregate number of shares of Acquiror Common Stock issued and outstanding on the last day of the immediately preceding calendar year, and (b) the ESPP will provide for an annual increase to the initial share reserve thereof on the first day of each calendar year during the term of the ESPP equal to 1% of the aggregate number of shares of Acquiror Common Stock issued and outstanding on the last day of the immediately preceding calendar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HSR Act; Other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In connection with the Transactions, each of the Company and Acquiror shall (and, to the extent required, shall cause its Affiliates to) comply promptly, but in no event later than ten (10) Business Days after the filing with the SEC of the Proxy Statement / Registration Statement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with the notification and reporting requirements of the HSR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Acquiror shall promptly and within ten (10) Business Days after the date hereof (or as soon as reasonably practicable thereafter) give notice of the Transactions to the Secretary of State under section 14 of the NSI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Each of the Company and Acquiror shall comply as promptly as practicable with any Antitrust or FDI Information or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Each of the Company and Acquiror shall (and, to the extent required, shall cause its Affiliates to) request, if available, early termination of any waiting period under the HSR Act and exercise its reasonable best efforts to (i) obtain termination or expiration of any applicable waiting periods under the HSR Act and (ii) prevent the entry, in any Action brought by an Antitrust Authority, an FDI Authority or any other Person, of any Governmental Order which would prohibit, make unlawful or delay the consummation of the Transactions.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Each of the Company and Acquiror shall (and, to the extent required, shall cause its Affiliates to) cooperate in good faith with Governmental Authorities and use their respective reasonable best efforts to undertake promptly any and all action required to complete lawfully the Transactions as soon as practicable, but in any event prior to the Agreement End Date, and avoid, prevent, eliminate or remove the actual or threatened commencement of any proceeding in any forum by or on behalf of any Governmental Authority or the issuance of any Governmental Order that would delay, enjoin, prevent, restrain or otherwise prohibit the consummation of the Merger, including, with the prior written consent of the other Parties,</w:t>
      </w:r>
    </w:p>
    <w:p>
      <w:pPr>
        <w:spacing w:after="0" w:line="3" w:lineRule="exact"/>
        <w:rPr>
          <w:sz w:val="20"/>
          <w:szCs w:val="20"/>
          <w:color w:val="auto"/>
        </w:rPr>
      </w:pPr>
    </w:p>
    <w:p>
      <w:pPr>
        <w:jc w:val="both"/>
        <w:ind w:firstLine="8"/>
        <w:spacing w:after="0" w:line="252" w:lineRule="auto"/>
        <w:tabs>
          <w:tab w:leader="none" w:pos="2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on or prior to the Agreement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Acquiror nor the Company shall be required to undertake any action under this paragraph that (x) would materially impact Acquiror’s or the Company’s expected benefits resulting from the Transactions or (y) is not conditioned upon the consummation of the Transactions.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            With respect to each of the above filings, and any other requests, inquiries, Actions or other proceedings by or from Governmental Authorities in connection with the Transactions, each of the Company and Acquiror shall (and, to the extent required, shall cause its controlled Affiliates to) (i) diligently and expeditiously defend and use reasonable best efforts to obtain any necessary clearance, approval, consent, or Governmental Authorization under Laws prescribed or enforceable by any Governmental Authority for the Transactions and to resolve any objections as may be asserted by any Governmental Authority with respect to the Transactions; and (ii) cooperate fully with each other in the defense of such matters. To the extent not prohibited by Law and reasonably necessary, the Company shall promptly furnish to Acquiror, and Acquiror shall promptly furnish to the Company, copies of any notices or written communications received by such party or any of its Affiliates from any third party or any Governmental Authority with respect to the Transactions,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Parties shall extend any waiting period or comparable period under the HSR Act, or enter into any agreement with any Governmental Authority, without the prior written consent of the other Parties. Materials required to be provided pursuant to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may be restricted to outside counsel and may be redacted (i) to remove references concerning the valuation of the Company; (ii) as necessary to comply with contractual arrangements; and (iii) to remove references to privileged information.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Acquiror shall not merge with or acquire, or agree to merge with or acquire, any other person, or acquire or agree to acquire a substantial portion of the assets of or equity in any other person, before consummating the Merger, if such action would reasonably be expected to adversely affect or materially delay the approval by any Governmental Authority, or the expiration or termination of any waiting period under antitrust Laws, in connection with the Transactions.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Preparation of Proxy Statement / Registration Statement; Stockholders’ Meeting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Proxy Statement / Registration Statement and Prospectus.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(i)            As promptly as practicable after the execution of this Agreement, Acquiror and the Company shall jointly prepare (with the Company’s reasonable cooperation (including causing its Subsidiaries and representatives to cooperate)), and Acquiror shall file with the SEC a registration statement on Form S-4 (as amended or supplemented, the “</w:t>
      </w:r>
      <w:r>
        <w:rPr>
          <w:rFonts w:ascii="Times New Roman" w:cs="Times New Roman" w:eastAsia="Times New Roman" w:hAnsi="Times New Roman"/>
          <w:sz w:val="18"/>
          <w:szCs w:val="18"/>
          <w:u w:val="single" w:color="auto"/>
          <w:color w:val="auto"/>
        </w:rPr>
        <w:t>Proxy Statement / Registration Statement</w:t>
      </w:r>
      <w:r>
        <w:rPr>
          <w:rFonts w:ascii="Times New Roman" w:cs="Times New Roman" w:eastAsia="Times New Roman" w:hAnsi="Times New Roman"/>
          <w:sz w:val="18"/>
          <w:szCs w:val="18"/>
          <w:color w:val="auto"/>
        </w:rPr>
        <w:t xml:space="preserve">”), as mutually agreed upon by Acquiror and the Company, which shall include a proxy statement / prospectus, in connection with the registration under the Securities Act of the shares of Acquiror Class A Common Stock that constitute the Total Merger Consideration to be paid in respect of shares of Company Common Stock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Each of Acquiror and the Company shall use its reasonable best efforts to cause the Proxy Statement / Registration Statement to (x) comply with the rules and regulations promulgated by the SEC and (y) be declared effective under the Securities Act as promptly as practicable after such filing and to keep the Proxy Statement / Registration Statement effective as long as is necessary to consummate the Transactions. The Company shall use commercially reasonable efforts to cooperate with the Acquiror to ensure the Company’s readiness for operation as a public company, including with respect to the Company’s accounting and financial reporting, finance effectiveness, financial planning and analysis, tax, internal controls and internal audit, human resources and compensation, treasury, enterprise risk management, technology and cybersecurity functions. Acquiror also agrees to use its reasonable best efforts to obtain all necessary state securities law or “Blue Sky” permits and approvals required to carry out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Acquiror nor the Company will be required to (A) qualify generally to do business in any jurisdiction where it would not otherwise be required to qualify but for this paragraph, (B) consent to general service of process in any such jurisdiction or (C) subject itself to taxation in any such jurisdiction), and the Company shall furnish all information concerning the Company, its Subsidiaries and any of their respective members or stockholders as may be reasonably requested in connection with any such action. Each of Acquiror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preparation and filing of the Proxy Statement / 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Nasdaq) in connection with the Merger and the other Transactions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Acquiror will cause the Proxy Statement / Registration Statement to be mailed to the Acquiror Stockholders promptly after the Proxy Statement / Registration Statement is declared effective under the Securities Act.</w:t>
      </w:r>
    </w:p>
    <w:p>
      <w:pPr>
        <w:spacing w:after="0" w:line="20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(ii)           To the extent not prohibited by Law, Acquiror will advise the Company, reasonably promptly after Acquiror receives notice thereof, of the time when the Proxy Statement / 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 / Registration Statement or for additional information. To the extent not prohibited by Law, the Company and its counsel shall be given a reasonable opportunity to review and comment on the Proxy Statement / Registration Statement and any Offer Document each time before any such document is filed with the SEC, and Acquiror shall give reasonable and good faith consideration to any comments made by the Company and its counsel. To the extent not prohibited by Law, Acquiror shall provide the Company and their counsel with (A) any written comments or other communications that Acquiror or its counsel may receive from time to time from the SEC or its staff with respect to the Proxy Statement / 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190" w:lineRule="exact"/>
        <w:rPr>
          <w:sz w:val="20"/>
          <w:szCs w:val="20"/>
          <w:color w:val="auto"/>
        </w:rPr>
      </w:pPr>
    </w:p>
    <w:p>
      <w:pPr>
        <w:jc w:val="both"/>
        <w:ind w:firstLine="1944"/>
        <w:spacing w:after="0" w:line="277" w:lineRule="auto"/>
        <w:rPr>
          <w:sz w:val="20"/>
          <w:szCs w:val="20"/>
          <w:color w:val="auto"/>
        </w:rPr>
      </w:pPr>
      <w:r>
        <w:rPr>
          <w:rFonts w:ascii="Times New Roman" w:cs="Times New Roman" w:eastAsia="Times New Roman" w:hAnsi="Times New Roman"/>
          <w:sz w:val="17"/>
          <w:szCs w:val="17"/>
          <w:color w:val="auto"/>
        </w:rPr>
        <w:t>(iii)          Each of Acquiror and the Company shall ensure that none of the information supplied by or on its behalf for inclusion or incorporation by reference in the Proxy Statement / Registration Statement will (A) at the time of the Proxy Statement / Registration Statement is filed with the SEC, at each time at which it is amended, or at the time it becomes effective under the Securities Act or (B) at the date it is first mailed to the Acquiror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(iv)          If, at any time prior to the Effective Time, any information relating to the Company, Acquiror or any of their respective Subsidiaries, Affiliates, directors or officers that is required to be set forth in an amendment or supplement to the Proxy Statement / Registration Statement, so that neither of such documents would include any misstatement of a material fact or omit to state any material fact necessary to make the statements therein, in light of the circumstances under which they were made, not misleading, is discovered by the Company or Acquiror, the party which discovers such information shall promptly notify the other Parties and an appropriate amendment or supplement describing such information shall be promptly filed with the SEC and, to the extent required by Law, disseminated to the Acquiror Stockholders.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Acquiror Stockholder Approval.</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            Acquiror shall (A) as promptly as practicable after the Proxy Statement / Registration Statement is declared effective under the Securities Act, (x) cause the Proxy Statement / Registration Statement to be disseminated to Acquiror Stockholders in compliance with applicable Law, (y) solely with respect to the following clause (1), duly (1) give notice of and (2) convene and hold a meeting of its stockholders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in accordance with Acquiror’s Governing Documents and Nasdaq requirements for a date no later than thirty (30) Business Days following the date the Proxy Statement / Registration Statement is declared effective, and (z) solicit proxies from the holders of Acquiror Common Stock to vote in favor of each of the Transaction Proposals, and (B) provide its stockholders with the opportunity to elect to effect an Acquiror Share Redemption.</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(ii)            Acquiror shall, through Acquiror Board, recommend to its stockholders the (A) approval of the change of Acquiror’s name to “Blaize Holdings, Inc.”, (B) amendment and restatement of Acquiror’s Governing Documents,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(with such changes as may be agreed in writing by Acquiror and the Company) (as may be subsequently amended by mutual written agreement of the Company and Acquiror at any time before the effectiveness of the Proxy Statement / Registration Statement), including any separate or unbundled proposals as are required to implement the foregoing, (C) adoption and approval of this Agreement in accordance with applicable Law and exchange rules and regulations, (D) approval of the issuance of shares of Acquiror Class A Common Stock in connection with the Merger,</w:t>
      </w:r>
    </w:p>
    <w:p>
      <w:pPr>
        <w:spacing w:after="0" w:line="5" w:lineRule="exact"/>
        <w:rPr>
          <w:sz w:val="20"/>
          <w:szCs w:val="20"/>
          <w:color w:val="auto"/>
        </w:rPr>
      </w:pPr>
    </w:p>
    <w:p>
      <w:pPr>
        <w:jc w:val="both"/>
        <w:ind w:firstLine="8"/>
        <w:spacing w:after="0" w:line="250" w:lineRule="auto"/>
        <w:tabs>
          <w:tab w:leader="none" w:pos="2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election of directors effective as of the Closing as contemplated by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(F) adoption and approval of any other proposals as the SEC (or staff member thereof) may indicate are necessary in its comments to the Proxy Statement / Registration Statement or correspondence related thereto,</w:t>
      </w:r>
    </w:p>
    <w:p>
      <w:pPr>
        <w:jc w:val="both"/>
        <w:ind w:firstLine="8"/>
        <w:spacing w:after="0" w:line="253" w:lineRule="auto"/>
        <w:tabs>
          <w:tab w:leader="none" w:pos="2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and approval of the Equity Incentive Plan and ESPP, (H) adoption and approval of any other proposals as reasonably agreed by Acquiror and the Company to be necessary or appropriate in connection with the Transactions and (I) adjournment of the Acquiror Stockholders’ Meeting, if necessary, to permit further solicitation of proxies because there are not sufficient votes to approve and adopt any of the foregoing (such proposals in (A) through (I), together,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and proposals (A) through (G), the “</w:t>
      </w:r>
      <w:r>
        <w:rPr>
          <w:rFonts w:ascii="Times New Roman" w:cs="Times New Roman" w:eastAsia="Times New Roman" w:hAnsi="Times New Roman"/>
          <w:sz w:val="18"/>
          <w:szCs w:val="18"/>
          <w:u w:val="single" w:color="auto"/>
          <w:color w:val="auto"/>
        </w:rPr>
        <w:t>Required Transaction Proposals</w:t>
      </w:r>
      <w:r>
        <w:rPr>
          <w:rFonts w:ascii="Times New Roman" w:cs="Times New Roman" w:eastAsia="Times New Roman" w:hAnsi="Times New Roman"/>
          <w:sz w:val="18"/>
          <w:szCs w:val="18"/>
          <w:color w:val="auto"/>
        </w:rPr>
        <w:t>”), and include such recommendation in the Proxy Statement / Registration 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Modification in Recommendation</w:t>
      </w:r>
      <w:r>
        <w:rPr>
          <w:rFonts w:ascii="Times New Roman" w:cs="Times New Roman" w:eastAsia="Times New Roman" w:hAnsi="Times New Roman"/>
          <w:sz w:val="18"/>
          <w:szCs w:val="18"/>
          <w:color w:val="auto"/>
        </w:rPr>
        <w:t>. The Acquiror Board shall not withdraw, amend, qualify or modify its recommendation to the Acquiror Stockholders that they vote in favor of the Transaction Proposals (together with any withdrawal, amendment, qualification or modification of its recommendation to the Acquiror Stockholders described in the recitals hereto, a “</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Acquiror Board may make a Modification in Recommendation if as a result of an Acquiror Intervening Event, the Acquiror Board determines in good faith, after consultation with its outside legal counsel, that a failure to make a Modification in Recommendation would reasonably be expected to be a breach of, or be inconsistent with, its fiduciary obligations to the Acquiror Stockholders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Acquiror shall have delivered written notice to the Company advising the Company that the Acquiror Board proposes to take such action in response to an Acquiror Intervening Event and containing the material facts underlying the Acquiror Board’s determination that an Acquiror Intervening Event has occurred and of its intention to make a Modification in Recommendation as a result of an Acquiror Intervening Event at least five (5) Business Days prior to the taking of such action by Acquiror (in each case, it being acknowledged that such notice shall not itself constitute a breach of this Agreement), (ii) during such period and prior to making a Modification in Recommendation, if requested by the Company, Acquiror shall have negotiated in good faith with the Company regarding any revisions or adjustments proposed by the Company to the terms and conditions of this Agreement as would enable the Acquiror Board to reaffirm its recommendation and not make such Modification in Recommendation and (iii) if the Company requested negotiations in accordance with clause (ii), Acquiror may make a Modification in Recommendation only if the Acquiror Board, after considering in good faith any revisions or adjustments to the terms and conditions of this Agreement that the Company shall have, prior to the expiration of the five (5) Business Day period (it being understood that any material development with respect to an Acquiror Intervening Event, in each case, shall require a new notice but with an additional two (2) Business Day (instead of five (5) Business Day) period from the date of such notice), offered in writing to Acquiror, continues to determine in good faith that failure to make a Modification in Recommendation would be a breach of, or inconsistent with, its fiduciary duties to the Acquiror Stockholders under applicable Law. Notwithstanding anything to the contrary in this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in no event shall any of the following (or the effect of any of the following), alone or in combination, permit or justify, or be taken into account in determining whether to make, a Modification in Recommendation: (A) meeting, failing to meet or exceeding projections of the Company and its Subsidiaries (in and of itself, but without preventing a determination of a Modification in Recommendation as to the Events underlying such change); (B) any actions required to be taken pursuant to this Agreement; and (C) any changes in the price of Acquiror Common Stock (in and of itself, but without preventing a determination of a Modification in Recommendation as to the Events underlying such change). To the fullest extent permitted by applicable Law, (x) Acquiror’s obligations to establish a record date for, duly call, give notice of, convene and hold the Acquiror Stockholders’ Meeting shall not be affected by any Modification in Recommendation and (y) Acquiror agrees to establish a record date for, duly call, give notice of, convene and hold the Acquiror Stockholders’ Meeting and submit for approval the Transaction Proposals and (z)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has been no Modification in Recommendation, Acquiror shall use its reasonable best efforts to take all actions necessary to obtain the Acquiror Stockholder Approval at the Acquiror Stockholders’ Meeting, including as such Acquiror Stockholders’ Meeting may be adjourned or postponed in accordance with this Agreement, including by soliciting proxies in accordance with applicable Law for the purpose of seeking the Acquiror Stockholder Approval. Acquiror may only adjourn the Acquiror Stockholders’ Meeting (I) to solicit additional proxies for the purpose of obtaining the Acquiror Stockholder Approval, (II) for the absence of a quorum and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Acquiror Stockholders prior to the Acquiror Stockholders’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Acquiror Stockholders’ Meeting (1) may not be adjourned to a date that is more than fifteen (15) days after the date for which the Acquiror Stockholders’ Meeting was originally scheduled (excluding any adjournments required by applicable Law) and (2) shall not be held later than three (3) Business Days prior to the Agreement End Date.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Stockholder Approvals</w:t>
      </w:r>
      <w:r>
        <w:rPr>
          <w:rFonts w:ascii="Times New Roman" w:cs="Times New Roman" w:eastAsia="Times New Roman" w:hAnsi="Times New Roman"/>
          <w:sz w:val="18"/>
          <w:szCs w:val="18"/>
          <w:color w:val="auto"/>
        </w:rPr>
        <w:t>. Upon the terms set forth in this Agreement, the Company shall use its reasonable best efforts to solicit and obtain the Company Stockholder Approvals in the form of an irrevocable written consent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from the Requisite Company Stockholders as soon as reasonably practicable after the Proxy Statement / Registration Statement is declared effective by the SEC. Promptly following the receipt of the Company Stockholder Approvals via the executed Company Stockholder Written Consent from the Requisite Company Stockholders, the Company will prepare (subject to the reasonable approval of Acquiror) and deliver, to the holders of Company Common Stock who have not executed and delivered a Company Stockholder Written Consent, the notice required by Section 228(e) of the DGCL, which shall include a description of the appraisal rights of such holders available under Section 262 of the DGCL, along with such other information as is required thereunder and pursuant to applicable Law. In the event the Company is not able to obtain the Company Stockholder Approvals in such manner and Acquiror does not elect to exercise its right to terminate this Agreement, the Company shall duly convene a meeting of the stockholders of the Company for the purpose of voting solely upon the adoption of this Agreement and the Transactions, including the Merger, as soon as reasonably practicable, in which case the Company shall obtain the Company Stockholder Approvals at such meeting of the stockholders of the Company and shall take all other action necessary or advisable to secure the Company Stockholder Approvals as soon as reasonably practicable.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Acquiror Board</w:t>
      </w:r>
      <w:r>
        <w:rPr>
          <w:rFonts w:ascii="Times New Roman" w:cs="Times New Roman" w:eastAsia="Times New Roman" w:hAnsi="Times New Roman"/>
          <w:sz w:val="18"/>
          <w:szCs w:val="18"/>
          <w:color w:val="auto"/>
        </w:rPr>
        <w:t>. Acquiror and the Company shall take all necessary action to cause the board of directors of Acquiror as of immediately following the Closing (the “</w:t>
      </w:r>
      <w:r>
        <w:rPr>
          <w:rFonts w:ascii="Times New Roman" w:cs="Times New Roman" w:eastAsia="Times New Roman" w:hAnsi="Times New Roman"/>
          <w:sz w:val="18"/>
          <w:szCs w:val="18"/>
          <w:u w:val="single" w:color="auto"/>
          <w:color w:val="auto"/>
        </w:rPr>
        <w:t>New Acquiror Board</w:t>
      </w:r>
      <w:r>
        <w:rPr>
          <w:rFonts w:ascii="Times New Roman" w:cs="Times New Roman" w:eastAsia="Times New Roman" w:hAnsi="Times New Roman"/>
          <w:sz w:val="18"/>
          <w:szCs w:val="18"/>
          <w:color w:val="auto"/>
        </w:rPr>
        <w:t>”) to consist of nine (9) directors. The initial composition of the New Acquiror Board shall be comprised of (a) two (2) individuals to be designated by the Company, (b) two (2) individuals to be designated by the Sponsor and (c) five (5) individuals will be independent directors, designated by the Company (the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xml:space="preserve">”). The Company agrees to consult, in good faith, with Acquiror regarding the determination of the Independent Directors. The Parties shall use reasonable best efforts to ensure that the Persons designated for election to the New Acquiror Board pursuant to this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are nominated and elected as directors of Acquiror effective as of the Closing, and the identities of such individuals shall be made publicly available prior to the date on which the Proxy Statement / Registration Statement is filed with the SEC in definitive form.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Section 8.3            </w:t>
      </w:r>
      <w:r>
        <w:rPr>
          <w:rFonts w:ascii="Times New Roman" w:cs="Times New Roman" w:eastAsia="Times New Roman" w:hAnsi="Times New Roman"/>
          <w:sz w:val="17"/>
          <w:szCs w:val="17"/>
          <w:u w:val="single" w:color="auto"/>
          <w:color w:val="auto"/>
        </w:rPr>
        <w:t>  Support of Transaction</w:t>
      </w:r>
      <w:r>
        <w:rPr>
          <w:rFonts w:ascii="Times New Roman" w:cs="Times New Roman" w:eastAsia="Times New Roman" w:hAnsi="Times New Roman"/>
          <w:sz w:val="17"/>
          <w:szCs w:val="17"/>
          <w:color w:val="auto"/>
        </w:rPr>
        <w:t xml:space="preserve">. Without limiting any covenant contained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during the Interim Period, Acquiror and the Company shall each, and each shall cause its Subsidiaries to (a) use reasonable best efforts to obtain all material consents and approvals of, and send all notices to, third parties that any of Acquiror or the Company or their respective Affiliates are required to obtain or send, as applicable, in order to consummate the Merger (including, in the case of the Company, the Contracts and Licenses set forth on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of the Company Disclosure Letter),</w:t>
      </w:r>
    </w:p>
    <w:p>
      <w:pPr>
        <w:spacing w:after="0" w:line="3" w:lineRule="exact"/>
        <w:rPr>
          <w:sz w:val="20"/>
          <w:szCs w:val="20"/>
          <w:color w:val="auto"/>
        </w:rPr>
      </w:pPr>
    </w:p>
    <w:p>
      <w:pPr>
        <w:jc w:val="both"/>
        <w:ind w:firstLine="8"/>
        <w:spacing w:after="0" w:line="271" w:lineRule="auto"/>
        <w:tabs>
          <w:tab w:leader="none" w:pos="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reasonable best efforts to deliver the Ancillary Agreements, to the extent not delivered on or prior to the date hereof, and (c) take such other action as may be reasonably necessary or as another party hereto may reasonably request to satisfy the conditions of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otherwise to comply with this Agreement and to consummate the Transactions as soon as practicable. The Company shall use reasonable best efforts to procure the execution of Ancillary Agreements by the applicable Company Stockholders, to the extent not so executed on or prior to the date hereof. Notwithstanding anything to the contrary contained herein, no action taken by the Company or Acquiror under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will constitute a breach of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respectively.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All transfer, documentary, sales, use, real property, stamp, registration, value added and other similar Taxes incurred as a result of the Merger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be timely paid in accordance with this Agreement when due. The Company shall file all necessary Tax Returns and other documentation with respect to all such Transfer Taxes and shall timely pay (or cause to be timely paid) to the applicable Governmental Authority such Transfer Taxes. The Parties shall cooperate in good faith to prepare and file (or cause to be prepared and filed) all Tax Returns in respect of any such Transfer Taxes. For the avoidance of doubt, Transfer Taxes referred to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exclude Taxes imposed on income, profit or gain, including Taxes under the IT Act, and shall exclude any Excise Taxes payable in connection with any Acquiror Share Redemption (for the avoidance of doubt, Acquiror shall bear sole responsibility for timely paying any Excise Taxes payable in connection with any Acquiror Share Redemption).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8.5            </w:t>
      </w:r>
      <w:r>
        <w:rPr>
          <w:rFonts w:ascii="Times New Roman" w:cs="Times New Roman" w:eastAsia="Times New Roman" w:hAnsi="Times New Roman"/>
          <w:sz w:val="18"/>
          <w:szCs w:val="18"/>
          <w:u w:val="single" w:color="auto"/>
          <w:color w:val="auto"/>
        </w:rPr>
        <w:t>  Section 16 Matters</w:t>
      </w:r>
      <w:r>
        <w:rPr>
          <w:rFonts w:ascii="Times New Roman" w:cs="Times New Roman" w:eastAsia="Times New Roman" w:hAnsi="Times New Roman"/>
          <w:sz w:val="18"/>
          <w:szCs w:val="18"/>
          <w:color w:val="auto"/>
        </w:rPr>
        <w:t>. During the Interim Period, each of the Company and Acquiror shall take all such steps as may be required (to the extent permitted under applicable Law) to cause any dispositions of shares of the Company Common Stock or acquisitions of shares of Acquiror Class A Common Stock (including, in each case, securities deliverable upon exercise, vesting or settlement of any derivative securities) resulting from the Transactions by each individual who may become subject to the reporting requirements of Section 16(a) of the Exchange Act in connection with the Transactions to be exempt under Rule 16b-3 promulgated under the Exchange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8.6            </w:t>
      </w:r>
      <w:r>
        <w:rPr>
          <w:rFonts w:ascii="Times New Roman" w:cs="Times New Roman" w:eastAsia="Times New Roman" w:hAnsi="Times New Roman"/>
          <w:sz w:val="18"/>
          <w:szCs w:val="18"/>
          <w:u w:val="single" w:color="auto"/>
          <w:color w:val="auto"/>
        </w:rPr>
        <w:t>  Cooperation; Consultation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During the Interim Period, each of the Company and Acquiror shall, and each of them shall cause its respective Subsidiaries (as applicable) and its and their officers, directors, managers, employees, consultants, counsel, accounts, agents and other representatives to, reasonably cooperate in a timely manner in connection with any financing arrangement the Parties mutually agree to seek in connection with the transactions contemplated by this Agreement (it being understood and agreed that, other than the Private Placement Investment, the consummation of any such financing by the Company or Acquiror shall be subject to the Parties’ mutual agreement), including (if mutually agreed by the Parties) (i) by providing such information and assistance as the other party may reasonably request, (ii) granting such access to the other party and its representatives as may be reasonably necessary for their due diligence, and (iii) participating in a reasonable number of meetings, presentations, road shows, drafting sessions, due diligence sessions with respect to such financing efforts (including direct contact between senior management and other representatives of the Company and its Subsidiaries at reasonable times and locations). All such cooperation, assistance and access shall be granted during normal business hours and shall be granted under conditions that shall not unreasonably interfere with the business and operations of the Company, Acquiror, or their respective auditors.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During the Interim Period, subject to any applicable public communication made in compliance with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Acquiror shall use its reasonable best efforts to, and shall instruct its financial advisors to, keep the Company and its financial advisors reasonably informed with respect to the Private Placement Investment, including by (i) providing regular updates and (ii) consulting and cooperating with, and considering in good faith any feedback from, the Company or its financial advisors with respect to such matters.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During the Interim Period and in connection with the filing of the Proxy Statement / Registration Statement, the Company shall, and shall cause its Subsidiaries and its and their applicable officers, directors, managers, employees, consultants, counsel, accountants, agents and other representatives to, promptly provide Acquiror and its counsel, accountants, agents and other representatives, as applicable, with documents required to be filed with the Proxy Statement / Registration Statement under the applicable SEC requirements, including but not limited to, those pursuant to Item 601 of Regulation S-K under the Securities Act as if the Company was the registrant.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8.7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During the Interim Period, (x) Acquiror shall not, shall cause each of its Affiliates and Subsidiaries and their respective representatives not to, directly or indirectly, (i) encourage, solicit, initiate, facilitate or continue inquiries regarding a Business Combination Proposal;</w:t>
      </w: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discussions or negotiations with, or provide any information to, any Person concerning a possible Business Combination Proposal;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agreements or other instruments (whether or not binding) regarding a Business Combination Proposal, and (y) Acquiror shall immediately cease and cause to be terminated, and shall direct its Affiliates and all of its and their representatives to immediately cease and cause to be terminated, all existing discussions or negotiations with any Persons (other than the other party hereto and its representatives) conducted heretofore with respect to, or that could lead to, any Business Combination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restrict Acquiror from responding to unsolicited inbound inquiries to the extent required for the Acquiror Board to comply with its fiduciary duties.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During the Interim Period, the Company shall not, shall cause each of its Affiliates and Subsidiaries and their respective representatives not to, directly or indirectly, (i) encourage, solicit, initiate, facilitate or continue inquiries regarding a Company Acquisition Proposal;</w:t>
      </w: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discussions or negotiations with, or provide any information to, any Person concerning a possible Company Acquisition Proposal; or</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3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agreements or other instruments (whether or not binding) regarding a Company Acquisition Proposal. The Company shall immediately cease and cause to be terminated, and shall direct its Affiliates and all of its and their representatives to immediately cease and cause to be terminated, all existing discussions or negotiations with any Persons (other than the other party hereto and its representatives) conducted heretofore with respect to, or that could lead to, any Company Acquisition Proposal. For purposes hereof, “</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inquiry, proposal or offer concerning a merger, consolidation, liquidation, recapitalization, share exchange or other transaction involving the sale, lease, exchange or other disposition of more than fifteen percent (15%) of the properties or assets or equity interests of the Company or any of its Subsidiaries (other than any Company Financing).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In addition to the other obligations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each Party shall promptly (and in any event within twenty-four (24) hours after receipt thereof by such party) advise the other party hereto orally and in writing of any Business Combination Proposal (with respect to Acquiror or Merger Sub) or Company Acquisition Proposal (with respect to the Company) received by the applicable party, or any inquiry with respect to or which could reasonably be expected to result in any Business Combination Proposal (with respect to Acquiror or Merger Sub) or Company Acquisition Proposal (with respect to the Company), the material terms and conditions of such any Business Combination Proposal (with respect to Acquiror or Merger Sub) or Company Acquisition Proposal (with respect to the Company) or inquiry, and the identity of the Person making the same.</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Each party hereto agrees that the rights and remedies for noncompliance with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include having such provision specifically enforced by any court having equity jurisdiction, it being acknowledged and agreed that any such breach or threatened breach may cause irreparable injury to the other party hereto and that money damages will not provide an adequate remedy.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Each of Acquiror and the Company acknowledges and agrees that, for purposes of determining whether a breach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has occurred, the actions of such party’s directors, officers, employees, Affiliates and representatives shall be deemed to be the actions of such party, and such party shall be responsible for any breach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by such Persons.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8.8            </w:t>
      </w:r>
      <w:r>
        <w:rPr>
          <w:rFonts w:ascii="Times New Roman" w:cs="Times New Roman" w:eastAsia="Times New Roman" w:hAnsi="Times New Roman"/>
          <w:sz w:val="18"/>
          <w:szCs w:val="18"/>
          <w:u w:val="single" w:color="auto"/>
          <w:color w:val="auto"/>
        </w:rPr>
        <w:t>  Stockholder Litigation</w:t>
      </w:r>
      <w:r>
        <w:rPr>
          <w:rFonts w:ascii="Times New Roman" w:cs="Times New Roman" w:eastAsia="Times New Roman" w:hAnsi="Times New Roman"/>
          <w:sz w:val="18"/>
          <w:szCs w:val="18"/>
          <w:color w:val="auto"/>
        </w:rPr>
        <w:t>. In the event that any litigation related to this Agreement, any Ancillary Agreement or the Transactions is brought, or, to the knowledge of Acquiror or the Company, threatened in writing, against such Party, any of its Subsidiaries or any of its directors or officers by any of the Acquiror Stockholders or the Company Stockholders prior to the Closing, the occurrence of which has caused or is reasonably likely to cause any condition to the obligations of any Party to effect the Transactions not to be satisfied or is reasonably likely to have a material adverse effect on the ability of the Parties to consummate the Transactions or to materially delay the timing thereof (any such Action,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such Party shall promptly notify the other Party of any such litigation and keep the other Party reasonably informed with respect to the status thereof. Other than with respect to any Stockholder Litigation where the interests of Acquiror and the Company may be adverse to the other Party or in the context of any Stockholder Litigation related to or arising out of a Company Acquisition Proposal or Business Combination Proposal, the Company and Acquiror, as the case may be, shall provide the other Party the opportunity to participate in (subject to a customary joint defense agreement), but not control, the defense of any such litigation, shall give due consideration to the other Party’s advice with respect to such litigation and shall not settle any such litigation without prior written consent of the other Party, such consent not to be unreasonably withheld, conditioned or delayed.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8.9            </w:t>
      </w:r>
      <w:r>
        <w:rPr>
          <w:rFonts w:ascii="Times New Roman" w:cs="Times New Roman" w:eastAsia="Times New Roman" w:hAnsi="Times New Roman"/>
          <w:sz w:val="18"/>
          <w:szCs w:val="18"/>
          <w:u w:val="single" w:color="auto"/>
          <w:color w:val="auto"/>
        </w:rPr>
        <w:t>  Fairness Opinion</w:t>
      </w:r>
      <w:r>
        <w:rPr>
          <w:rFonts w:ascii="Times New Roman" w:cs="Times New Roman" w:eastAsia="Times New Roman" w:hAnsi="Times New Roman"/>
          <w:sz w:val="18"/>
          <w:szCs w:val="18"/>
          <w:color w:val="auto"/>
        </w:rPr>
        <w:t>. The Company shall reasonably cooperate with and support Acquiror in connection with Acquiror obtaining from a reputable independent investment banking firm or other independent financial advisory firm, in form and substance satisfactory to the Acquiror Board in its reasonable discretion, an opinion to the effect that, as of the date of such opinion and based upon and subject to the various qualifications and assumptions set forth therein, the Total Merger Consideration to be paid by Acquiror pursuant to this Agreement is fair from a financial point of view to the public stockholders of Acquiror.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Conditions to Obligations of Acquiror, Merger Sub, and the Company</w:t>
      </w:r>
      <w:r>
        <w:rPr>
          <w:rFonts w:ascii="Times New Roman" w:cs="Times New Roman" w:eastAsia="Times New Roman" w:hAnsi="Times New Roman"/>
          <w:sz w:val="18"/>
          <w:szCs w:val="18"/>
          <w:color w:val="auto"/>
        </w:rPr>
        <w:t>. The obligations of Acquiror, Merger Sub, and the Company to consummate, or cause to be consummated, the Merger is subject to the satisfaction of the following conditions, any one or more of which may, to the extent permitted by law, be waived in writing by all of such Parties: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Acquiror Stockholder Approval shall have been obtained with respect to the Required Transaction Proposals;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Stockholder Approvals shall have been obtained;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Proxy Statement / Registration Statement shall have become effective under the Securities Act and no stop order suspending the effectiveness of the Proxy Statement / Registration Statement shall have been issued by the SEC and shall remain in effect and no proceedings seeking such a stop order shall have been initiated or threatened by the SEC and not withdrawn;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All waiting periods under the HSR Act (and any extensions thereof, including any agreement with any Governmental Authority to delay consummation of the Transactions) applicable to the Transactions shall have expired or been terminated;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Secretary of State shall have approved the Transactions as provided for by section 13 of the NSI Act;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There shall not be in force any Governmental Order or other Law enjoining, prohibiting or making illegal the consummation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Governmental Authority issuing, enacting or promulgating such Governmental Order or other Law has jurisdiction over the Parties with respect to the Transactions; and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(g)            The shares of Acquiror Class A Common Stock to be issued in connection with the Merger shall have been approved for listing on Nasdaq, subject only to official notice of issuance thereof.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Conditions to Obligations of Acquiror and Merger Sub</w:t>
      </w:r>
      <w:r>
        <w:rPr>
          <w:rFonts w:ascii="Times New Roman" w:cs="Times New Roman" w:eastAsia="Times New Roman" w:hAnsi="Times New Roman"/>
          <w:sz w:val="18"/>
          <w:szCs w:val="18"/>
          <w:color w:val="auto"/>
        </w:rPr>
        <w:t>. The obligations of Acquiror and Merger Sub to consummate, or cause to be consummated, the Merger are subject to the satisfaction of the following additional conditions, any one or more of which may be waived in writing by Acquiror and Merger Sub:</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(i) the Company Fundamental Representations each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(ii) the representations and warranties of the Company contained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shall be true and correct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except with respect to such representations and warranties which speak as to an earlier date, which representations and warranties shall be true and correct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at and as of such date, except for changes after the date of this Agreement which are contemplated or expressly permitted by this Agreement or the Ancillary Agreements, and (iii) each of the representations and warranties of the Company contained in this Agreement other than the Company Fundamental Representations and the representations and warranties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(disregarding any qualifications and exceptions contained therein relating to materiality and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or omissions that would not, individually or in the aggregate, reasonably be expected to have a Company Material Adverse Effect;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Each of the covenants of the Company to be performed as of or prior to the Closing shall have been performed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a covenant of the Company shall only be deemed to have not been performed if the Company has materially breached such covenant and failed to cure within thirty (30) days’ after notice (or if earlier, the Agreement End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 Company Material Adverse Effect shall have occurred between the date of this Agreement and the Closing Date and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Company shall have effectuated the Company Security Conversion, the Warrant Event and the Burkhan Conversion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Conditions to the Obligations of the Company</w:t>
      </w:r>
      <w:r>
        <w:rPr>
          <w:rFonts w:ascii="Times New Roman" w:cs="Times New Roman" w:eastAsia="Times New Roman" w:hAnsi="Times New Roman"/>
          <w:sz w:val="18"/>
          <w:szCs w:val="18"/>
          <w:color w:val="auto"/>
        </w:rPr>
        <w:t>. The obligation of the Company to consummate, or cause to be consummated,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is subject to the satisfaction of the following additional conditions, any one or more of which may be waived in writing by the Company: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(i) the Acquiror Fundamental Representations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(ii) the representations and warranties of Acquiror contained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shall be true and correct other than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as of the Closing Date, except with respect to such representations and warranties which speak as to an earlier date,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representations and warranties shall be true and correct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at and as of such date, except for changes after the date of this Agreement which are contemplated or expressly permitted by this Agreement or the Ancillary Agreements, and (iii) each of the representations and warranties of Acquiror contained in this Agreement other than the Acquiror Fundamental Representations and the representations and warranties of Acquiror set forth in clause (ii) above (disregarding any qualifications and exceptions contained therein relating to materiality and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or omissions that would not, individually or in the aggregate, reasonably be expected to have an Acquiror Material Adverse Effect;</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Each of the covenants of Acquiror to be performed as of or prior to the Closing shall have been performed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a covenant of Acquiror shall only be deemed to have not been performed if the Acquiror has materially breached such covenant and failed to cure within thirty (30) days’ after notice (or if earlier, the Agreement End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 Acquiror Material Adverse Effect shall have occurred between the date of this Agreement and the Closing Date and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Available Acquiror Cash shall be no less than the Minimum Cash Amount;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Other than those persons designated by the Parties as persons to be nominated for election to the New Acquiror Board in accordance with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all members of the Acquiror Board and all executive officers of Acquiror shall have executed written resignations effective as of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Frustration of Conditions</w:t>
      </w:r>
      <w:r>
        <w:rPr>
          <w:rFonts w:ascii="Times New Roman" w:cs="Times New Roman" w:eastAsia="Times New Roman" w:hAnsi="Times New Roman"/>
          <w:sz w:val="18"/>
          <w:szCs w:val="18"/>
          <w:color w:val="auto"/>
        </w:rPr>
        <w:t xml:space="preserve">. None of the Acquiror, Merger Sub or the Company may rely on the failure of any condition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be satisfied if such failure was caused by such party’s failure to act in good faith or to take such actions as may be necessary to cause the conditions of the other party hereto to be satisfied, as required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TERMINATION/EFFECTIVENESS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and the Transactions abandoned: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written consent of the Company and Acquiror;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by the Company or Acquiror if any Governmental Authority shall have enacted, issued, promulgated, enforced or entered any Governmental Order or other Law which has become final and non-appealable and has the effect of permanently making consummation of the Merger illegal or otherwise permanently preventing or prohibiting consummation of the Merger;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by the Company or Acquiror if the condition set forth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shall not have been obtained by reason of the failure to obtain the required vote at the Acquiror Stockholders’ Meeting duly convened therefor or at any adjournment or postponement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by the Company if there has been a Modification in Recommendation;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by written notice to the Company from Acquiror if (i) there is any breach of any representation, warranty, covenant or agreement on the part of the Company set forth in this Agreement, such that the conditions specified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would not be satisfied at the Closing (a “</w:t>
      </w:r>
      <w:r>
        <w:rPr>
          <w:rFonts w:ascii="Times New Roman" w:cs="Times New Roman" w:eastAsia="Times New Roman" w:hAnsi="Times New Roman"/>
          <w:sz w:val="18"/>
          <w:szCs w:val="18"/>
          <w:u w:val="single" w:color="auto"/>
          <w:color w:val="auto"/>
        </w:rPr>
        <w:t>Terminating Company Breach</w:t>
      </w:r>
      <w:r>
        <w:rPr>
          <w:rFonts w:ascii="Times New Roman" w:cs="Times New Roman" w:eastAsia="Times New Roman" w:hAnsi="Times New Roman"/>
          <w:sz w:val="18"/>
          <w:szCs w:val="18"/>
          <w:color w:val="auto"/>
        </w:rPr>
        <w:t>”), except that, if such Terminating Company Breach is curable by the Company through the exercise of its reasonable best efforts, then, until the earlier of (x) thirty (30) days after receipt by the Company of notice from Acquiror of such breach and (y) the Agreement End Date, but only as long as the Company continues to use its respective reasonable best efforts to cure such Terminating Company Breach (the “</w:t>
      </w:r>
      <w:r>
        <w:rPr>
          <w:rFonts w:ascii="Times New Roman" w:cs="Times New Roman" w:eastAsia="Times New Roman" w:hAnsi="Times New Roman"/>
          <w:sz w:val="18"/>
          <w:szCs w:val="18"/>
          <w:u w:val="single" w:color="auto"/>
          <w:color w:val="auto"/>
        </w:rPr>
        <w:t>Company Cure Period</w:t>
      </w:r>
      <w:r>
        <w:rPr>
          <w:rFonts w:ascii="Times New Roman" w:cs="Times New Roman" w:eastAsia="Times New Roman" w:hAnsi="Times New Roman"/>
          <w:sz w:val="18"/>
          <w:szCs w:val="18"/>
          <w:color w:val="auto"/>
        </w:rPr>
        <w:t>”), such termination shall not be effective, and such termination shall become effective only if the Terminating Company Breach is not cured within the Company Cure Period, or (ii) the Closing has not occurred on or before December 31, 2024 (the “</w:t>
      </w:r>
      <w:r>
        <w:rPr>
          <w:rFonts w:ascii="Times New Roman" w:cs="Times New Roman" w:eastAsia="Times New Roman" w:hAnsi="Times New Roman"/>
          <w:sz w:val="18"/>
          <w:szCs w:val="18"/>
          <w:u w:val="single" w:color="auto"/>
          <w:color w:val="auto"/>
        </w:rPr>
        <w:t>Agreement End Date</w:t>
      </w:r>
      <w:r>
        <w:rPr>
          <w:rFonts w:ascii="Times New Roman" w:cs="Times New Roman" w:eastAsia="Times New Roman" w:hAnsi="Times New Roman"/>
          <w:sz w:val="18"/>
          <w:szCs w:val="18"/>
          <w:color w:val="auto"/>
        </w:rPr>
        <w:t xml:space="preserve">”), unless Acquiror is in material breach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Acquiror shall not have the right to terminate this Agreement pursuant to clause (i) of this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if Acquiror is then in breach of any of its covenants, agreements, representations or warranties contained in this Agreement, which breach would cause any condition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as applicable,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shall not be available to Acquiror in the event that the breach of or failure to perform any provision of this Agreement by Acquiror is the proximate cause of the failure of the Closing to be consummated by the Agreement End Date;</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by the Company or Acquiror if the Company Stockholder Approvals shall not have been obtained in accordance with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shall not be available to the Company unless the Company has complied in all material respects with its obligations to solicit the Company Stockholder Approvals under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by the Company or Acquiror if an Extension is not effected in accordance with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and Acquiror must liquidate in accordance with its Governing Documents;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by the Company if as of January 8, 2024, at least $9,863,333.34 principal amount of the Burkhan Convertible Notes has not been funded by Burkhan and/or its Affiliates and/or nominees following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shall not be available to the Company in the event the $9,863,333.34 principal amount of the Burkhan Convertibles Notes is funded prior to the Company’s termination of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by the Company if as of January 21, 2024, at least $24,863,333.34 principal amount of the Burkhan Convertible Notes have not been funded by Burkhan and/or its Affiliates and/or nominees following the date of this Agreement (it being understood that the aggregate principal amount of all outstanding Burkhan Convertible Notes funded up to such date shall be taken into account for the purpose of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including, for the avoidance of doubt, any amount counted for the purpose of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shall not be available to the Company in the event the $24,863,333.34 principal amount of the Burkhan Convertibles Notes is funded prior to the Company’s termination of this Agreement; or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(j)              by written notice to Acquiror from the Company if (i) there is any breach of any representation, warranty, covenant or agreement on the part of Acquiror or Merger Sub set forth in this Agreement, such that the conditions specified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would not be satisfied at the Closing (a “</w:t>
      </w:r>
      <w:r>
        <w:rPr>
          <w:rFonts w:ascii="Times New Roman" w:cs="Times New Roman" w:eastAsia="Times New Roman" w:hAnsi="Times New Roman"/>
          <w:sz w:val="18"/>
          <w:szCs w:val="18"/>
          <w:u w:val="single" w:color="auto"/>
          <w:color w:val="auto"/>
        </w:rPr>
        <w:t>Terminating Acquiror Breach</w:t>
      </w:r>
      <w:r>
        <w:rPr>
          <w:rFonts w:ascii="Times New Roman" w:cs="Times New Roman" w:eastAsia="Times New Roman" w:hAnsi="Times New Roman"/>
          <w:sz w:val="18"/>
          <w:szCs w:val="18"/>
          <w:color w:val="auto"/>
        </w:rPr>
        <w:t>”), except that, if any such Terminating Acquiror Breach is curable by Acquiror through the exercise of its commercially reasonable efforts, then, for a period until the earlier of (x) thirty (30) days after receipt by Acquiror of notice from the Company of such breach and (y) the Agreement End Date, but only as long as Acquiror continues to exercise such commercially reasonable efforts to cure such Terminating Acquiror Breach (the “</w:t>
      </w:r>
      <w:r>
        <w:rPr>
          <w:rFonts w:ascii="Times New Roman" w:cs="Times New Roman" w:eastAsia="Times New Roman" w:hAnsi="Times New Roman"/>
          <w:sz w:val="18"/>
          <w:szCs w:val="18"/>
          <w:u w:val="single" w:color="auto"/>
          <w:color w:val="auto"/>
        </w:rPr>
        <w:t>Acquiror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Acquiror Breach is not cured within the Acquiror Cure Period or (ii) the Closing has not occurred on or before the Agreement End Date, unless the Company is in material breach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if the Company is then in breach of any of its covenants, agreements, representations or warranties contained in this Agreement, which breach would cause any condition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as applicable,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shall not be available to the Company in the event that the breach of or failure to perform any provision of this Agreement by the Company is the proximate cause of the failure of the Closing to be consummated by the Agreement End Date.</w:t>
      </w:r>
    </w:p>
    <w:p>
      <w:pPr>
        <w:spacing w:after="0" w:line="19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Section 10.2          </w:t>
      </w:r>
      <w:r>
        <w:rPr>
          <w:rFonts w:ascii="Times New Roman" w:cs="Times New Roman" w:eastAsia="Times New Roman" w:hAnsi="Times New Roman"/>
          <w:sz w:val="17"/>
          <w:szCs w:val="17"/>
          <w:u w:val="single" w:color="auto"/>
          <w:color w:val="auto"/>
        </w:rPr>
        <w:t>  Effect of Termination</w:t>
      </w:r>
      <w:r>
        <w:rPr>
          <w:rFonts w:ascii="Times New Roman" w:cs="Times New Roman" w:eastAsia="Times New Roman" w:hAnsi="Times New Roman"/>
          <w:sz w:val="17"/>
          <w:szCs w:val="17"/>
          <w:color w:val="auto"/>
        </w:rPr>
        <w:t xml:space="preserve">. In the event of the termination of this Agreement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this Agreement shall forthwith become void and have no effect, without any liability on the part of any party hereto or its respective Affiliates, officers, directors or stockholders, except that the provisions of this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the Confidentiality Agreement shall survive any termination of this Agreement. Nothing herein shall relieve any Party from liability for any willful and material breach of this Agreement or actual fraud occurring prior to such termination.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Trust Account Waiver</w:t>
      </w:r>
      <w:r>
        <w:rPr>
          <w:rFonts w:ascii="Times New Roman" w:cs="Times New Roman" w:eastAsia="Times New Roman" w:hAnsi="Times New Roman"/>
          <w:sz w:val="18"/>
          <w:szCs w:val="18"/>
          <w:color w:val="auto"/>
        </w:rPr>
        <w:t>. The Company acknowledges that Acquiror is a blank check company with the powers and privileges to effect a Business Combination. The Company further acknowledges that, as described in the prospectus dated December 10,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available at www.sec.gov, substantially all of Acquiror assets consist of the cash proceeds of Acquiror’s initial public offering and private placements of its securities and substantially all of those proceeds have been deposited in a trust account for the benefit of Acquiror, certain of its public stockholders and the underwriters of Acquiror’s initial public offering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The Company acknowledges that, except with respect to interest earned on the funds held in the Trust Account that may be released to Acquiror to pay its franchise Tax, income Tax and similar obligations, the Trust Agreement provides that cash in the Trust Account may be disbursed only: (i) upon the completion of the initial Business Combination; (ii) upon the redemption of 100% of the shares of Acquiror Common Stock included in the units issued in Acquiror’s initial public offering if Acquiror is unable to complete its initial Business Combination within twenty-four (24) months from the closing of Acquiror’s initial public offering (subject to any Extension); or (iii) the redemption of shares in connection with a stockholder vote to amend any provisions of the Second Amended and Restated Certificate of Incorporation of Acquiror, as amended, (a) to modify the substance or timing of Acquiror’s obligation to provide for the redemption of the shares of Acquiror Common Stock included in the units issued in Acquiror’s initial public offering in connection with an initial Business Combination to redeem 100% of such shares if Acquiror has not consummated an initial Business Combination within twenty-four (24) months from the closing of Acquiror’s initial public offering (subject to any Extension) or (b) with respect to any other provision relating to stockholders’ rights or pre-initial Business Combination activity as described therein.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(including any distributions therefrom) and agrees not to seek recourse against the Trust Account or any funds distributed therefrom as a result of, or arising out of, this Agreement and any negotiations, Contracts or agreements with Acquiror;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serve to limit or prohibit the Company’s right to pursue a claim against Acquiror for legal relief against monies or other assets held outside the Trust Account, for specific performance or other equitable relief in connection with the consummation of the transactions (including a claim for Acquiror to specifically perform its obligations under this Agreement and cause the disbursement of the balance of the cash remaining in the Trust Account (after giving effect to the Acquiror Share Redemptions) to Acquiror in accordance with the terms of this Agreement and the Trust Agreement) so long as such claim would not affect Acquiror’s ability to fulfill its obligation to effectuate the Acquiror Share Redemptions, or for actual fraud. The Company agrees and acknowledges that such irrevocable waiver is material to this Agreement and specifically relied upon by Acquiror to induce it to enter in this Agreement, and the Company further intends and understands such waiver to be valid, binding and enforceable under applicable Law. To the extent the Company commences any action or proceeding based upon, in connection with, relating to or arising out of any matter relating to Acquiror, which proceeding seeks, in whole or in part, monetary relief against Acquiror, the Company hereby acknowledges and agrees that its sole remedy shall be against funds held outside of the Trust Account and that such claim shall not permit the Company (or any party claiming on the Company’s behalf or in lieu of the Company) to have any claim against the Trust Account (including any distributions therefrom) or any amounts contained therein. In the event that the Company commences any action or proceeding based upon, in connection with, relating to or arising out of any matter relating to Acquiror, which proceeding seeks, in whole or in part, relief against the Trust Account (including any distributions therefrom) or the holders of Acquiror Common Stock, whether in the form of money damages or injunctive relief, Acquiror shall be entitled to recover from the Company the associated legal fees and costs in connection with any such action, in the event Acquiror prevails in such action or proceeding.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Any party to this Agreement may, at any time prior to the Closing, by action taken by its board of directors, board of managers, managing member or other officers or Persons thereunto duly authorized, to the extent permitted by Law, (a) extend the time for the performance of the obligations or acts of the other Parties, (b) waive any inaccuracies in the representations and warranties (of another party hereto) that are contained in this Agreement or (c) waive compliance by the other Parties with any of the agreements or conditions contained in this Agreement, but such extension or waiver shall be valid only if set forth in an instrument in writing signed by the party granting such extension or waiver.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11.3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39" w:lineRule="exact"/>
        <w:rPr>
          <w:sz w:val="20"/>
          <w:szCs w:val="20"/>
          <w:color w:val="auto"/>
        </w:rPr>
      </w:pPr>
    </w:p>
    <w:p>
      <w:pPr>
        <w:jc w:val="both"/>
        <w:ind w:firstLine="8"/>
        <w:spacing w:after="0" w:line="255" w:lineRule="auto"/>
        <w:tabs>
          <w:tab w:leader="none" w:pos="2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Acquiror or Merger Sub prior to the Closing, or to Acquiror after the Effective Time,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BurTech Acquisition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1300 Pennsylvania Ave NW, Suite 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Washington, DC 20004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Attention: Shahal Khan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Email: shahal@burkhan.world</w:t>
      </w:r>
    </w:p>
    <w:p>
      <w:pPr>
        <w:spacing w:after="0" w:line="207" w:lineRule="exact"/>
        <w:rPr>
          <w:sz w:val="20"/>
          <w:szCs w:val="20"/>
          <w:color w:val="auto"/>
        </w:rPr>
      </w:pPr>
    </w:p>
    <w:p>
      <w:pPr>
        <w:jc w:val="center"/>
        <w:ind w:right="50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Norton Rose Fulbright US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1301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New York, New York 10019-6022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Attention: Rajiv Khanna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Email: rajiv.khanna@nortonrosefulbright.com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Company prior to the Closing, or to the Surviving Corporation after the Effective Time,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Blaize,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4659 Golden Foothill Parkway, Suite 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El Dorado Hills, CA 95762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Attention: Harminder Sehmi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Email: harminder.sehmi@blaize.com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811 Main Street, Suite 3700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Attention: Ryan J. Maierson; Ryan J. Lynch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Email: ryan.maierson@lw.com; ryan.lynch@lw.com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If to Burkhan,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Burkhan Capital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1300 Pennsylvania Ave NW, Suite 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Washington, DC 20004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Attention: Shahal Khan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Email: shahal@burkhan.world</w:t>
      </w:r>
    </w:p>
    <w:p>
      <w:pPr>
        <w:spacing w:after="0" w:line="207" w:lineRule="exact"/>
        <w:rPr>
          <w:sz w:val="20"/>
          <w:szCs w:val="20"/>
          <w:color w:val="auto"/>
        </w:rPr>
      </w:pPr>
    </w:p>
    <w:p>
      <w:pPr>
        <w:jc w:val="center"/>
        <w:ind w:right="50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Norton Rose Fulbright US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1301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New York, New York 10019-6022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Attention: Rajiv Khanna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Email: rajiv.khanna@nortonrosefulbright.com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No party hereto shall assign this Agreement or any part hereof without the prior written consent of the other Parties and any such transfer without prior written consent shall be void. Subject to the foregoing, this Agreement shall be binding upon and inure to the benefit of the Parties and their respective permitted successors and assigns.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  Rights of Third Parties</w:t>
      </w:r>
      <w:r>
        <w:rPr>
          <w:rFonts w:ascii="Times New Roman" w:cs="Times New Roman" w:eastAsia="Times New Roman" w:hAnsi="Times New Roman"/>
          <w:sz w:val="18"/>
          <w:szCs w:val="18"/>
          <w:color w:val="auto"/>
        </w:rPr>
        <w:t xml:space="preserve">. Nothing expressed or implied in this Agreement is intended or shall be construed to confer upon or give any Person, other than the Parties, any right or remedies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D&amp;O Indemnified Parties and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Except as otherwise set forth in this Agreement, each party hereto shall be responsible for and pay its own expenses incurred in connection with this Agreement and the Transactions, including all fees of its legal counsel, financial advisors and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Closing shall occur, Acquiror shall pay the Acquiror Transaction Expenses and the Company Transaction Expenses, in accordance with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For the avoidance of doubt, any payments to be made (or to cause to be made) by Acquiror pursuant to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shall be paid upon consummation of the Merger and release of proceeds from the Trust Account.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  Headings; Counterparts</w:t>
      </w:r>
      <w:r>
        <w:rPr>
          <w:rFonts w:ascii="Times New Roman" w:cs="Times New Roman" w:eastAsia="Times New Roman" w:hAnsi="Times New Roman"/>
          <w:sz w:val="18"/>
          <w:szCs w:val="18"/>
          <w:color w:val="auto"/>
        </w:rPr>
        <w:t>. The headings in this Agreement are for convenience only and shall not be considered a part of or affect the construction or interpretation of any provision of this Agreement. This Agreement may be executed (including by electronic signature) in two or more counterparts, each of which shall be deemed an original, but all of which together shall constitute one and the same instrument.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11.9          </w:t>
      </w:r>
      <w:r>
        <w:rPr>
          <w:rFonts w:ascii="Times New Roman" w:cs="Times New Roman" w:eastAsia="Times New Roman" w:hAnsi="Times New Roman"/>
          <w:sz w:val="18"/>
          <w:szCs w:val="18"/>
          <w:u w:val="single" w:color="auto"/>
          <w:color w:val="auto"/>
        </w:rPr>
        <w:t>  Company and Acquiror Disclosure Letters</w:t>
      </w:r>
      <w:r>
        <w:rPr>
          <w:rFonts w:ascii="Times New Roman" w:cs="Times New Roman" w:eastAsia="Times New Roman" w:hAnsi="Times New Roman"/>
          <w:sz w:val="18"/>
          <w:szCs w:val="18"/>
          <w:color w:val="auto"/>
        </w:rPr>
        <w:t>. The Company Disclosure Letter and the Acquiror Disclosure Letter (including, in each case, any section thereof) referenced herein are a part of this Agreement as if fully set forth herein. All references herein to the Company Disclosure Letter and/or the Acquiror Disclosure Letter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applicable Disclosure Letter if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(a) This Agreement (together with the Company Disclosure Letter and the Acquiror Disclosure Letter), (b) the Ancillary Agreements and (c) the Confidentiality Agreement, dated as of June 9, 2023, between Acquiror and the Company or its Affiliate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constitute the entire agreement among the Parties relating to the Transactions and supersede any other agreements, whether written or oral, that may have been made or entered into by or among any of the Parties or any of their respective Subsidiaries relating to the Transactions. No representations, warranties, covenants, understandings, agreements, oral or otherwise, relating to the Transactions exist between such Parties except as expressly set forth in this Agreement, the Ancillary Agreements and the Confidentiality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This Agreement may be amended or modified in whole or in part, only by a duly authorized agreement in writing executed in the same manner as this Agreement and which makes reference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All press releases or other public communications relating to the Transactions, and the method of the release for publication thereof, shall prior to the Closing be subject to the prior mutual approval of Acquiror and the Company, which approval shall not be unreasonably withheld, conditioned or delayed by any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shall be required to obtain consent pursuant to this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restriction in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xml:space="preserve"> shall not apply to the extent the public announcement is required by applicable securities Laws, any Governmental Authority or stock exchange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such an event, the party making the announcement shall use its commercially reasonable efforts to consult with the other party in advance as to the form, content and timing of such announcement. Disclosures resulting from the Parties’ efforts to obtain approval or early termination under the HSR Act and to make any relating filing shall be deemed not to violate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Except as specifically set forth in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any proceeding or Action based upon, arising out of or related to this Agreement or the Transactions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PARTY HERETO ACKNOWLEDGES AND AGREES THAT ANY CONTROVERSY WHICH MAY ARISE UNDER THIS AGREEMENT AND THE TRANSACTIONS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this being in addition to any other remedy to which they are entitled under this Agreement, and (b) 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not be required to provide any bond or other security in connection with any such injunction or specific performance. Each of the Parties to this Agreement consents to personal jurisdiction for any equitable action sought in the Delaware Court of Chancery or any state or federal court in any part of the world having competent jurisdiction. In any Action arising out of or related to this Agreement, any Ancillary Agreement or any of the exhibits or schedules hereto or thereto, or the Transactions, including the Merger, the prevailing party in such Action shall be entitled to recover all reasonable costs, fees and expenses relating thereto (including reasonable attorneys’ fees and expenses and court costs) from the other party, in addition to any other relief to which such prevailing party may be entitled.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Except in the case of claims against a Person in respect of such Person’s actual fraud: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Solely with respect to the Company, Acquiror and Merger Sub, this Agreement may only be enforced against, and any claim or cause of action based upon, arising out of, or related to this Agreement or the Transactions may only be brought against, the Company, Acquiror and Merger Sub as named parties hereto; and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based on, arising out of, or related to this Agreement or the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u w:val="single" w:color="auto"/>
          <w:color w:val="auto"/>
        </w:rPr>
        <w:t>  Non-Survival of Representations, Warranties and Covenants</w:t>
      </w:r>
      <w:r>
        <w:rPr>
          <w:rFonts w:ascii="Times New Roman" w:cs="Times New Roman" w:eastAsia="Times New Roman" w:hAnsi="Times New Roman"/>
          <w:sz w:val="18"/>
          <w:szCs w:val="18"/>
          <w:color w:val="auto"/>
        </w:rPr>
        <w:t xml:space="preserve">. Except (x) as otherwise contemplated by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(y) in the case of claims against a Person in respect of such Person’s actual fraud,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each of the foregoing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u w:val="single" w:color="auto"/>
          <w:color w:val="auto"/>
        </w:rPr>
        <w:t>  Conflicts and Privilege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Acquiror and the Company, on behalf of their respective successors and assigns (including, after the Closing, the Surviving Corporation), hereby agree that, in the event a dispute with respect to this Agreement or the Transactions arises after the Closing between or among (x) the Sponsor, the stockholders or holders of other equity interests of Acquiror or the Sponsor and/or any of their respective directors, members, partners, officers, employees or Affiliates (other than the Surviving Corporation) (collectively, the “</w:t>
      </w:r>
      <w:r>
        <w:rPr>
          <w:rFonts w:ascii="Times New Roman" w:cs="Times New Roman" w:eastAsia="Times New Roman" w:hAnsi="Times New Roman"/>
          <w:sz w:val="18"/>
          <w:szCs w:val="18"/>
          <w:u w:val="single" w:color="auto"/>
          <w:color w:val="auto"/>
        </w:rPr>
        <w:t>BAC Group</w:t>
      </w:r>
      <w:r>
        <w:rPr>
          <w:rFonts w:ascii="Times New Roman" w:cs="Times New Roman" w:eastAsia="Times New Roman" w:hAnsi="Times New Roman"/>
          <w:sz w:val="18"/>
          <w:szCs w:val="18"/>
          <w:color w:val="auto"/>
        </w:rPr>
        <w:t>”), on the one hand, and (y) the Surviving Corporation and/or any member of the Blaize Group, on the other hand, any legal counsel, including Norton Rose Fulbright US LLP (“</w:t>
      </w:r>
      <w:r>
        <w:rPr>
          <w:rFonts w:ascii="Times New Roman" w:cs="Times New Roman" w:eastAsia="Times New Roman" w:hAnsi="Times New Roman"/>
          <w:sz w:val="18"/>
          <w:szCs w:val="18"/>
          <w:u w:val="single" w:color="auto"/>
          <w:color w:val="auto"/>
        </w:rPr>
        <w:t>Norton Rose</w:t>
      </w:r>
      <w:r>
        <w:rPr>
          <w:rFonts w:ascii="Times New Roman" w:cs="Times New Roman" w:eastAsia="Times New Roman" w:hAnsi="Times New Roman"/>
          <w:sz w:val="18"/>
          <w:szCs w:val="18"/>
          <w:color w:val="auto"/>
        </w:rPr>
        <w:t>”), that represented Acquiror and/or the Sponsor prior to the Closing may represent the Sponsor and/or any other member of the BAC Group,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 Acquiror and the Company, on behalf of their respective successors and assigns (including, after the Closing,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or thereby) between or among Acquiror, the Sponsor and/or any other member of the BAC Group, on the one hand, and Norton Rose, on the other hand, the attorney/client privilege and the expectation of client confidence shall survive the Merger and belong to the BAC Group after the Closing, and shall not pass to or be claimed or controlled by the Surviving Corporation. Notwithstanding the foregoing, any privileged communications or information shared by the Company prior to the Closing with Acquiror or the Sponsor under a common interest agreement shall remain the privileged communications or information of the Surviving Corporation.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Acquiror and the Company, on behalf of their respective successors and assigns (including, after the Closing, the Surviving Corporation), hereby agree that, in the event a dispute with respect to this Agreement or the Transactions arises after the Closing between or among (x) the stockholders or holders of other equity interests of the Company and any of their respective directors, members, partners, officers, employees or Affiliates (other than the Surviving Corporation) (collectively, the “</w:t>
      </w:r>
      <w:r>
        <w:rPr>
          <w:rFonts w:ascii="Times New Roman" w:cs="Times New Roman" w:eastAsia="Times New Roman" w:hAnsi="Times New Roman"/>
          <w:sz w:val="18"/>
          <w:szCs w:val="18"/>
          <w:u w:val="single" w:color="auto"/>
          <w:color w:val="auto"/>
        </w:rPr>
        <w:t>Blaize Group</w:t>
      </w:r>
      <w:r>
        <w:rPr>
          <w:rFonts w:ascii="Times New Roman" w:cs="Times New Roman" w:eastAsia="Times New Roman" w:hAnsi="Times New Roman"/>
          <w:sz w:val="18"/>
          <w:szCs w:val="18"/>
          <w:color w:val="auto"/>
        </w:rPr>
        <w:t>”), on the one hand, and (y) the Surviving Corporation and/or any member of the BAC Group, on the other hand, any legal counsel, including Latham &amp; Watkins LLP (“</w:t>
      </w:r>
      <w:r>
        <w:rPr>
          <w:rFonts w:ascii="Times New Roman" w:cs="Times New Roman" w:eastAsia="Times New Roman" w:hAnsi="Times New Roman"/>
          <w:sz w:val="18"/>
          <w:szCs w:val="18"/>
          <w:u w:val="single" w:color="auto"/>
          <w:color w:val="auto"/>
        </w:rPr>
        <w:t>Latham</w:t>
      </w:r>
      <w:r>
        <w:rPr>
          <w:rFonts w:ascii="Times New Roman" w:cs="Times New Roman" w:eastAsia="Times New Roman" w:hAnsi="Times New Roman"/>
          <w:sz w:val="18"/>
          <w:szCs w:val="18"/>
          <w:color w:val="auto"/>
        </w:rPr>
        <w:t>”) that represented the Company prior to the Closing may represent any member of the Blaize Group in such dispute even though the interests of such Persons may be directly adverse to the Surviving Corporation, and even though such counsel may have represented Acquiror and/or the Company in a matter substantially related to such dispute, or may be handling ongoing matters for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or thereby) between or among the Company and/or any member of the Blaize Group, on the one hand, and Latham, on the other hand, the attorney/client privilege and the expectation of client confidence shall survive the Merger and belong to the Blaize Group after the Closing, and shall not pass to or be claimed or controlled by the Surviving Corporation. Notwithstanding the foregoing, any privileged communications or information shared by Acquiror prior to the Closing with the Company under a common interest agreement shall remain the privileged communications or information of the Surviving Corporation.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Agreement to be duly executed as of the date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BURTECH MERGER SUB INC.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 xml:space="preserve">(solely for purposes of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0"/>
          </w:cols>
          <w:pgMar w:left="980" w:top="904" w:right="111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FORM OF AMENDED AND RESTATED</w:t>
      </w:r>
    </w:p>
    <w:p>
      <w:pPr>
        <w:spacing w:after="0" w:line="4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AMENDED AND RESTATED BYLAWS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COMPANY SUPPORT AGREEMENT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SPONSOR SUPPORT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STOCKHOLDERS’ AGREEMENT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BURKHAN WARRANT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SUPPORT AGREEMENT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Stockholder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22, 2023, by and among BurTech Acquisition Corp.,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xml:space="preserve">”), the Persons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which include all Company Stockholders holding shares of the Company Common Stock, and any other Company Securities having the right to vote generally in any election of directors of the Company Board, collectively representing at least five percent (5%) of the outstanding shares of Company Common Stock on an as-converted basis, and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(as defined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as of the date hereof, the Company Stockholders are the holders of record and the “beneficial owners” (within the meaning of Rule 13d-3 under the Exchange Act) of such number of shares of Company Common Stock and Company Preferred Stock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as are indicated opposite each of their names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(all such shares of Company Capital Stock, together with any shares of Company Capital Stock or any other equity securities of the Company of which ownership of record or the power to vote (including, without limitation, by proxy or power of attorney) is hereafter acquired by any such Company Stockholder during the period from the date hereof through the Expiration Time (as defined below) applicable to such Company Stockholder, including by purchase, as a result of a share dividend, share split, recapitalization, combination, reclassification, exchange or change of such shares, or upon the grant, vesting or exercise of any outstanding equity award, or upon exercise or conversion of any other securities, are referred to herein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Acquiror, BurTech Merger Sub Inc., a Delaware corporation and a direct wholly owned subsidiary of 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Company, and, solely for limited purposes set forth therein, Burkhan Capital LLC, a Delaware limited liability company, entered into an Agreement and Plan of Merger (as amended or modified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pursuant to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other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with the Company surviving the Merger as a wholly owned subsidiary of Acquiror;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as an inducement to Acquiror and the Company to enter into the Merger Agreement and to consummate the transactions contemplated therein, the parties hereto desire to agree to certain matters as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contained herein, and intending to be legally bound hereby,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SUPPORT AGREEMENT; COVENANTS</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Binding Effect of Merger Agreement</w:t>
      </w:r>
      <w:r>
        <w:rPr>
          <w:rFonts w:ascii="Times New Roman" w:cs="Times New Roman" w:eastAsia="Times New Roman" w:hAnsi="Times New Roman"/>
          <w:sz w:val="18"/>
          <w:szCs w:val="18"/>
          <w:color w:val="auto"/>
        </w:rPr>
        <w:t>. Each Company Stockholder hereby acknowledges that it has read the Merger Agreement and this Agreement and has had the opportunity to consult with its tax and legal advisors. Each Company Stockholder shall be bound by and comply with Sections 8.7 (</w:t>
      </w:r>
      <w:r>
        <w:rPr>
          <w:rFonts w:ascii="Times New Roman" w:cs="Times New Roman" w:eastAsia="Times New Roman" w:hAnsi="Times New Roman"/>
          <w:sz w:val="18"/>
          <w:szCs w:val="18"/>
          <w:i w:val="1"/>
          <w:iCs w:val="1"/>
          <w:color w:val="auto"/>
        </w:rPr>
        <w:t>Exclusivity</w:t>
      </w:r>
      <w:r>
        <w:rPr>
          <w:rFonts w:ascii="Times New Roman" w:cs="Times New Roman" w:eastAsia="Times New Roman" w:hAnsi="Times New Roman"/>
          <w:sz w:val="18"/>
          <w:szCs w:val="18"/>
          <w:color w:val="auto"/>
        </w:rPr>
        <w:t>) in respect of Company Acquisition Proposals, 11.12 (</w:t>
      </w:r>
      <w:r>
        <w:rPr>
          <w:rFonts w:ascii="Times New Roman" w:cs="Times New Roman" w:eastAsia="Times New Roman" w:hAnsi="Times New Roman"/>
          <w:sz w:val="18"/>
          <w:szCs w:val="18"/>
          <w:i w:val="1"/>
          <w:iCs w:val="1"/>
          <w:color w:val="auto"/>
        </w:rPr>
        <w:t>Publicity</w:t>
      </w:r>
      <w:r>
        <w:rPr>
          <w:rFonts w:ascii="Times New Roman" w:cs="Times New Roman" w:eastAsia="Times New Roman" w:hAnsi="Times New Roman"/>
          <w:sz w:val="18"/>
          <w:szCs w:val="18"/>
          <w:color w:val="auto"/>
        </w:rPr>
        <w:t>) of the Merger Agreement, Section 8.3 (</w:t>
      </w:r>
      <w:r>
        <w:rPr>
          <w:rFonts w:ascii="Times New Roman" w:cs="Times New Roman" w:eastAsia="Times New Roman" w:hAnsi="Times New Roman"/>
          <w:sz w:val="18"/>
          <w:szCs w:val="18"/>
          <w:i w:val="1"/>
          <w:iCs w:val="1"/>
          <w:color w:val="auto"/>
        </w:rPr>
        <w:t>Support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of the Merger Agreement and Section 11.1 (</w:t>
      </w:r>
      <w:r>
        <w:rPr>
          <w:rFonts w:ascii="Times New Roman" w:cs="Times New Roman" w:eastAsia="Times New Roman" w:hAnsi="Times New Roman"/>
          <w:sz w:val="18"/>
          <w:szCs w:val="18"/>
          <w:i w:val="1"/>
          <w:iCs w:val="1"/>
          <w:color w:val="auto"/>
        </w:rPr>
        <w:t>Trust Account Waiver</w:t>
      </w:r>
      <w:r>
        <w:rPr>
          <w:rFonts w:ascii="Times New Roman" w:cs="Times New Roman" w:eastAsia="Times New Roman" w:hAnsi="Times New Roman"/>
          <w:sz w:val="18"/>
          <w:szCs w:val="18"/>
          <w:color w:val="auto"/>
        </w:rPr>
        <w:t>) of the Merger Agreement (and any relevant definitions contained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Sections) as if (x) such Company Stockholder was an original signatory to the Merger Agreement with respect to such provisions, and (y) each reference to the “Company” contained in such provisions (other than for purposes of the definition of Company Acquisition Proposals) also referred to each such Company Stockholder.</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No Transfer</w:t>
      </w:r>
      <w:r>
        <w:rPr>
          <w:rFonts w:ascii="Times New Roman" w:cs="Times New Roman" w:eastAsia="Times New Roman" w:hAnsi="Times New Roman"/>
          <w:sz w:val="18"/>
          <w:szCs w:val="18"/>
          <w:color w:val="auto"/>
        </w:rPr>
        <w:t>. Except with the prior written consent of Acquiror (such consent to be given or withheld in its sole discretion), during the period commencing on the date hereof and ending on the Expiration Time, each Company Stockholder shall not (i) sell, offer to sell, contract or agree to sell, hypothecate, pledge, grant any option, right or warrant to purchase, or otherwise transfer (including by operation of Law), encumbrance, dispose of, or agree to transfer, encumbrance or dispose of, directly or indirectly, file (or participate in the filing of) a registration statement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(other than the Proxy Statement / Registration Statement) or establish or increase a put equivalent position or liquidate or decrease a call equivalent position within the meaning of Section 16 of the Exchange Act, with respect to any Subject Shares,</w:t>
      </w:r>
    </w:p>
    <w:p>
      <w:pPr>
        <w:spacing w:after="0" w:line="5" w:lineRule="exact"/>
        <w:rPr>
          <w:sz w:val="20"/>
          <w:szCs w:val="20"/>
          <w:color w:val="auto"/>
        </w:rPr>
      </w:pPr>
    </w:p>
    <w:p>
      <w:pPr>
        <w:jc w:val="both"/>
        <w:ind w:firstLine="8"/>
        <w:spacing w:after="0" w:line="251" w:lineRule="auto"/>
        <w:tabs>
          <w:tab w:leader="none" w:pos="2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any Subject Shares or (iii) publicly announce any intention to effect any transaction specified in clause (i) or (ii) (clauses (i)-(ii) collectively,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prohibit a Transfer to an Affiliate of a Company Stockholder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Permitted Transfer shall be permitted only if, as a precondition to such Transfer, the transferee also agrees in a writing, reasonably satisfactory in form and substance to Acquiror, to assume all of the obligations of such Company Stockholder under, and be bound by all of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Transfer permitted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not relieve a Company Stockholder of its obligations under this Agreement. Any Transfer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with respect to a Company Stockholder’s Subject Shares shall be null and void. Nothing in this Agreement shall prohibit direct or indirect transfers of equity or other interests in a Company Stockholder, so long as after such transfer the Company Stockholder or the surviving entity thereof remains to be bound by all of the terms of this Agreement.</w:t>
      </w:r>
    </w:p>
    <w:p>
      <w:pPr>
        <w:spacing w:after="0" w:line="19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New Shares</w:t>
      </w:r>
      <w:r>
        <w:rPr>
          <w:rFonts w:ascii="Times New Roman" w:cs="Times New Roman" w:eastAsia="Times New Roman" w:hAnsi="Times New Roman"/>
          <w:sz w:val="18"/>
          <w:szCs w:val="18"/>
          <w:color w:val="auto"/>
        </w:rPr>
        <w:t>. In the event that, during the period commencing on the date hereof and ending at the Expiration Time, (a) any Subject Shares are issued to a Company Stockholder after the date of this Agreement pursuant to any stock dividend, stock split, recapitalization, reclassification, combination or exchange of Subject Shares or otherwise, (b) a Company Stockholder purchases or otherwise acquires beneficial ownership of any Subject Shares or (c) a Company Stockholder acquires the right to vote or share in the voting of any Subject Shares (collectively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then such New Securities acquired or purchased by such Company Stockholder shall be subject to the terms of this Agreement to the same extent as if they constituted the Subject Shares owned by such Company Stockholder as of the date hereof.</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Agreement to Vote</w:t>
      </w:r>
      <w:r>
        <w:rPr>
          <w:rFonts w:ascii="Times New Roman" w:cs="Times New Roman" w:eastAsia="Times New Roman" w:hAnsi="Times New Roman"/>
          <w:sz w:val="18"/>
          <w:szCs w:val="18"/>
          <w:color w:val="auto"/>
        </w:rPr>
        <w:t>. Hereafter until the Expiration Time, each Company Stockholder hereby unconditionally and irrevocably agrees that, at any meeting of the stockholders of the Company (or any adjournment or postponement thereof), and in any action by written consent of the stockholders of the Company requested by the Company Board or otherwise undertaken in connection with the Transactions (which written consent shall be delivered as promptly as reasonably practicable, and in any event within two (2) Business Days, after the Proxy Statement / Registration Statement is declared effective by the SEC), such Company Stockholder shall, if a meeting is held, appear at the meeting, in person or by proxy, or otherwise cause its Subject Shares (to the extent such Subject Shares are entitled to vote or provide consent with respect to such matter) to be counted as present thereat for purposes of establishing a quorum, and such Company Stockholder shall vote or provide consent (or cause to be voted or consented), in person or by proxy, all of its Subject Shares (to the extent such Subject Shares are entitled to vote or provide consent with respect to such matter):</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to approve and adopt the Merger Agreement and the Transactions;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to convert each issued and outstanding share of Company Preferred Stock into one share of Company Common Stock as of immediately prior to the Effective Time;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(c)     in any other circumstances upon which a consent, waiver or other approval is required under the Company’s Governing Documents or the Company Stockholder Agreements (as defined below) or otherwise sought with respect to the Merger Agreement or the Transactions, to vote, consent, waive or approve (or cause to be voted, consented, waived or approved) all of such Company Stockholder’s Subject Shares held at such time in favor thereof;</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(d)     against and withhold consent with respect to any Company Acquisition Proposal or other business combination transaction (other than the Merger Agreement and the Transactions);</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(e)     against any proposal, action or agreement that would reasonably be expected to (A) impede, frustrate, prevent or nullify any provision of this Agreement, the Merger Agreement or the timely consummation of the Merger, (B) result in a breach in any respect of any covenant, representation, warranty or any other obligation or agreement of the Company under the Merger Agreement, (C) result in any of the conditions set forth in Article IX of the Merger Agreement not being fulfilled or (D) result in a breach of any covenant, representation or warranty or other obligation or agreement of such Company Stockholder contained in this Agreement; and</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(f)      to approve or authorize (or to vote against or withhold consent for, as applicable) any other matters necessary or reasonably requested by the Company or Acquiror for the consummation of the Transactions.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Company Stockholder hereby agrees that it shall not commit or agree to take any action inconsistent with the foregoing. The obligations of the Company Stockholders specified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apply whether or not the Merger or any action described above is recommended by the Company Board or the Company Board has previously recommended the Merger but changed such recommendation.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No Challenges</w:t>
      </w:r>
      <w:r>
        <w:rPr>
          <w:rFonts w:ascii="Times New Roman" w:cs="Times New Roman" w:eastAsia="Times New Roman" w:hAnsi="Times New Roman"/>
          <w:sz w:val="18"/>
          <w:szCs w:val="18"/>
          <w:color w:val="auto"/>
        </w:rPr>
        <w:t>. Each Company Stockholder agrees not to commence, join in, facilitate, assist or encourage, and agrees to take all actions necessary to opt out of any class in any class action with respect to, any claim, derivative or otherwise, against Acquiror, Merger Sub, the Company or any of their respective successors or directors (a) challenging the validity of, or seeking to enjoin or delay the operation of, any provision of this Agreement or the Merger Agreement (b) alleging a breach of any fiduciary duty of any person in connection with the evaluation, negotiation or entry into the Merger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Closing Date Deliverables</w:t>
      </w:r>
      <w:r>
        <w:rPr>
          <w:rFonts w:ascii="Times New Roman" w:cs="Times New Roman" w:eastAsia="Times New Roman" w:hAnsi="Times New Roman"/>
          <w:sz w:val="18"/>
          <w:szCs w:val="18"/>
          <w:color w:val="auto"/>
        </w:rPr>
        <w:t>. Each Company Stockholder will deliver, substantially simultaneously with the Effective Time:</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(a)    to the extent such Company Stockholder is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 duly-executed copy of that certain Amended and Restated Registration Rights Agreement, by and among Acquiror, the Company and the other parties thereto, in substantially the form attached as Exhibit E to the Merger Agreement; and</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to the extent such Company Stockholder will “beneficially own” (as defined in the meaning in Rule 13d-3 promulgated under the Exchange Act) equal to or greater than 5.0% of the issued and outstanding shares of Acquiror Class A Common Stock immediately following the Closing, a duly executed copy of that certain Lock-Up Agreement, by and among Acquiror, the Company and the other parties thereto, substantially in the form attached as Exhibit F to the Merger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Waiver of Appraisal Rights</w:t>
      </w:r>
      <w:r>
        <w:rPr>
          <w:rFonts w:ascii="Times New Roman" w:cs="Times New Roman" w:eastAsia="Times New Roman" w:hAnsi="Times New Roman"/>
          <w:sz w:val="18"/>
          <w:szCs w:val="18"/>
          <w:color w:val="auto"/>
        </w:rPr>
        <w:t>. Each Company Stockholder hereby agrees not to assert, exercise or perfect, directly or indirectly, and irrevocably and unconditionally waives, any appraisal rights (including under Section 262 of the Delaware General Corporation Law) with respect to the Merger and any rights to dissent with respect to the Transactions, including the Merger.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Each Company Stockholder shall execute and deliver, or cause to be delivered, such additional documents, and take, or cause to be taken, all such further actions and do, or cause to be done, all things reasonably necessary (including under applicable Laws), or reasonably requested by Acquiror or the Company, to effect the actions and consummate the Merger and the other transactions contemplated by this Agreement and the Merger Agreement, in each case, on the terms and subject to the conditions set forth therein and herein, as applicable.</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No Inconsistent Agreement</w:t>
      </w:r>
      <w:r>
        <w:rPr>
          <w:rFonts w:ascii="Times New Roman" w:cs="Times New Roman" w:eastAsia="Times New Roman" w:hAnsi="Times New Roman"/>
          <w:sz w:val="18"/>
          <w:szCs w:val="18"/>
          <w:color w:val="auto"/>
        </w:rPr>
        <w:t xml:space="preserve">. Except for the Company Stockholder Agreements or any other letter or agreement to be terminated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each Company Stockholder hereby represents and covenants that such Company Stockholder (i) has full voting power, full power of disposition and full power to issue instructions with respect to the matters set forth herein whether by ownership or by proxy, in each case, with respect to such Stockholder’s Subject Shares, (ii) has not entered into, and shall not enter into, any voting agreement, voting trust or other agreement, and has no knowledge and is not aware of any such voting agreement or voting trust in effect, with respect to any of such Company Stockholder’s Subject Shares that is inconsistent with such Company Stockholder’s obligations pursuant to this Agreement or any agreement or amendment of an existing agreement that would, or would reasonably be expected to, restrict, limit or interfere with the performance of such Company Stockholder’s obligations hereunder, and (iii) has not granted, and shall not grant, a proxy, power of attorney or similar right with respect to any of such Company Stockholder’s Subject Shares that is inconsistent with such Company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  Consent to Disclosure</w:t>
      </w:r>
      <w:r>
        <w:rPr>
          <w:rFonts w:ascii="Times New Roman" w:cs="Times New Roman" w:eastAsia="Times New Roman" w:hAnsi="Times New Roman"/>
          <w:sz w:val="18"/>
          <w:szCs w:val="18"/>
          <w:color w:val="auto"/>
        </w:rPr>
        <w:t>. Each Company Stockholder hereby consents to the publication and disclosure in the Proxy Statement / Registration Statement (and, as and to the extent otherwise required by applicable securities Laws or the SEC or any other securities authorities, any other documents or communications provided by Acquiror or the Company to any Governmental Authority or to securityholders of Acquiror) of such Company Stockholder’s identity and beneficial ownership of Subject Shares and the nature of such Company Stockholder’s commitments, arrangements and understandings under and relating to this Agreement and, if deemed appropriate by Acquiror or the Company, a copy of this Agreement, in all cases only to the extent required by applicable law or order from the SEC or any other securities authorities, and after providing the relevant Company Stockholder reasonable opportunity to defend any requirement to disclose information which would cause such Company Stockholder to be in breach of any confidentiality obligations applicable to it. Each Company Stockholder will promptly provide any information reasonably requested by Acquiror or the Company for any regulatory application or filing made or approval sought in connection with the Transactions (including filings with the SEC).</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Termination of Company Stockholder Agreements, Related Agreements</w:t>
      </w:r>
      <w:r>
        <w:rPr>
          <w:rFonts w:ascii="Times New Roman" w:cs="Times New Roman" w:eastAsia="Times New Roman" w:hAnsi="Times New Roman"/>
          <w:sz w:val="18"/>
          <w:szCs w:val="18"/>
          <w:color w:val="auto"/>
        </w:rPr>
        <w:t xml:space="preserve">. Each of the Company Stockholders, by this Agreement with respect to its Subject Shares, severally and not jointly, and the Company hereby agrees that, subject to the Closing and effective immediately prior to the Effective Time, (a) all Affiliate Agreements to which such Company Stockholder is party that are 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(each, as amended, restated, supplemented or otherwise modified from time to time, the “</w:t>
      </w:r>
      <w:r>
        <w:rPr>
          <w:rFonts w:ascii="Times New Roman" w:cs="Times New Roman" w:eastAsia="Times New Roman" w:hAnsi="Times New Roman"/>
          <w:sz w:val="18"/>
          <w:szCs w:val="18"/>
          <w:u w:val="single" w:color="auto"/>
          <w:color w:val="auto"/>
        </w:rPr>
        <w:t>Company Stockholder Agreements</w:t>
      </w:r>
      <w:r>
        <w:rPr>
          <w:rFonts w:ascii="Times New Roman" w:cs="Times New Roman" w:eastAsia="Times New Roman" w:hAnsi="Times New Roman"/>
          <w:sz w:val="18"/>
          <w:szCs w:val="18"/>
          <w:color w:val="auto"/>
        </w:rPr>
        <w:t>”); and (b) any rights under any letter or agreement providing for redemption rights, put rights, purchase rights, rights of first refusal, preemptive rights, subscription rights, registration rights, information rights, rights to consult with and advise management, inspection rights, Company Board observer rights or rights to receive information delivered to the Company Board or other similar rights (other than such rights set forth in (x) the Company’s Governing Documents and (y) the Company Stockholder Agreements) (clauses (a) and (b), collectively, the “</w:t>
      </w:r>
      <w:r>
        <w:rPr>
          <w:rFonts w:ascii="Times New Roman" w:cs="Times New Roman" w:eastAsia="Times New Roman" w:hAnsi="Times New Roman"/>
          <w:sz w:val="18"/>
          <w:szCs w:val="18"/>
          <w:u w:val="single" w:color="auto"/>
          <w:color w:val="auto"/>
        </w:rPr>
        <w:t>Terminating Rights</w:t>
      </w:r>
      <w:r>
        <w:rPr>
          <w:rFonts w:ascii="Times New Roman" w:cs="Times New Roman" w:eastAsia="Times New Roman" w:hAnsi="Times New Roman"/>
          <w:sz w:val="18"/>
          <w:szCs w:val="18"/>
          <w:color w:val="auto"/>
        </w:rPr>
        <w:t xml:space="preserve">”) between such Company Stockholder and the Company or any Subsidiary thereof (but excluding, (i) for the avoidance of doubt, any rights such Company Stockholder may have that relate to any commercial or employment agreements or arrangements between such Company Stockholder and the Company or any Subsidiary thereof, which shall survive the Closing in accordance with their terms, and (ii) any indemnification, advancement of expenses and exculpation rights of any Company Stockholder or any of its Affiliates set forth in the foregoing documents, which shall survive the Closing in accordance with their terms) are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Terminating Rights between the Company and any other holder of Company Capital Stock shall also terminate at such time.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Representations and Warranties of the Company Stockholders</w:t>
      </w:r>
      <w:r>
        <w:rPr>
          <w:rFonts w:ascii="Times New Roman" w:cs="Times New Roman" w:eastAsia="Times New Roman" w:hAnsi="Times New Roman"/>
          <w:sz w:val="18"/>
          <w:szCs w:val="18"/>
          <w:color w:val="auto"/>
        </w:rPr>
        <w:t>. Each Company Stockholder represents and warrants as of the date hereof to Acquiror and the Company (solely with respect to itself, himself or herself and not with respect to any other Company Stockholder) as follows:</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Due Authorization</w:t>
      </w:r>
      <w:r>
        <w:rPr>
          <w:rFonts w:ascii="Times New Roman" w:cs="Times New Roman" w:eastAsia="Times New Roman" w:hAnsi="Times New Roman"/>
          <w:sz w:val="18"/>
          <w:szCs w:val="18"/>
          <w:color w:val="auto"/>
        </w:rPr>
        <w:t>. If such Company Stockholder is not an individual, it is duly organized, validly existing and in good standing (or the equivalent thereof) under the Laws of the jurisdiction in which it is incorporated, formed, organized or constituted, and the execution, delivery and performance of this Agreement and the consummation of the transactions contemplated hereby are within such Company Stockholder’s corporate, limited liability company or organizational powers and have been duly authorized by all necessary corporate, limited liability company or organizational actions on the part of such Company Stockholder. If such Company Stockholder is an individual, such Company Stockholder has full legal capacity, right and authority to execute and deliver this Agreement and to perform his or her obligations hereunder. This Agreement has been duly executed and delivered by such Company Stockholder and, assuming due authorization, execution and delivery by the other parties to this Agreement, this Agreement constitutes a legally valid and binding obligation of such Company Stockholder, enforceable against such Company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 Agreement has full power and authority to enter into this Agreement on behalf of the applicable Company Stockholder.</w:t>
      </w:r>
    </w:p>
    <w:p>
      <w:pPr>
        <w:spacing w:after="0" w:line="19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Ownership</w:t>
      </w:r>
      <w:r>
        <w:rPr>
          <w:rFonts w:ascii="Times New Roman" w:cs="Times New Roman" w:eastAsia="Times New Roman" w:hAnsi="Times New Roman"/>
          <w:sz w:val="18"/>
          <w:szCs w:val="18"/>
          <w:color w:val="auto"/>
        </w:rPr>
        <w:t>. Such Company Stockholder is the record and beneficial owner (as defined in the Securities Act) of, and has good, valid and marketable title to, all of such Company Stockholder’s Subject Shares, and there exist no Liens or any other limitation or restriction (including any restriction on the right to vote, sell or otherwise dispose of such Subject Shares (other than transfer restrictions under the Securities Act)) affecting any such Subject Shares, other than Liens pursuant to (i) this Agreement, (ii) the Company’s Governing Documents, (iii) the Merger Agreement,</w:t>
      </w:r>
    </w:p>
    <w:p>
      <w:pPr>
        <w:spacing w:after="0" w:line="3" w:lineRule="exact"/>
        <w:rPr>
          <w:sz w:val="20"/>
          <w:szCs w:val="20"/>
          <w:color w:val="auto"/>
        </w:rPr>
      </w:pPr>
    </w:p>
    <w:p>
      <w:pPr>
        <w:jc w:val="both"/>
        <w:ind w:firstLine="8"/>
        <w:spacing w:after="0" w:line="252" w:lineRule="auto"/>
        <w:tabs>
          <w:tab w:leader="none" w:pos="3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Stockholder Agreements or (v) any applicable securities Laws. Such Company Stockholder’s Subject Shares are the only equity securities in the Company owned of record or beneficially by such Company Stockholder on the date of this Agreement, and none of such Company Stockholder’s Subject Shares are subject to any proxy, voting trust or other agreement or arrangement with respect to the voting of such Subject Shares, except as provided hereunder and under the Company Stockholder Agreements. Other than the Company Warrants and any Company Options set forth opposite such Company Stockholder’s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such Company Stockholder does not hold or own any rights to acquire (directly or indirectly) any equity securities of the Company or any securities convertible into, or which can be exchanged for, equity securities of the Company.</w:t>
      </w:r>
    </w:p>
    <w:p>
      <w:pPr>
        <w:spacing w:after="0" w:line="19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Consent</w:t>
      </w:r>
      <w:r>
        <w:rPr>
          <w:rFonts w:ascii="Times New Roman" w:cs="Times New Roman" w:eastAsia="Times New Roman" w:hAnsi="Times New Roman"/>
          <w:sz w:val="18"/>
          <w:szCs w:val="18"/>
          <w:color w:val="auto"/>
        </w:rPr>
        <w:t>. No consent, approval or authorization of, or designation, declaration or filing with, any Governmental Authority is required on the part of the Company Stockholder with respect to the Company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the Company Stockholder to perform, or otherwise comply with, any of its covenants, agreements or obligations hereunder in any material respect, or which have already been obtained in advance of the Company Stockholder’s entry into this Agreement.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xml:space="preserve">. The execution and delivery of this Agreement by such Company Stockholder does not, and the performance by such Company Stockholder of his, her or its obligations hereunder will not, (i) if such Company Stockholder is not an individual, conflict with or result in a violation of the organizational documents of such Company Stockholder, (ii) with or without notice, lapse of time or both, a breach or violation of, a termination (or right of termination) of or a default under, the loss of any benefit under, the creation, modification or acceleration of any obligations under any Contract binding upon such Company Stockholder or, assuming (solely with respect to performance of this Agreement and the transactions contemplated hereby) compliance with the matters referred to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under any applicable Law to which such Company Stockholder or any of its properties or assets is subject, (iii) any change in the rights or obligations of any party under any Contract legally binding upon such Company Stockholder, or (iv) other than the restrictions contemplated by this Agreement, result in the creation of any Lien upon the Subject Shares, except, in the case of clause (ii) or (iii) directly above, for any such breach, violation, termination, default, creation, acceleration or change that would not, individually or in the aggregate, reasonably be expected to prevent or materially delay or impair such Company Stockholder’s ability to perform, or otherwise comply with, any of its covenants, agreements or obligations hereunder or to consummate the transactions contemplated hereby, the consummation of the Merger or the other transactions contemplated by the Merger Agreement.</w:t>
      </w:r>
    </w:p>
    <w:p>
      <w:pPr>
        <w:spacing w:after="0" w:line="19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Actions pending against such Company Stockholder, or to the knowledge of such Company Stockholder threatened against such Company Stockholder, before (or, in the case of threatened Actions, that would be before) any arbitrator or any Governmental Authority, which in any manner challenges or seeks to prevent, enjoin or materially delay the performance by such Company Stockholder of its, his or her obligations under this Agreement.</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Adequate Information</w:t>
      </w:r>
      <w:r>
        <w:rPr>
          <w:rFonts w:ascii="Times New Roman" w:cs="Times New Roman" w:eastAsia="Times New Roman" w:hAnsi="Times New Roman"/>
          <w:sz w:val="18"/>
          <w:szCs w:val="18"/>
          <w:color w:val="auto"/>
        </w:rPr>
        <w:t>. Such Company Stockholder is a sophisticated stockholder and has adequate information concerning the business and financial condition of Acquiror and the Company to make an informed decision regarding this Agreement and the Transactions and has independently and without reliance upon Acquiror or the Company and based on such information as such Company Stockholder has deemed appropriate, made its own analysis and decision to enter into this Agreement. Such Company Stockholder acknowledges that Acquiror and the Company have not made and do not make any representation or warranty, whether express or implied, of any kind or character except as expressly set forth in this Agreement and the Merger Agreement. Such Company Stockholder acknowledges that the agreements contained herein with respect to the Subject Shares held by such Company Stockholder are irrevocable.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Brokerage Fees</w:t>
      </w:r>
      <w:r>
        <w:rPr>
          <w:rFonts w:ascii="Times New Roman" w:cs="Times New Roman" w:eastAsia="Times New Roman" w:hAnsi="Times New Roman"/>
          <w:sz w:val="18"/>
          <w:szCs w:val="18"/>
          <w:color w:val="auto"/>
        </w:rPr>
        <w:t>. No broker, finder, investment banker or other Person is entitled to any brokerage fee, finders’ fee or other commission in connection with the transactions contemplated by the Merger Agreement based upon arrangements made by such Company Stockholder in his, her or its capacity as a stockholder or, to the knowledge of such Company Stockholder, on behalf of such Company Stockholder in his, her or its capacity as a stockholder, for which the Company or any of its Affiliates may become liable.</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Acknowledgment</w:t>
      </w:r>
      <w:r>
        <w:rPr>
          <w:rFonts w:ascii="Times New Roman" w:cs="Times New Roman" w:eastAsia="Times New Roman" w:hAnsi="Times New Roman"/>
          <w:sz w:val="18"/>
          <w:szCs w:val="18"/>
          <w:color w:val="auto"/>
        </w:rPr>
        <w:t>. Such Company Stockholder understands and acknowledges that each of Acquiror and the Company is entering into the Merger Agreement in reliance upon such Company Stockholder’s execution and delivery of this Agreement, and the representations, warranties, covenants and other agreements of such Company Stockholder contained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Section 3.1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This Agreement and all of its provisions shall terminate and be of no further force or effect upon the earliest to occur of (a) the Effective Time, (b) such date and time as the Merger Agreement shall be terminated in accordance with Section 10.1 thereof (the earlier of</w:t>
      </w:r>
    </w:p>
    <w:p>
      <w:pPr>
        <w:spacing w:after="0" w:line="1" w:lineRule="exact"/>
        <w:rPr>
          <w:sz w:val="20"/>
          <w:szCs w:val="20"/>
          <w:color w:val="auto"/>
        </w:rPr>
      </w:pPr>
    </w:p>
    <w:p>
      <w:pPr>
        <w:jc w:val="both"/>
        <w:ind w:firstLine="8"/>
        <w:spacing w:after="0" w:line="251"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and (c) as to each Company Stockholder, upon the written agreement of Acquiror, the Company and such Company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termination of this Agreement shall not be interpreted or construed as the termination of, or otherwise limit the effect of, any lock-up provision such Company Stockholders agrees to in connection with the Transactions.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termination of this Agreement shall not relieve any party hereto from liability arising in respect of any breach of this Agreement prior to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the termination of this Agreement.</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all claims or causes of action based upon, arising out of, or related to this Agreement,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(a)    Except as specifically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any proceeding or Action based upon, arising out of or related to this Agreement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(b)    EACH PARTY HERETO ACKNOWLEDGES AND AGREES THAT ANY CONTROVERSY WHICH MAY ARISE UNDER THIS AGREEMENT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parties hereto.</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color w:val="auto"/>
        </w:rPr>
        <w:t xml:space="preserve">. The parties hereto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to this Agreement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any court of competent jurisdiction, this being in addition to any other remedy to which they are entitled under this Agreement, and</w:t>
      </w:r>
    </w:p>
    <w:p>
      <w:pPr>
        <w:spacing w:after="0" w:line="3" w:lineRule="exact"/>
        <w:rPr>
          <w:sz w:val="20"/>
          <w:szCs w:val="20"/>
          <w:color w:val="auto"/>
        </w:rPr>
      </w:pPr>
    </w:p>
    <w:p>
      <w:pPr>
        <w:jc w:val="both"/>
        <w:ind w:firstLine="8"/>
        <w:spacing w:after="0" w:line="251" w:lineRule="auto"/>
        <w:tabs>
          <w:tab w:leader="none" w:pos="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be required to provide any bond or other security in connection with any such injunction or specific performance or have the burden of proving actual damages. Each of the parties to this Agreement consents to personal jurisdiction for any equitable action sought in the Delaware Court of Chancery or any state or federal court in any part of the world having competent jurisdiction.</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Amendment; Waiver</w:t>
      </w:r>
      <w:r>
        <w:rPr>
          <w:rFonts w:ascii="Times New Roman" w:cs="Times New Roman" w:eastAsia="Times New Roman" w:hAnsi="Times New Roman"/>
          <w:sz w:val="18"/>
          <w:szCs w:val="18"/>
          <w:color w:val="auto"/>
        </w:rPr>
        <w:t>. This Agreement may not be amended, changed, supplemented, waived or otherwise modified or terminated, except upon the execution and delivery of a written agreement executed by Acquiror, the Company and the Company Stockholders.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to this Agreement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Acquiror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will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Blaize,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Ryan J. Maierson; Ryan J. Lynch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ryan.maierson@lw.com; ryan.lynch@lw.com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a Company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such Company Stockholder’s address (including email) set forth in the Company’s books and records;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(including by electronic signature) in two or more counterparts, each of which shall be deemed an original, but all of which together shall constitute one and the same instrument.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Interpretation and Construction</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hereto, and no presumption or burden of proof will arise favoring or disfavoring any party by virtue of the authorship of any of the provisions of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IS INTENTIONALLY BLANK]</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Stockholders, Acquiror, and the Company have each caused this Stockholder Support Agreement to be duly executed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 STOCKHOLDERS:</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4520"/>
        <w:spacing w:after="0"/>
        <w:rPr>
          <w:sz w:val="20"/>
          <w:szCs w:val="20"/>
          <w:color w:val="auto"/>
        </w:rPr>
      </w:pPr>
      <w:r>
        <w:rPr>
          <w:rFonts w:ascii="Times New Roman" w:cs="Times New Roman" w:eastAsia="Times New Roman" w:hAnsi="Times New Roman"/>
          <w:sz w:val="18"/>
          <w:szCs w:val="18"/>
          <w:b w:val="1"/>
          <w:bCs w:val="1"/>
          <w:color w:val="auto"/>
        </w:rPr>
        <w:t>ACQUIROR: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BURTECH ACQUISITION CORP.</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6" w:name="page147"/>
    <w:bookmarkEnd w:id="146"/>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BLAIZE, INC.</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Stockholder Subject Shares</w:t>
      </w:r>
    </w:p>
    <w:tbl>
      <w:tblPr>
        <w:tblLayout w:type="fixed"/>
        <w:tblInd w:w="0" w:type="dxa"/>
        <w:tblCellMar>
          <w:top w:w="0" w:type="dxa"/>
          <w:left w:w="0" w:type="dxa"/>
          <w:bottom w:w="0" w:type="dxa"/>
          <w:right w:w="0" w:type="dxa"/>
        </w:tblCellMar>
      </w:tblPr>
      <w:tr>
        <w:trPr>
          <w:trHeight w:val="124"/>
        </w:trPr>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 of</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D</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Series D-1</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Company</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Seed</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Series B</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Series C</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D</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D-1</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Series D-2</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Warrants</w:t>
            </w: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Warrants</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Shadow</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Shadow</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Shadow</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Shadow</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Shadow</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Shadow</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Shadow</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Shadow</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Shadow</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Warrants</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(Series D</w:t>
            </w: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(Series D-</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Shadow</w:t>
            </w: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2 Shadow</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0" w:type="dxa"/>
            <w:vAlign w:val="bottom"/>
          </w:tcPr>
          <w:p>
            <w:pPr>
              <w:spacing w:after="0"/>
              <w:rPr>
                <w:sz w:val="1"/>
                <w:szCs w:val="1"/>
                <w:color w:val="auto"/>
              </w:rPr>
            </w:pPr>
          </w:p>
        </w:tc>
      </w:tr>
      <w:tr>
        <w:trPr>
          <w:trHeight w:val="155"/>
        </w:trPr>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Holder</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Stock)</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0" w:type="dxa"/>
            <w:vAlign w:val="bottom"/>
          </w:tcPr>
          <w:p>
            <w:pPr>
              <w:spacing w:after="0"/>
              <w:rPr>
                <w:sz w:val="1"/>
                <w:szCs w:val="1"/>
                <w:color w:val="auto"/>
              </w:rPr>
            </w:pPr>
          </w:p>
        </w:tc>
      </w:tr>
      <w:tr>
        <w:trPr>
          <w:trHeight w:val="110"/>
        </w:trPr>
        <w:tc>
          <w:tcPr>
            <w:tcW w:w="120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Anderson Investments</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Pte. Ltd.</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3,147,755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1,436,437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2,394,063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NSITEXE, Inc.</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3,147,755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957,625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Franklin Strategic</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Series - Franklin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Small-Mid Cap</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Growth Fund</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1,720,949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1,467,659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227,435</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260,815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146,765</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Franklin Templeton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Variable Insurance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Products Trust -</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Franklin Small-Mid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Growth VIP Fund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194,302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82,758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11,970</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26,474</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8,275</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Bess Ventures +</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Advisory, LLC</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6,000,000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4,167,698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416,769</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Wavemaker SEA SPV</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1,500,434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Tallwood Investment</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Partners, L.P. (fka</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Entropy Research</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Labs, LLC)</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1,122,799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253,906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1,223,402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A&amp;E Investment LLC</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434,027</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629,401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Dinakar Munagala</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71,470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5,728,779</w:t>
            </w: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 Yin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2,651,333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1,558,234</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Bripa GMBH</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368,170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181,159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20,985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19,152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3,090</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Globe CP GmbH</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89,753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294,388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4,788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5,230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523</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BMI Estate</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287,910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47,881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46,177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7,723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4,617</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Stefan Hambrecht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31,477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4,788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JIH</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8"/>
              </w:rPr>
              <w:t>Vermögensverwaltungs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GmbH</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1,096,945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106,180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47,881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177,759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7,723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17,775</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DE-4 Beteiligungs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gesmbH</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71,102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818,665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59,461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26,813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104,040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4,325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10,404</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Milo Caroni</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Milo Caroni and Maria</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Luisa Caroni, as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tenants in common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Milo Caroni U/O</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Maria Luisa Caroni</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together</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724,637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106,180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47,881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121,507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7,723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12,150</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Roland Berger</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750,000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106,180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47,881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7,723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2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10,006,457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687,933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2,515,361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3,571,406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8,514,317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3,598,753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3,351,688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6,172,828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239,405</w:t>
            </w: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vMerge w:val="continue"/>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572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327,142</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617,278</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7,287,013</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8"/>
          <w:szCs w:val="18"/>
          <w:b w:val="1"/>
          <w:bCs w:val="1"/>
          <w:color w:val="auto"/>
        </w:rPr>
        <w:t>Company Stockholder Signatories to Registration Rights Agreement</w:t>
      </w:r>
    </w:p>
    <w:p>
      <w:pPr>
        <w:spacing w:after="0" w:line="229" w:lineRule="exact"/>
        <w:rPr>
          <w:sz w:val="20"/>
          <w:szCs w:val="20"/>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Anderson Investments Pte. Ltd.</w:t>
      </w:r>
    </w:p>
    <w:p>
      <w:pPr>
        <w:spacing w:after="0" w:line="225" w:lineRule="exact"/>
        <w:rPr>
          <w:sz w:val="20"/>
          <w:szCs w:val="20"/>
          <w:color w:val="auto"/>
        </w:rPr>
      </w:pPr>
    </w:p>
    <w:p>
      <w:pPr>
        <w:ind w:left="3548"/>
        <w:spacing w:after="0"/>
        <w:rPr>
          <w:sz w:val="20"/>
          <w:szCs w:val="20"/>
          <w:color w:val="auto"/>
        </w:rPr>
      </w:pPr>
      <w:r>
        <w:rPr>
          <w:rFonts w:ascii="Times New Roman" w:cs="Times New Roman" w:eastAsia="Times New Roman" w:hAnsi="Times New Roman"/>
          <w:sz w:val="18"/>
          <w:szCs w:val="18"/>
          <w:color w:val="auto"/>
        </w:rPr>
        <w:t>[Schedule II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900" w:right="1440" w:bottom="1440" w:gutter="0" w:footer="0" w:header="0"/>
        </w:sectPr>
      </w:pPr>
    </w:p>
    <w:bookmarkStart w:id="149" w:name="page150"/>
    <w:bookmarkEnd w:id="149"/>
    <w:p>
      <w:pPr>
        <w:jc w:val="center"/>
        <w:ind w:right="292"/>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b w:val="1"/>
          <w:bCs w:val="1"/>
          <w:color w:val="auto"/>
        </w:rPr>
        <w:t>Company Stockholder Agreements</w:t>
      </w:r>
    </w:p>
    <w:p>
      <w:pPr>
        <w:spacing w:after="0" w:line="229" w:lineRule="exact"/>
        <w:rPr>
          <w:sz w:val="20"/>
          <w:szCs w:val="20"/>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Voting Agreement, dated as of September 19, 2022, by and among the Company and the other parties thereto.</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First Refusal and Co-Sale Agreement, dated as of September 19, 2022, by and among the Company and the other parties thereto.</w:t>
      </w:r>
    </w:p>
    <w:p>
      <w:pPr>
        <w:spacing w:after="0" w:line="161" w:lineRule="exact"/>
        <w:rPr>
          <w:rFonts w:ascii="Times New Roman" w:cs="Times New Roman" w:eastAsia="Times New Roman" w:hAnsi="Times New Roman"/>
          <w:sz w:val="18"/>
          <w:szCs w:val="18"/>
          <w:color w:val="auto"/>
        </w:rPr>
      </w:pPr>
    </w:p>
    <w:p>
      <w:pPr>
        <w:ind w:left="3508" w:right="200" w:hanging="3508"/>
        <w:spacing w:after="0" w:line="532" w:lineRule="auto"/>
        <w:tabs>
          <w:tab w:leader="none" w:pos="3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19, 2022, by and among the Company and the other parties thereto. [Schedule III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SPONSOR SUPPORT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Sponsor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22, 2023, by and among BurTech LP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BurTech Acquisition Corp.,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and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(as defined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WHEREAS, as of the date hereof, the Sponsor is the holder of record and the “beneficial owner” (within the meaning of Rule 13d-3 under the Exchange Act) of 9,487,500 shares of Acquiror Class B Common Stock and 898,250 private placement units acquired by the Sponsor simultaneously with the consummation of Acquiror’s initial public offering (“</w:t>
      </w:r>
      <w:r>
        <w:rPr>
          <w:rFonts w:ascii="Times New Roman" w:cs="Times New Roman" w:eastAsia="Times New Roman" w:hAnsi="Times New Roman"/>
          <w:sz w:val="18"/>
          <w:szCs w:val="18"/>
          <w:u w:val="single" w:color="auto"/>
          <w:color w:val="auto"/>
        </w:rPr>
        <w:t>Acquiror Private Placement Units</w:t>
      </w:r>
      <w:r>
        <w:rPr>
          <w:rFonts w:ascii="Times New Roman" w:cs="Times New Roman" w:eastAsia="Times New Roman" w:hAnsi="Times New Roman"/>
          <w:sz w:val="18"/>
          <w:szCs w:val="18"/>
          <w:color w:val="auto"/>
        </w:rPr>
        <w:t>”) (consisting of (a) 898,250 shares of Acquiror Class A Common Stock and (b) 898,250 Acquiror Private Placement Warrants) (all such shares of Acquiror Class B Common Stock and Acquiror Private Placement Units (including the shares of Acquiror Class A Common Stock and Acquiror Private Placement Warrants thereunder), together with any shares of Acquiror Common Stock or any other equity securities of Acquiror of which ownership of record or the power to vote (including, without limitation, by proxy or power of attorney) is hereafter acquired by the Sponsor during the period from the date hereof through the Expiration Time (as defined below), including by purchase, as a result of a share dividend, share split, recapitalization, combination, reclassification, exchange or change of such securities, or upon the grant, vesting or exercise of any outstanding equity award, or upon exercise or conversion of any other securities, are referred to herein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Acquiror, BurTech Merger Sub Inc., a Delaware corporation and a direct wholly owned subsidiary of 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Company and, solely for limited purposes set forth therein, Burkhan Capital LLC, a Delaware limited liability company, entered into an Agreement and Plan of Merger (as amended or modified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pursuant to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other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with the Company surviving the Merger as a wholly owned subsidiary of Acquiror;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as an inducement to Acquiror and the Company to enter into the Merger Agreement and to consummate the transactions contemplated therein, the parties hereto desire to agree to certain matters as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contained herein, and intending to be legally bound hereby,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SPONSOR SUPPORT AGREEMENT; COVENANTS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Binding Effect of Merger Agreement</w:t>
      </w:r>
      <w:r>
        <w:rPr>
          <w:rFonts w:ascii="Times New Roman" w:cs="Times New Roman" w:eastAsia="Times New Roman" w:hAnsi="Times New Roman"/>
          <w:sz w:val="18"/>
          <w:szCs w:val="18"/>
          <w:color w:val="auto"/>
        </w:rPr>
        <w:t>. The Sponsor hereby acknowledges that it has read the Merger Agreement and this Agreement and has had the opportunity to consult with its tax and legal advisors. The Sponsor shall be bound by and comply with Sections 8.7 (</w:t>
      </w:r>
      <w:r>
        <w:rPr>
          <w:rFonts w:ascii="Times New Roman" w:cs="Times New Roman" w:eastAsia="Times New Roman" w:hAnsi="Times New Roman"/>
          <w:sz w:val="18"/>
          <w:szCs w:val="18"/>
          <w:i w:val="1"/>
          <w:iCs w:val="1"/>
          <w:color w:val="auto"/>
        </w:rPr>
        <w:t>Exclusivity</w:t>
      </w:r>
      <w:r>
        <w:rPr>
          <w:rFonts w:ascii="Times New Roman" w:cs="Times New Roman" w:eastAsia="Times New Roman" w:hAnsi="Times New Roman"/>
          <w:sz w:val="18"/>
          <w:szCs w:val="18"/>
          <w:color w:val="auto"/>
        </w:rPr>
        <w:t>) in respect of Business Combination Proposals, 11.12 (</w:t>
      </w:r>
      <w:r>
        <w:rPr>
          <w:rFonts w:ascii="Times New Roman" w:cs="Times New Roman" w:eastAsia="Times New Roman" w:hAnsi="Times New Roman"/>
          <w:sz w:val="18"/>
          <w:szCs w:val="18"/>
          <w:i w:val="1"/>
          <w:iCs w:val="1"/>
          <w:color w:val="auto"/>
        </w:rPr>
        <w:t>Publicity</w:t>
      </w:r>
      <w:r>
        <w:rPr>
          <w:rFonts w:ascii="Times New Roman" w:cs="Times New Roman" w:eastAsia="Times New Roman" w:hAnsi="Times New Roman"/>
          <w:sz w:val="18"/>
          <w:szCs w:val="18"/>
          <w:color w:val="auto"/>
        </w:rPr>
        <w:t>) of the Merger Agreement, and 8.3 (</w:t>
      </w:r>
      <w:r>
        <w:rPr>
          <w:rFonts w:ascii="Times New Roman" w:cs="Times New Roman" w:eastAsia="Times New Roman" w:hAnsi="Times New Roman"/>
          <w:sz w:val="18"/>
          <w:szCs w:val="18"/>
          <w:i w:val="1"/>
          <w:iCs w:val="1"/>
          <w:color w:val="auto"/>
        </w:rPr>
        <w:t>Support of Transaction</w:t>
      </w:r>
      <w:r>
        <w:rPr>
          <w:rFonts w:ascii="Times New Roman" w:cs="Times New Roman" w:eastAsia="Times New Roman" w:hAnsi="Times New Roman"/>
          <w:sz w:val="18"/>
          <w:szCs w:val="18"/>
          <w:color w:val="auto"/>
        </w:rPr>
        <w:t>) of the Merger Agreement (and any relevant definitions contained in any such Sections) as if (x) the Sponsor was an original signatory to the Merger Agreement with respect to such provisions, and (y) each reference to “Acquiror” contained in such provisions (other than for purposes of the definition of Business Combination Proposals) also referred to the Sponsor.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No Transfer</w:t>
      </w:r>
      <w:r>
        <w:rPr>
          <w:rFonts w:ascii="Times New Roman" w:cs="Times New Roman" w:eastAsia="Times New Roman" w:hAnsi="Times New Roman"/>
          <w:sz w:val="18"/>
          <w:szCs w:val="18"/>
          <w:color w:val="auto"/>
        </w:rPr>
        <w:t>. Except with the prior written consent of the Company (such consent to be given or withheld in its sole discretion), during the period commencing on the date hereof and ending on the Expiration Time, the Sponsor shall not (i) sell, offer to sell, contract or agree to sell, hypothecate, pledge, grant any option, right or warrant to purchase, or otherwise transfer (including by operation of Law), encumbrance, dispose of, or agree to transfer, encumbrance or dispose of, directly or indirectly, file (or participate in the filing of) a registration statement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(other than the Proxy Statement / Registration Statement) or establish or increase a put equivalent position or liquidate or decrease a call equivalent position within the meaning of Section 16 of the Exchange Act, with respect to any Subject Shares,</w:t>
      </w:r>
    </w:p>
    <w:p>
      <w:pPr>
        <w:spacing w:after="0" w:line="5" w:lineRule="exact"/>
        <w:rPr>
          <w:sz w:val="20"/>
          <w:szCs w:val="20"/>
          <w:color w:val="auto"/>
        </w:rPr>
      </w:pPr>
    </w:p>
    <w:p>
      <w:pPr>
        <w:jc w:val="both"/>
        <w:ind w:firstLine="8"/>
        <w:spacing w:after="0" w:line="251" w:lineRule="auto"/>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any Subject Shares or (iii) publicly announce any intention to effect any transaction specified in clause (i) or (ii) (clauses (i)-(ii) collectively,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prohibit (x) a Transfer to an Affiliate of the Sponsor, or (y) a Transfer in connection with the Company Financing or the financing of the Merger (each,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Permitted Transfer shall be permitted only if, as a precondition to such Transfer, the transferee also agrees in a writing, reasonably satisfactory in form and substance to the Company, to assume all of the obligations of the Sponsor under, and be bound by all of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Transfer permitted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not relieve the Sponsor of its obligations under this Agreement. Any Transfer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with respect to the Sponsor’s Subject Shares shall be null and void. Nothing in this Agreement shall prohibit direct or indirect transfers of equity or other interests in the Sponsor, so long as after such transfer the Sponsor or the surviving entity thereof remains to be bound by all of the terms of this Agreement.</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New Shares</w:t>
      </w:r>
      <w:r>
        <w:rPr>
          <w:rFonts w:ascii="Times New Roman" w:cs="Times New Roman" w:eastAsia="Times New Roman" w:hAnsi="Times New Roman"/>
          <w:sz w:val="18"/>
          <w:szCs w:val="18"/>
          <w:color w:val="auto"/>
        </w:rPr>
        <w:t>. In the event that, during the period commencing on the date hereof and ending at the Expiration Time, (a) any Subject Shares are issued to the Sponsor after the date of this Agreement pursuant to any stock dividend, stock split, recapitalization, reclassification, combination or exchange of Subject Shares or otherwise, (b) the Sponsor purchases or otherwise acquires beneficial ownership of any Subject Shares or</w:t>
      </w:r>
    </w:p>
    <w:p>
      <w:pPr>
        <w:spacing w:after="0" w:line="1" w:lineRule="exact"/>
        <w:rPr>
          <w:sz w:val="20"/>
          <w:szCs w:val="20"/>
          <w:color w:val="auto"/>
        </w:rPr>
      </w:pPr>
    </w:p>
    <w:p>
      <w:pPr>
        <w:jc w:val="both"/>
        <w:ind w:firstLine="8"/>
        <w:spacing w:after="0" w:line="255" w:lineRule="auto"/>
        <w:tabs>
          <w:tab w:leader="none" w:pos="2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acquires the right to vote or share in the voting of any Subject Shares (collectively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acquired or purchased by the Sponsor shall be subject to the terms of this Agreement to the same extent as if they constituted the Subject Shares owned by the Sponsor as of the date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Agreement to Vote</w:t>
      </w:r>
      <w:r>
        <w:rPr>
          <w:rFonts w:ascii="Times New Roman" w:cs="Times New Roman" w:eastAsia="Times New Roman" w:hAnsi="Times New Roman"/>
          <w:sz w:val="18"/>
          <w:szCs w:val="18"/>
          <w:color w:val="auto"/>
        </w:rPr>
        <w:t>. Hereafter until the Expiration Time, the Sponsor hereby unconditionally and irrevocably agrees that, at any meeting of the stockholders of Acquiror (or any adjournment or postponement thereof), and in any action by written consent of the stockholders of Acquiror requested by the Acquiror Board or otherwise undertaken in connection with the Transactions, the Sponsor shall appear at the meeting, in person or by proxy, or otherwise cause its Subject Shares (to the extent such Subject Shares are entitled to vote or provide consent with respect to such matter) to be counted as present thereat for purposes of establishing a quorum, and the Sponsor shall vote or provide consent (or cause to be voted or consented), in person or by proxy, all of its Subject Shares (to the extent such Subject Shares are entitled to vote or provide consent with respect to such matter):</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in favor of each Transaction Proposal, including, without limitation, the approval and adoption of the Merger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Transactions;</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(b)        in any other circumstances upon which a consent, waiver or other approval is required under Acquiror’s Governing Documents or otherwise sought with respect to the Merger Agreement or the Transactions, in favor of such vote, consent, waiver or approval (or cause to be voted, consented, waived or approved with respect thereto);</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against any Business Combination Proposal or other business combination transaction (other than the Merger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Transactions);</w:t>
      </w:r>
    </w:p>
    <w:p>
      <w:pPr>
        <w:spacing w:after="0" w:line="20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(d)        against any proposal, action or agreement that would reasonably be expected to (A) impede, frustrate, prevent or nullify any provision of this Agreement, the Merger Agreement or the timely consummation of the Merger, (B) result in a breach in any respect of any covenant, representation, warranty or any other obligation or agreement of Acquiror or Merger Sub under the Merger Agreement, (C) result in any of the conditions set forth in Article IX of the Merger Agreement not being fulfilled or (D) result in a breach of any covenant, representation or warranty or other obligation or agreement of the Sponsor contained in this Agreement; and</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(e)        to approve or authorize (or to vote against or withhold consent for, as applicable) any other matters necessary or reasonably requested by the Company or Acquiror for the consummation of the Transactions.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Sponsor hereby agrees that it shall not commit or agree to take any action inconsistent with the foregoing. The obligations of the Sponsor specified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apply whether or not the Merger or any action described above is recommended by the Acquiror Board or the Acquiror Board has previously recommended the Merger but changed such recommendation.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No Challenges</w:t>
      </w:r>
      <w:r>
        <w:rPr>
          <w:rFonts w:ascii="Times New Roman" w:cs="Times New Roman" w:eastAsia="Times New Roman" w:hAnsi="Times New Roman"/>
          <w:sz w:val="18"/>
          <w:szCs w:val="18"/>
          <w:color w:val="auto"/>
        </w:rPr>
        <w:t>. The Sponsor agrees not to commence, join in, facilitate, assist or encourage, and agrees to take all actions necessary to opt out of any class in any class action with respect to, any claim, derivative or otherwise, against Acquiror, Merger Sub, the Company or any of their respective successors or directors (a) challenging the validity of, or seeking to enjoin or delay the operation of, any provision of this Agreement or the Merger Agreement (b) alleging a breach of any fiduciary duty of any person in connection with the evaluation, negotiation or entry into the Merger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Closing Date Deliverables</w:t>
      </w:r>
      <w:r>
        <w:rPr>
          <w:rFonts w:ascii="Times New Roman" w:cs="Times New Roman" w:eastAsia="Times New Roman" w:hAnsi="Times New Roman"/>
          <w:sz w:val="18"/>
          <w:szCs w:val="18"/>
          <w:color w:val="auto"/>
        </w:rPr>
        <w:t>. The Sponsor will deliver, substantially simultaneously with the Effective Time, a duly-executed copy of that certain Amended and Restated Registration Rights Agreement, by and among Acquiror, the Company and the other parties thereto, in substantially the form attached as Exhibit E to the Merger Agreement.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Anti-Dilution Waiver</w:t>
      </w:r>
      <w:r>
        <w:rPr>
          <w:rFonts w:ascii="Times New Roman" w:cs="Times New Roman" w:eastAsia="Times New Roman" w:hAnsi="Times New Roman"/>
          <w:sz w:val="18"/>
          <w:szCs w:val="18"/>
          <w:color w:val="auto"/>
        </w:rPr>
        <w:t>. The Sponsor hereby irrevocably and unconditionally (but subject to the consummation of the Merger) agrees that (i) shares of Acquiror Class B Common Stock held by the Sponsor shall convert into shares of Acquiror Class A Common Stock on a one-for-one basis in accordance with the Governing Documents of Acquiror (the “</w:t>
      </w:r>
      <w:r>
        <w:rPr>
          <w:rFonts w:ascii="Times New Roman" w:cs="Times New Roman" w:eastAsia="Times New Roman" w:hAnsi="Times New Roman"/>
          <w:sz w:val="18"/>
          <w:szCs w:val="18"/>
          <w:u w:val="single" w:color="auto"/>
          <w:color w:val="auto"/>
        </w:rPr>
        <w:t>Acquiror Governing Documents</w:t>
      </w:r>
      <w:r>
        <w:rPr>
          <w:rFonts w:ascii="Times New Roman" w:cs="Times New Roman" w:eastAsia="Times New Roman" w:hAnsi="Times New Roman"/>
          <w:sz w:val="18"/>
          <w:szCs w:val="18"/>
          <w:color w:val="auto"/>
        </w:rPr>
        <w:t xml:space="preserve">”) (as adjusted to account for any subdivision (by share split, subdivision, exchange, share dividend, reclassification, recapitalization or otherwise) or combination (by reverse share split, exchange, reclassification, recapitalization or otherwise) or similar reclassification or recapitalization of the outstanding shares of Acquiror Class A Common Stock), and (ii) not to assert or perfect any and all rights to adjustment or other antidilution protections the Sponsor has or will have under the Acquiror Governing Documents. The Sponsor further agrees not to redeem any Subject Shares (including any shares of Acquiror Class A Common Stock received upon the conversion of Acquiror Class B Common Stock) and not to commence or participate in, and to take all actions necessary to opt out of any class in any class action with respect to, any claim, derivative or otherwise, against Acquiror, the Company, any affiliate or designee of the Sponsor acting in his or her capacity as director or any of their respective successors and assigns relating to the negotiation, execution or delivery of this Agreement, the Merger Agreement or the consummation of the transactions contemplated hereby and thereby.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constitute written consent waiving, forfeiting and surrendering any anti-dilution protection pursuant to the Acquiror Governing Documents and such waiver, forfeiture and surrender granted hereunder shall only terminate upon the termination of this Agreement. Notwithstanding anything to the contrary contained herein, the Sponsor does not waive, or agrees to refrain from asserting or perfecting any rights in the event the Merger Agreement is terminated. If the Merger Agreement is terminated,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The Sponsor shall execute and deliver, or cause to be delivered, such additional documents, and take, or cause to be taken, all such further actions and do, or cause to be done, all things reasonably necessary (including under applicable Laws), or reasonably requested by Acquiror or the Company, to effect the actions and consummate the Merger and the other transactions contemplated by this Agreement and the Merger Agreement, in each case, on the terms and subject to the conditions set forth therein and herein, as applicable.</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No Inconsistent Agreement</w:t>
      </w:r>
      <w:r>
        <w:rPr>
          <w:rFonts w:ascii="Times New Roman" w:cs="Times New Roman" w:eastAsia="Times New Roman" w:hAnsi="Times New Roman"/>
          <w:sz w:val="18"/>
          <w:szCs w:val="18"/>
          <w:color w:val="auto"/>
        </w:rPr>
        <w:t>. The Sponsor hereby represents and covenants that the Sponsor (i) has full voting power, full power of disposition and full power to issue instructions with respect to the matters set forth herein whether by ownership or by proxy, in each case, with respect to the Sponsor’s Subject Shares, (ii) has not entered into, and shall not enter into, any voting agreement, voting trust or other agreement, and has no knowledge and is not aware of any such voting agreement or voting trust in effect, with respect to any of the Sponsor’s Subject Shares that is inconsistent with the Sponsor’s obligations pursuant to this Agreement or any agreement or amendment of an existing agreement that would, or would reasonably be expected to, restrict, limit or interfere with the performance of the Sponsor’s obligations hereunder, and (iii) has not granted, and shall not grant, a proxy, power of attorney or similar right with respect to any of the Sponsor’s Subject Shares that is inconsistent with the Sponsor’s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  Consent to Disclosure</w:t>
      </w:r>
      <w:r>
        <w:rPr>
          <w:rFonts w:ascii="Times New Roman" w:cs="Times New Roman" w:eastAsia="Times New Roman" w:hAnsi="Times New Roman"/>
          <w:sz w:val="18"/>
          <w:szCs w:val="18"/>
          <w:color w:val="auto"/>
        </w:rPr>
        <w:t>. The Sponsor hereby consents to the publication and disclosure in the Proxy Statement / Registration Statement (and, as and to the extent otherwise required by applicable securities Laws or the SEC or any other securities authorities, any other documents or communications provided by Acquiror or the Company to any Governmental Authority or to securityholders of Acquiror) of the Sponsor’s identity and beneficial ownership of Subject Shares and the nature of the Sponsor’s commitments, arrangements and understandings under and relating to this Agreement and, if deemed appropriate by Acquiror or the Company, a copy of this Agreement, in all cases only to the extent required by applicable law or order from the SEC or any other securities authorities, and after providing the Sponsor reasonable opportunity to defend any requirement to disclose information which would cause the Sponsor to be in breach of any confidentiality obligations applicable to it. The Sponsor will promptly provide any information reasonably requested by Acquiror or the Company for any regulatory application or filing made or approval sought in connection with the Transactions (including filings with the SEC).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Representations and Warranties of the Sponsor</w:t>
      </w:r>
      <w:r>
        <w:rPr>
          <w:rFonts w:ascii="Times New Roman" w:cs="Times New Roman" w:eastAsia="Times New Roman" w:hAnsi="Times New Roman"/>
          <w:sz w:val="18"/>
          <w:szCs w:val="18"/>
          <w:color w:val="auto"/>
        </w:rPr>
        <w:t>. The Sponsor represents and warrants as of the date hereof to Acquiror and the Company as follows:</w:t>
      </w:r>
    </w:p>
    <w:p>
      <w:pPr>
        <w:spacing w:after="0" w:line="16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Due Authorization</w:t>
      </w:r>
      <w:r>
        <w:rPr>
          <w:rFonts w:ascii="Times New Roman" w:cs="Times New Roman" w:eastAsia="Times New Roman" w:hAnsi="Times New Roman"/>
          <w:sz w:val="18"/>
          <w:szCs w:val="18"/>
          <w:color w:val="auto"/>
        </w:rPr>
        <w:t>. The Sponsor is duly organized, validly existing and in good standing (or the equivalent thereof) under the Laws of the jurisdiction in which it is incorporated, formed, organized or constituted, and the execution, delivery and performance of this Agreement and the consummation of the transactions contemplated hereby are within the Sponsor’s corporate, limited liability company or organizational powers and have been duly authorized by all necessary corporate, limited liability company or organizational actions on the part of the Sponsor. This Agreement has been duly executed and delivered by the Sponsor and, assuming due authorization, execution and delivery by the other parties to this Agreement, this Agreement constitutes a legally valid and binding obligation of the Sponsor, enforceable against the Sponsor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9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Ownership</w:t>
      </w:r>
      <w:r>
        <w:rPr>
          <w:rFonts w:ascii="Times New Roman" w:cs="Times New Roman" w:eastAsia="Times New Roman" w:hAnsi="Times New Roman"/>
          <w:sz w:val="18"/>
          <w:szCs w:val="18"/>
          <w:color w:val="auto"/>
        </w:rPr>
        <w:t>. The Sponsor is the record and beneficial owner (as defined in the Securities Act) of, and has good, valid and marketable title to, all of the Sponsor’s Subject Shares, and there exist no Liens or any other limitation or restriction (including any restriction on the right to vote, sell or otherwise dispose of such Subject Shares (other than transfer restrictions under the Securities Act)) affecting any such Subject Shares, other than Liens pursuant to (i) this Agreement, (ii) the Acquiror Governing Documents, (iii) the Merger Agreement, or (vi) any applicable securities Laws. The Sponsor’s Subject Shares are the only equity securities in Acquiror owned of record or beneficially by the Sponsor on the date of this Agreement, and none of the Sponsor’s Subject Shares are subject to any proxy, voting trust or other agreement or arrangement with respect to the voting of such Subject Shares, except as provided hereunder. Other than Acquiror Private Placement Warrants, the Sponsor does not hold or own any rights to acquire (directly or indirectly) any equity securities of Acquiror or any securities convertible into, or which can be exchanged for, equity securities of Acquiror.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Consent</w:t>
      </w:r>
      <w:r>
        <w:rPr>
          <w:rFonts w:ascii="Times New Roman" w:cs="Times New Roman" w:eastAsia="Times New Roman" w:hAnsi="Times New Roman"/>
          <w:sz w:val="18"/>
          <w:szCs w:val="18"/>
          <w:color w:val="auto"/>
        </w:rPr>
        <w:t>. No consent, approval or authorization of, or designation, declaration or filing with, any Governmental Authority is required on the part of the Sponsor with respect to the Sponsor’s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the Sponsor to perform, or otherwise comply with, any of its covenants, agreements or obligations hereunder in any material respect, or which have already been obtained in advance of the Sponsor’s entry into this Agreement.</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xml:space="preserve">. The execution and delivery of this Agreement by the Sponsor does not, and the performance by the Sponsor of its obligations hereunder will not, (i) conflict with or result in a violation of the organizational documents of the Sponsor, (ii) with or without notice, lapse of time or both, a breach or violation of, a termination (or right of termination) of or a default under, the loss of any benefit under, the creation, modification or acceleration of any obligations under any Contract binding upon the Sponsor or, assuming (solely with respect to performance of this Agreement and the transactions contemplated hereby) compliance with the matters referred to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under any applicable Law to which the Sponsor or any of its properties or assets is subject, (iii) any change in the rights or obligations of any party under any Contract legally binding upon the Sponsor, or (iv) other than the restrictions contemplated by this Agreement, result in the creation of any Lien upon the Subject Shares, except, in the case of clause (ii) or (iii) directly above, for any such breach, violation, termination, default, creation, acceleration or change that would not, individually or in the aggregate, reasonably be expected to prevent or materially delay or impair the Sponsor’s ability to perform, or otherwise comply with, any of its covenants, agreements or obligations hereunder or to consummate the transactions contemplated hereby, the consummation of the Merger or the other transactions contemplated by the Merger Agreement.</w:t>
      </w:r>
    </w:p>
    <w:p>
      <w:pPr>
        <w:spacing w:after="0" w:line="19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Actions pending against the Sponsor, or to the knowledge of the Sponsor threatened against the Sponsor, before (or, in the case of threatened Actions, that would be before) any arbitrator or any Governmental Authority, which in any manner challenges or seeks to prevent, enjoin or materially delay the performance by the Sponsor of its obligations under this Agreement.</w:t>
      </w:r>
    </w:p>
    <w:p>
      <w:pPr>
        <w:spacing w:after="0" w:line="176"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Adequate Information</w:t>
      </w:r>
      <w:r>
        <w:rPr>
          <w:rFonts w:ascii="Times New Roman" w:cs="Times New Roman" w:eastAsia="Times New Roman" w:hAnsi="Times New Roman"/>
          <w:sz w:val="18"/>
          <w:szCs w:val="18"/>
          <w:color w:val="auto"/>
        </w:rPr>
        <w:t>. The Sponsor is a sophisticated stockholder and has adequate information concerning the business and financial condition of Acquiror and the Company to make an informed decision regarding this Agreement and the Transactions and has independently and without reliance upon Acquiror or the Company and based on such information as the Sponsor has deemed appropriate, made its own analysis and decision to enter into this Agreement. The Sponsor acknowledges that Acquiror and the Company have not made and do not make any representation or warranty, whether express or implied, of any kind or character except as expressly set forth in this Agreement and the Merger Agreement. The Sponsor acknowledges that the agreements contained herein with respect to the Subject Shares are irrevocable.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Brokerage Fees</w:t>
      </w:r>
      <w:r>
        <w:rPr>
          <w:rFonts w:ascii="Times New Roman" w:cs="Times New Roman" w:eastAsia="Times New Roman" w:hAnsi="Times New Roman"/>
          <w:sz w:val="18"/>
          <w:szCs w:val="18"/>
          <w:color w:val="auto"/>
        </w:rPr>
        <w:t>. No broker, finder, investment banker or other Person is entitled to any brokerage fee, finders’ fee or other commission in connection with the transactions contemplated by the Merger Agreement based upon arrangements made by the Sponsor in its capacity as a stockholder or, to the knowledge of the Sponsor, on behalf of the Sponsor, in its capacity as a stockholder, for which Acquiror or any of its Affiliates may become liable.</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Acknowledgment</w:t>
      </w:r>
      <w:r>
        <w:rPr>
          <w:rFonts w:ascii="Times New Roman" w:cs="Times New Roman" w:eastAsia="Times New Roman" w:hAnsi="Times New Roman"/>
          <w:sz w:val="18"/>
          <w:szCs w:val="18"/>
          <w:color w:val="auto"/>
        </w:rPr>
        <w:t>. The Sponsor understands and acknowledges that each of Acquiror and the Company is entering into the Merger Agreement in reliance upon the Sponsor’s execution and delivery of this Agreement, and the representations, warranties, covenants and other agreements of the Sponsor contained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and all of its provisions shall terminate and be of no further force or effect upon the earliest to occur of (a) the Effective Time, (b) such date and time as the Merger Agreement shall be terminated in accordance with Section 10.1 thereof (the earlier of (a) and (b),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and (c) upon the written agreement of Acquiror, the Company and the Sponsor.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termination of this Agreement shall not relieve any party hereto from liability arising in respect of any breach of this Agreement prior to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the termination of this Agreement.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all claims or causes of action based upon, arising out of, or related to this Agreement,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(a)        Except as specifically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any proceeding or Action based upon, arising out of or related to this Agreement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(b)        EACH PARTY HERETO ACKNOWLEDGES AND AGREES THAT ANY CONTROVERSY WHICH MAY ARISE UNDER THIS AGREEMENT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parties hereto.</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color w:val="auto"/>
        </w:rPr>
        <w:t xml:space="preserve">. The parties hereto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to this Agreement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any court of competent jurisdiction, this being in addition to any other remedy to which they are entitled under this Agreement, and</w:t>
      </w:r>
    </w:p>
    <w:p>
      <w:pPr>
        <w:spacing w:after="0" w:line="3" w:lineRule="exact"/>
        <w:rPr>
          <w:sz w:val="20"/>
          <w:szCs w:val="20"/>
          <w:color w:val="auto"/>
        </w:rPr>
      </w:pPr>
    </w:p>
    <w:p>
      <w:pPr>
        <w:jc w:val="both"/>
        <w:ind w:firstLine="8"/>
        <w:spacing w:after="0" w:line="251" w:lineRule="auto"/>
        <w:tabs>
          <w:tab w:leader="none" w:pos="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be required to provide any bond or other security in connection with any such injunction or specific performance or have the burden of proving actual damages. Each of the parties to this Agreement consents to personal jurisdiction for any equitable action sought in the Delaware Court of Chancery or any state or federal court in any part of the world having competent jurisdiction.</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Amendment; Waiver</w:t>
      </w:r>
      <w:r>
        <w:rPr>
          <w:rFonts w:ascii="Times New Roman" w:cs="Times New Roman" w:eastAsia="Times New Roman" w:hAnsi="Times New Roman"/>
          <w:sz w:val="18"/>
          <w:szCs w:val="18"/>
          <w:color w:val="auto"/>
        </w:rPr>
        <w:t>. This Agreement may not be amended, changed, supplemented, waived or otherwise modified or terminated, except upon the execution and delivery of a written agreement executed by Acquiror, the Company and the Sponsor.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to this Agreement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Acquiror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will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Blaize,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Ryan J. Maierson; Ryan J. Lynch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ryan.maierson@lw.com; ryan.lynch@lw.com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the Sponsor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BurTech LP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will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(including by electronic signature) in two or more counterparts, each of which shall be deemed an original, but all of which together shall constitute one and the same instrument.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Interpretation and Construction</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hereto, and no presumption or burden of proof will arise favoring or disfavoring any party by virtue of the authorship of any of the provisions of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IS INTENTIONALLY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Sponsor, Acquiror, and the Company have each caused this Sponsor Support Agreement to be duly executed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8"/>
          <w:szCs w:val="18"/>
          <w:b w:val="1"/>
          <w:bCs w:val="1"/>
          <w:color w:val="auto"/>
        </w:rPr>
        <w:t>ACQUIROR: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BURTECH ACQUISITION CORP.</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3" w:name="page164"/>
    <w:bookmarkEnd w:id="163"/>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BLAIZE, INC.</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29"/>
          <w:szCs w:val="29"/>
          <w:b w:val="1"/>
          <w:bCs w:val="1"/>
          <w:color w:val="auto"/>
          <w:vertAlign w:val="superscript"/>
        </w:rPr>
        <w:t>1</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 is made and entered into by and among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(formerly known as BurTech Acquisition Corp., a Delaware corporation), BurTech LP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the Persons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the Sponsor, the “</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and each member of the Sponsor Group, a “</w:t>
      </w:r>
      <w:r>
        <w:rPr>
          <w:rFonts w:ascii="Times New Roman" w:cs="Times New Roman" w:eastAsia="Times New Roman" w:hAnsi="Times New Roman"/>
          <w:sz w:val="18"/>
          <w:szCs w:val="18"/>
          <w:u w:val="single" w:color="auto"/>
          <w:color w:val="auto"/>
        </w:rPr>
        <w:t>Sponsor Holder</w:t>
      </w:r>
      <w:r>
        <w:rPr>
          <w:rFonts w:ascii="Times New Roman" w:cs="Times New Roman" w:eastAsia="Times New Roman" w:hAnsi="Times New Roman"/>
          <w:sz w:val="18"/>
          <w:szCs w:val="18"/>
          <w:color w:val="auto"/>
        </w:rPr>
        <w:t>”) and certain former stockholders of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(such stockholders, the “</w:t>
      </w:r>
      <w:r>
        <w:rPr>
          <w:rFonts w:ascii="Times New Roman" w:cs="Times New Roman" w:eastAsia="Times New Roman" w:hAnsi="Times New Roman"/>
          <w:sz w:val="18"/>
          <w:szCs w:val="18"/>
          <w:u w:val="single" w:color="auto"/>
          <w:color w:val="auto"/>
        </w:rPr>
        <w:t>Blaize Holders</w:t>
      </w:r>
      <w:r>
        <w:rPr>
          <w:rFonts w:ascii="Times New Roman" w:cs="Times New Roman" w:eastAsia="Times New Roman" w:hAnsi="Times New Roman"/>
          <w:sz w:val="18"/>
          <w:szCs w:val="18"/>
          <w:color w:val="auto"/>
        </w:rPr>
        <w:t xml:space="preserve">” and, collectively with the Sponsor Group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certain Sponsor Holders are party to that certain Registration Rights Agreement, dated as of December 10,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entered into that certain Agreement and Plan of Merger, dated as of December 22, 2023, (as it may be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Blaize, pursuant to which, among other things, on the date hereof, Merger Sub will merge with and into Blaize, with Blaize continuing on as the surviving entity and a wholly owned subsidiary of the Company, on the terms and conditions set forth therein;</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pursuant to the Merger Agreement, the Blaize Holders received shares of common stock, par value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5.5 of the Original RRA, the provisions, covenants and conditions set forth therein may be amended or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written consent of the Company and the Holders (as defined in the Original RRA) of at least a majority in interest of the Registrable Securities (as defined in the Original RRA) at the time in question, and the Sponsor Group are collectively Holders in the aggregate of at least a majority in interest of the Registrable Securities as of the date hereof; and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Group desire to amend and restate the Original RRA in its entirety and enter into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Company shall grant the Holders certain registration rights with respect to certain securities of the Company, as set forth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representations, covenants and agreements contained herein, and certain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783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4" w:lineRule="exact"/>
        <w:rPr>
          <w:sz w:val="20"/>
          <w:szCs w:val="20"/>
          <w:color w:val="auto"/>
        </w:rPr>
      </w:pPr>
    </w:p>
    <w:p>
      <w:pPr>
        <w:ind w:left="5580" w:right="4660" w:hanging="5572"/>
        <w:spacing w:after="0" w:line="623" w:lineRule="auto"/>
        <w:tabs>
          <w:tab w:leader="none" w:pos="129"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updated prior to execution for any subsequent financing transactions, as applicable.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terms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for all purposes of this Agreement, have the respective meanings set forth below: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Holder Common Stock</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of the Company, the Chief Financial Officer of the Company or the Board, after consultation with counsel to the Company,</w:t>
      </w:r>
    </w:p>
    <w:p>
      <w:pPr>
        <w:jc w:val="both"/>
        <w:ind w:firstLine="8"/>
        <w:spacing w:after="0" w:line="253"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Blaize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given in the Preamble hereto and includes the Company’s successors by recapitalization, merger, consolidation, spin-off, reorganization or similar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have the meaning given in the Preamble hereto, for so long as such person or entity holds any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shall mean any person or entity to whom such Holder is permitted to transfer such Registrable Securities, subject to and in accordance with any applicable agreement between such Holder and/or their respective Permitted Transferees and the Company and any transferee thereafter,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Security</w:t>
      </w:r>
      <w:r>
        <w:rPr>
          <w:rFonts w:ascii="Times New Roman" w:cs="Times New Roman" w:eastAsia="Times New Roman" w:hAnsi="Times New Roman"/>
          <w:sz w:val="18"/>
          <w:szCs w:val="18"/>
          <w:color w:val="auto"/>
        </w:rPr>
        <w:t xml:space="preserve">” shall mean (a) any outstanding shares of Common Stock held by a Holder immediately following the Closing (including any shares of Common Stock distributed or distributable pursuant to the Merger Agreement); (b) any shares of Common Stock issuable upon the exercise of any other equity security of the Company held by a Holder immediately following the Closing (including any shares of Common Stock issuable upon the exercise of any other equity security of the Company distributed or distributable pursuant to the Merger Agreement), (c) the Earnout Shares (in each case, upon issuance thereof), (d) any Additional Holder Common Stock; and (e) any shares of Common Stock issued or issuable with respect to any securities referenced in clauses (a), (b), (c) and (d) above by way of a stock dividend or stock split or in connection with a recapitalization, merger, consolidation, spin-off, reorganization or similar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 (ii) new certificates for such securities not bearing (or book-entry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limitation as to volume or manner of sale or the availability of current public information); and (E) such securities have been sold to, or through, a broker, dealer or underwriter in a public distribution or other public securities transaction.</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the reasonable documented, out-of-pocket expenses of a Registration, including, without limitation, the following:</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all registration and filing fees (including fees with respect to filings required to be made with the Financial Industry Regulatory Authority, Inc.) and any national securities exchange on which the Common Stock is then listed;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fees and expenses of compliance with securities or blue sky laws (including reasonable fees and disbursements of outside counsel for the Underwriters in connection with blue sky qualifications of Registrable Securities);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printing, messenger, telephone and delivery expenses;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reasonable fees and disbursements of counsel for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reasonable fees and disbursements of all independent registered public accountants of the Company incurred specifically in connection with such Registration;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in an Underwritten Offering, reasonable and documented fees and expenses of one (1) legal counsel selected by the majority in interest of the Demanding Holders with the approval of the Company (which approval shall not be unreasonably withheld, conditioned or delayed) not to exceed $40,000 in the aggregate for each Registration.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shall mean an Underwritten Shelf Takedown or any proposed transfer or sale using a Registration Statement, including a Piggyback Registration.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Holder</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 AND OFFERINGS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          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2.1.1        Filing</w:t>
      </w:r>
      <w:r>
        <w:rPr>
          <w:rFonts w:ascii="Times New Roman" w:cs="Times New Roman" w:eastAsia="Times New Roman" w:hAnsi="Times New Roman"/>
          <w:sz w:val="18"/>
          <w:szCs w:val="18"/>
          <w:color w:val="auto"/>
        </w:rPr>
        <w:t>. Within thirty (30) calendar days following the Closing Date, the Company shall submit to or file with the Commission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for a Shelf Registration on Form S-1 (the “</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or a Registration Statement for a Shelf Registration on Form S-3 (the “</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xml:space="preserve">”),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the one hundred twentieth (120th) calendar day following the filing date thereof if the Commission notifies the Company that it will “review” the Registration Statement and (b) the tenth (10th)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2.1.2        Subsequent Shelf Registration</w:t>
      </w:r>
      <w:r>
        <w:rPr>
          <w:rFonts w:ascii="Times New Roman" w:cs="Times New Roman" w:eastAsia="Times New Roman" w:hAnsi="Times New Roman"/>
          <w:sz w:val="18"/>
          <w:szCs w:val="18"/>
          <w:color w:val="auto"/>
        </w:rPr>
        <w:t>. If any Shelf ceases to be effective under the Securities Act for any reason at any time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u w:val="single" w:color="auto"/>
          <w:color w:val="auto"/>
        </w:rPr>
        <w:t>Subsequent Shelf Registration Statement</w:t>
      </w:r>
      <w:r>
        <w:rPr>
          <w:rFonts w:ascii="Times New Roman" w:cs="Times New Roman" w:eastAsia="Times New Roman" w:hAnsi="Times New Roman"/>
          <w:sz w:val="18"/>
          <w:szCs w:val="18"/>
          <w:color w:val="auto"/>
        </w:rPr>
        <w:t xml:space="preserve">”)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2.1.3        Additional Registrable Securities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in the event that any Holder holds Registrable Securities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registered for resale on a delayed or continuous basis, the Company, upon written request of a Sponsor Holder or a Blaize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only be required to cause such Registrable Securities to be so covered twice per calendar year for each of the Sponsor Holders and the Blaize Holders, respectively.</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2.1.4        Requests for Underwritten Shelf Takedowns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on file with the Commission, a Sponsor Holder or a Blaize Holder (a Sponsor Holder or a Blaize Holder being in such case, a “</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may request to sell all or any portion of its Registrable Securities in an Underwritten Offering that is registered pursuant to the Shelf (each, an “</w:t>
      </w:r>
      <w:r>
        <w:rPr>
          <w:rFonts w:ascii="Times New Roman" w:cs="Times New Roman" w:eastAsia="Times New Roman" w:hAnsi="Times New Roman"/>
          <w:sz w:val="18"/>
          <w:szCs w:val="18"/>
          <w:u w:val="single" w:color="auto"/>
          <w:color w:val="auto"/>
        </w:rPr>
        <w:t>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$50 million (the “</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net of all underwriting discounts and commissions.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Sponsor Holders may demand not more than two (2) and the Blaize Holders may demand not more than two (2)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any twelve (12) month period. Notwithstanding anything to the contrary in this Agreement, the Company may effect any Underwritten Offering pursuant to any then effective Registration Statement, including a Form S-3, that is then available for such offering.</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2.1.5        Reduction of Underwritten Offering</w:t>
      </w:r>
      <w:r>
        <w:rPr>
          <w:rFonts w:ascii="Times New Roman" w:cs="Times New Roman" w:eastAsia="Times New Roman" w:hAnsi="Times New Roman"/>
          <w:sz w:val="18"/>
          <w:szCs w:val="18"/>
          <w:color w:val="auto"/>
        </w:rPr>
        <w:t>. If the managing Underwriter or Underwriters in an Underwritten Shelf Takedown,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(pro rata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 To facilitate the allocation of Registrable Securities in accordance with the above provisions, the Company or the Underwriters may round the number of shares allocated to any Holder to the nearest 100 Registrable Securities. The Company shall not be required to include any Registrable Securities in such Underwritten Shelf Takedown unless the Holders accept the terms of the underwriting as agreed upon between the Company and its Underwriters.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2.1.6        Withdrawal</w:t>
      </w:r>
      <w:r>
        <w:rPr>
          <w:rFonts w:ascii="Times New Roman" w:cs="Times New Roman" w:eastAsia="Times New Roman" w:hAnsi="Times New Roman"/>
          <w:sz w:val="18"/>
          <w:szCs w:val="18"/>
          <w:color w:val="auto"/>
        </w:rPr>
        <w:t>. Prior to the filing of the applicable “red herring” prospectus or prospectus supplement used for marketing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Underwritten Shelf Takedown, a majority in interest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Shelf Takedown;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Sponsor Holder or a Blaize Holder may elect to have the Company continue an Underwritten Shelf Takedown if the Minimum Takedown Threshold would still be satisfied by the Registrable Securities proposed to be sold in the Underwritten Shelf Takedown by the Sponsor Holders, the Blaize Holders or any of their respective Permitted Transferees, as applicable.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unless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Sponsor Holder or a Blaize Holder elects to continue an Underwritten Shelf Takedown pursuant to the proviso in the immediately preceding sentence, such Underwritten Shelf Takedown shall instead count as an Underwritten Shelf Takedown demanded by such Sponsor Holder or such Blaize Holder, as applicable,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other than if a withdrawing Demanding Holder elects to pay such Registration Expenses pursuant to the second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b w:val="1"/>
          <w:bCs w:val="1"/>
          <w:color w:val="auto"/>
        </w:rPr>
        <w:t>2.2          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2.2.1        Piggyback Rights</w:t>
      </w:r>
      <w:r>
        <w:rPr>
          <w:rFonts w:ascii="Times New Roman" w:cs="Times New Roman" w:eastAsia="Times New Roman" w:hAnsi="Times New Roman"/>
          <w:sz w:val="18"/>
          <w:szCs w:val="18"/>
          <w:color w:val="auto"/>
        </w:rPr>
        <w:t>. If the Company or any Holder proposes to conduct a registered offering of, or if the Company proposes to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w:t>
      </w:r>
    </w:p>
    <w:p>
      <w:pPr>
        <w:spacing w:after="0" w:line="4" w:lineRule="exact"/>
        <w:rPr>
          <w:sz w:val="20"/>
          <w:szCs w:val="20"/>
          <w:color w:val="auto"/>
        </w:rPr>
      </w:pPr>
    </w:p>
    <w:p>
      <w:pPr>
        <w:jc w:val="both"/>
        <w:ind w:firstLine="8"/>
        <w:spacing w:after="0" w:line="251" w:lineRule="auto"/>
        <w:tabs>
          <w:tab w:leader="none" w:pos="3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offering of debt that is convertible into equity securities of the Company, or (iv) for a dividend reinvestment plan, then the Company shall give written notice of such proposed offering to all of the Holders of Registrable Securities as soon as practicable but not less than five (5)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 w:cs="Times New Roman" w:eastAsia="Times New Roman" w:hAnsi="Times New Roman"/>
          <w:sz w:val="18"/>
          <w:szCs w:val="18"/>
          <w:u w:val="single" w:color="auto"/>
          <w:color w:val="auto"/>
        </w:rPr>
        <w:t>Piggyback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 Notwithstanding anything to the contrary in this Agreement, the Holders shall have no rights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if the registration statement the Company proposes to file is solely for purposes of a delayed or continuous offering pursuant to Rule 415 under the Securities Act and, at the time of the filing of such registration statement, the Company is in compliance with its obligations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2.2.2        Reduction of Piggyback Registration</w:t>
      </w:r>
      <w:r>
        <w:rPr>
          <w:rFonts w:ascii="Times New Roman" w:cs="Times New Roman" w:eastAsia="Times New Roman" w:hAnsi="Times New Roman"/>
          <w:sz w:val="18"/>
          <w:szCs w:val="18"/>
          <w:color w:val="auto"/>
        </w:rPr>
        <w:t>. If the managing Underwriter or Underwriters in an Underwritten Offering that is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 (i) 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 (A) and (B),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18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 xml:space="preserve">if the Registration is pursuant to a demand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190"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 xml:space="preserve">if the Registration and Underwritten Shelf Takedown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then the Company shall include in any such Registration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2.2.3        Piggyback Registration Withdrawal</w:t>
      </w:r>
      <w:r>
        <w:rPr>
          <w:rFonts w:ascii="Times New Roman" w:cs="Times New Roman" w:eastAsia="Times New Roman" w:hAnsi="Times New Roman"/>
          <w:sz w:val="18"/>
          <w:szCs w:val="18"/>
          <w:color w:val="auto"/>
        </w:rPr>
        <w:t>. Any Holder of Registrable Securities (other than a Demanding Holder, whose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2.2.4        Unlimited Piggyback Registration Rights</w:t>
      </w:r>
      <w:r>
        <w:rPr>
          <w:rFonts w:ascii="Times New Roman" w:cs="Times New Roman" w:eastAsia="Times New Roman" w:hAnsi="Times New Roman"/>
          <w:sz w:val="18"/>
          <w:szCs w:val="18"/>
          <w:color w:val="auto"/>
        </w:rPr>
        <w:t>. For purposes of clarity,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any Piggyback Registration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2.3           Market Stand-off</w:t>
      </w:r>
      <w:r>
        <w:rPr>
          <w:rFonts w:ascii="Times New Roman" w:cs="Times New Roman" w:eastAsia="Times New Roman" w:hAnsi="Times New Roman"/>
          <w:sz w:val="18"/>
          <w:szCs w:val="18"/>
          <w:color w:val="auto"/>
        </w:rPr>
        <w:t>. In connection with any Underwritten Offering of equity securities of the Company, if requested by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each Holder that is an executive officer or director of the Company or a Holder of more than five percent (5%) of the outstanding Common Stock (and for which it is customary for such a Holder to agree to a lock-up)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3.1          General Procedures</w:t>
      </w:r>
      <w:r>
        <w:rPr>
          <w:rFonts w:ascii="Times New Roman" w:cs="Times New Roman" w:eastAsia="Times New Roman" w:hAnsi="Times New Roman"/>
          <w:sz w:val="18"/>
          <w:szCs w:val="18"/>
          <w:color w:val="auto"/>
        </w:rPr>
        <w:t>. In connection with any Shelf and/or Shelf Takedown, the Company shall use its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such Registration to permit the sale of such Registrable Securities in accordance with the intended plan of distribution thereof, and pursuant thereto the Company shall, as soon as reasonably practicable: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3.1.1        </w:t>
      </w:r>
      <w:r>
        <w:rPr>
          <w:rFonts w:ascii="Times New Roman" w:cs="Times New Roman" w:eastAsia="Times New Roman" w:hAnsi="Times New Roman"/>
          <w:sz w:val="18"/>
          <w:szCs w:val="18"/>
          <w:color w:val="auto"/>
        </w:rPr>
        <w:t>prepare and file with the Commission as soon as reasonably practicable a Registration Statement with respect to such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use its commercially reasonable efforts to cause such Registration Statement to become effective and remain effective until all Registrable Securities have ceased to be Registrable Securities;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3.1.2        </w:t>
      </w:r>
      <w:r>
        <w:rPr>
          <w:rFonts w:ascii="Times New Roman" w:cs="Times New Roman" w:eastAsia="Times New Roman" w:hAnsi="Times New Roman"/>
          <w:sz w:val="18"/>
          <w:szCs w:val="18"/>
          <w:color w:val="auto"/>
        </w:rPr>
        <w:t>prepare and file with the Commission such amendments and post-effective amendments to the Registration Statement,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 to the Prospectus, as may be reasonably requested by any Holder that holds at least ten percent (10%) of the then outstanding number of shares of Common Stock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3.1.3        </w:t>
      </w:r>
      <w:r>
        <w:rPr>
          <w:rFonts w:ascii="Times New Roman" w:cs="Times New Roman" w:eastAsia="Times New Roman" w:hAnsi="Times New Roman"/>
          <w:sz w:val="18"/>
          <w:szCs w:val="18"/>
          <w:color w:val="auto"/>
        </w:rPr>
        <w:t>prior to filing a Registration Statement or Prospectus, or any amendment or supplement thereto, furnish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3.1.4        </w:t>
      </w:r>
      <w:r>
        <w:rPr>
          <w:rFonts w:ascii="Times New Roman" w:cs="Times New Roman" w:eastAsia="Times New Roman" w:hAnsi="Times New Roman"/>
          <w:sz w:val="18"/>
          <w:szCs w:val="18"/>
          <w:color w:val="auto"/>
        </w:rPr>
        <w:t>prior to any public offering of Registrable Securities, use its commercially reasonable efforts to (i) register or qualify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3.1.5        </w:t>
      </w:r>
      <w:r>
        <w:rPr>
          <w:rFonts w:ascii="Times New Roman" w:cs="Times New Roman" w:eastAsia="Times New Roman" w:hAnsi="Times New Roman"/>
          <w:sz w:val="18"/>
          <w:szCs w:val="18"/>
          <w:color w:val="auto"/>
        </w:rPr>
        <w:t>cause all such Registrable Securities to be listed on each national securities exchange on which similar securities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then listed;</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3.1.6        </w:t>
      </w:r>
      <w:r>
        <w:rPr>
          <w:rFonts w:ascii="Times New Roman" w:cs="Times New Roman" w:eastAsia="Times New Roman" w:hAnsi="Times New Roman"/>
          <w:sz w:val="18"/>
          <w:szCs w:val="18"/>
          <w:color w:val="auto"/>
        </w:rPr>
        <w:t>provide a transfer agent or warrant agent, as applicable, and registrar for all such Registrable Securities no later than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such Registration Statement;</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3.1.7        </w:t>
      </w:r>
      <w:r>
        <w:rPr>
          <w:rFonts w:ascii="Times New Roman" w:cs="Times New Roman" w:eastAsia="Times New Roman" w:hAnsi="Times New Roman"/>
          <w:sz w:val="18"/>
          <w:szCs w:val="18"/>
          <w:color w:val="auto"/>
        </w:rPr>
        <w:t>advise each seller of such Registrable Securities, promptly after it shall receive notice or obtain knowledge thereof,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3.1.8        </w:t>
      </w:r>
      <w:r>
        <w:rPr>
          <w:rFonts w:ascii="Times New Roman" w:cs="Times New Roman" w:eastAsia="Times New Roman" w:hAnsi="Times New Roman"/>
          <w:sz w:val="18"/>
          <w:szCs w:val="18"/>
          <w:color w:val="auto"/>
        </w:rPr>
        <w:t>prior to the filing of any Registration Statement or Prospectus or any amendment or supplement to such Registration Statement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furnish a copy thereof to each seller of such Registrable Securities or its counsel (excluding any exhibits thereto and any filing made under the Exchange Act that is to be incorporated by reference therein);</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3.1.9        </w:t>
      </w:r>
      <w:r>
        <w:rPr>
          <w:rFonts w:ascii="Times New Roman" w:cs="Times New Roman" w:eastAsia="Times New Roman" w:hAnsi="Times New Roman"/>
          <w:sz w:val="18"/>
          <w:szCs w:val="18"/>
          <w:color w:val="auto"/>
        </w:rPr>
        <w:t>notify the Holders at any time when a Prospectus relating to such Registration Statement is required to be delivered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3.1.10      </w:t>
      </w:r>
      <w:r>
        <w:rPr>
          <w:rFonts w:ascii="Times New Roman" w:cs="Times New Roman" w:eastAsia="Times New Roman" w:hAnsi="Times New Roman"/>
          <w:sz w:val="18"/>
          <w:szCs w:val="18"/>
          <w:color w:val="auto"/>
        </w:rPr>
        <w:t>in the event of an Underwritten Offering or sale by a broker, placement agent or sales agent pursuant to such Registration,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representative of the Holders, the Underwriters or other financial institutions facilitating such Underwritten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representatives, Underwriters or financial institutions agree to confidentiality arrangements in form and substance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to the Company, prior to the release or disclosure of any such information;</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3.1.11      </w:t>
      </w:r>
      <w:r>
        <w:rPr>
          <w:rFonts w:ascii="Times New Roman" w:cs="Times New Roman" w:eastAsia="Times New Roman" w:hAnsi="Times New Roman"/>
          <w:sz w:val="18"/>
          <w:szCs w:val="18"/>
          <w:color w:val="auto"/>
        </w:rPr>
        <w:t>use commercially reasonable efforts to obtain a “comfort” letter (including a bring-down letter dated as of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are delivered for sale pursuant to such Registration) from the Company’s independent registered public accountants in the event of an Underwritten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as the managing Underwriter may reasonably request, and reasonably satisfactory to a majority in interest of the participating 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3.1.12      </w:t>
      </w:r>
      <w:r>
        <w:rPr>
          <w:rFonts w:ascii="Times New Roman" w:cs="Times New Roman" w:eastAsia="Times New Roman" w:hAnsi="Times New Roman"/>
          <w:sz w:val="18"/>
          <w:szCs w:val="18"/>
          <w:color w:val="auto"/>
        </w:rPr>
        <w:t>in the event of an Underwritten Offering or sale by a broker, placement agent or sales agent pursuant to such Registration,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Registrable Securities are delivered for sale pursuant to such Registration,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provided such participating Holders provide such information to such counsel as is customarily required for purpose of such opinions;</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3.1.13      </w:t>
      </w:r>
      <w:r>
        <w:rPr>
          <w:rFonts w:ascii="Times New Roman" w:cs="Times New Roman" w:eastAsia="Times New Roman" w:hAnsi="Times New Roman"/>
          <w:sz w:val="18"/>
          <w:szCs w:val="18"/>
          <w:color w:val="auto"/>
        </w:rPr>
        <w:t>in the event of any Underwritten Offering or sale by a broker, placement agent or sales agent pursuant to such Registration,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and perform its obligations under an underwriting or other purchase or sales agreement, in usual and customary form, with the managing Underwriter or the broker, placement agent or sales agent of such offering or sale;</w:t>
      </w:r>
    </w:p>
    <w:p>
      <w:pPr>
        <w:spacing w:after="0" w:line="171"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3.1.14      </w:t>
      </w:r>
      <w:r>
        <w:rPr>
          <w:rFonts w:ascii="Times New Roman" w:cs="Times New Roman" w:eastAsia="Times New Roman" w:hAnsi="Times New Roman"/>
          <w:sz w:val="18"/>
          <w:szCs w:val="18"/>
          <w:color w:val="auto"/>
        </w:rPr>
        <w:t>make available to its security holders, as soon as reasonably practicable, an earnings statement covering the period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3.1.15      </w:t>
      </w:r>
      <w:r>
        <w:rPr>
          <w:rFonts w:ascii="Times New Roman" w:cs="Times New Roman" w:eastAsia="Times New Roman" w:hAnsi="Times New Roman"/>
          <w:sz w:val="18"/>
          <w:szCs w:val="18"/>
          <w:color w:val="auto"/>
        </w:rPr>
        <w:t>if the Registration involves the Registration of Registrable Securities involving gross proceeds in excess of $50 million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 Underwritten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3.1.16      </w:t>
      </w:r>
      <w:r>
        <w:rPr>
          <w:rFonts w:ascii="Times New Roman" w:cs="Times New Roman" w:eastAsia="Times New Roman" w:hAnsi="Times New Roman"/>
          <w:sz w:val="18"/>
          <w:szCs w:val="18"/>
          <w:color w:val="auto"/>
        </w:rPr>
        <w:t>otherwise, in good faith, cooperate reasonably with, and take such customary actions as may reasonably be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Holders, consistent with the terms of this Agreement, in connection with such Registration.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3.2           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Holders selling Registrable Securities in any offering shall bear all incremental selling expenses relating to the sale of such Registrable Securities, such as Underwriters’ commissions and discounts, brokerage fees, Underwriter marketing costs and, other than as set forth in the definition of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reasonable and documented fees and expenses of any legal counsel representing the 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3.3           Requirements for Participation in Registration Statements and Offerings</w:t>
      </w:r>
      <w:r>
        <w:rPr>
          <w:rFonts w:ascii="Times New Roman" w:cs="Times New Roman" w:eastAsia="Times New Roman" w:hAnsi="Times New Roman"/>
          <w:sz w:val="18"/>
          <w:szCs w:val="18"/>
          <w:color w:val="auto"/>
        </w:rPr>
        <w:t>. The Holders of Registrable Securities shall provide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3.4           Suspension of Sales; Adverse Disclosure; Restrictions on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3.4.1        </w:t>
      </w:r>
      <w:r>
        <w:rPr>
          <w:rFonts w:ascii="Times New Roman" w:cs="Times New Roman" w:eastAsia="Times New Roman" w:hAnsi="Times New Roman"/>
          <w:sz w:val="18"/>
          <w:szCs w:val="18"/>
          <w:color w:val="auto"/>
        </w:rPr>
        <w:t>Upon receipt of written notice from the Company that a Registration Statement or Prospectus contains a Misstatement,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3.4.2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if the filing, initial effectiveness or continued use of a Registration Statement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3.4.3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(a) during the period starting with the date sixty (60) days prior to the Company’s good faith estimate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of the filing of, and ending on a date one hundred and eighty (180) days after the effective date of, a Company-initiated Registration, and provided that the Company continues to actively employ, in good faith, all reasonable efforts to maintain the effectiveness of the applicable Shelf Registration Statement, or (b) if,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3.4.4        </w:t>
      </w:r>
      <w:r>
        <w:rPr>
          <w:rFonts w:ascii="Times New Roman" w:cs="Times New Roman" w:eastAsia="Times New Roman" w:hAnsi="Times New Roman"/>
          <w:sz w:val="18"/>
          <w:szCs w:val="18"/>
          <w:color w:val="auto"/>
        </w:rPr>
        <w:t>The right to delay or suspend any filing, initial effectiveness or continued use of a Registration Statement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or a registered offering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3.5           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upon written request with true and complete copies of all such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the Electronic Data Gathering, Analysis and Retrieval System shall be deemed to have been furnished or delivered to the Holders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further covenants that it shall use commercially reasonable efforts to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4.1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4.1.1        </w:t>
      </w:r>
      <w:r>
        <w:rPr>
          <w:rFonts w:ascii="Times New Roman" w:cs="Times New Roman" w:eastAsia="Times New Roman" w:hAnsi="Times New Roman"/>
          <w:sz w:val="18"/>
          <w:szCs w:val="18"/>
          <w:color w:val="auto"/>
        </w:rPr>
        <w:t>The Company agrees to indemnify, to the extent permitted by law, each Holder of Registrable Securities, its officers,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each person or entity who controls such Holder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filed pursuant to this Agreement or any omission or alleged omission of a material fact required to be stated therein or necessary to make the statements therein, in the case of a Prospectus or preliminary Prospectus in the light of the circumstances under which they were made, not misleading, except insofar as the same are caused by or contained in any information or affidavit so furnished in writing to the Company by such Holder expressly for use therein.</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4.1.2        </w:t>
      </w:r>
      <w:r>
        <w:rPr>
          <w:rFonts w:ascii="Times New Roman" w:cs="Times New Roman" w:eastAsia="Times New Roman" w:hAnsi="Times New Roman"/>
          <w:sz w:val="18"/>
          <w:szCs w:val="18"/>
          <w:color w:val="auto"/>
        </w:rPr>
        <w:t>In connection with any Registration Statement filed pursuant to this Agreement in which a Holder of Registrable Securities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officers and agents and each person or entity who controls the Company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or preliminary Prospectus in the light of the circumstances under which they were made, not misleading, but only to the extent that such untrue or alleged untrue statement is contained in (or not contained in, in the case of an omission or alleged omission) any information or affidavit so furnished in writing by or on behalf of such Holder expressly for use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4.1.3        </w:t>
      </w:r>
      <w:r>
        <w:rPr>
          <w:rFonts w:ascii="Times New Roman" w:cs="Times New Roman" w:eastAsia="Times New Roman" w:hAnsi="Times New Roman"/>
          <w:sz w:val="18"/>
          <w:szCs w:val="18"/>
          <w:color w:val="auto"/>
        </w:rPr>
        <w:t>Any person or entity entitled to indemnification herein shall (i) give prompt written notice to the indemnifying party of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4.1.4        </w:t>
      </w:r>
      <w:r>
        <w:rPr>
          <w:rFonts w:ascii="Times New Roman" w:cs="Times New Roman" w:eastAsia="Times New Roman" w:hAnsi="Times New Roman"/>
          <w:sz w:val="18"/>
          <w:szCs w:val="18"/>
          <w:color w:val="auto"/>
        </w:rPr>
        <w:t>The indemnification provided for under this Agreement shall remain in full force and effect regardless of any investigation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4.1.5        </w:t>
      </w:r>
      <w:r>
        <w:rPr>
          <w:rFonts w:ascii="Times New Roman" w:cs="Times New Roman" w:eastAsia="Times New Roman" w:hAnsi="Times New Roman"/>
          <w:sz w:val="18"/>
          <w:szCs w:val="18"/>
          <w:color w:val="auto"/>
        </w:rPr>
        <w:t>If the indemnification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indemnifying party is unavailable or insufficient to hold harmless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          Notices</w:t>
      </w:r>
      <w:r>
        <w:rPr>
          <w:rFonts w:ascii="Times New Roman" w:cs="Times New Roman" w:eastAsia="Times New Roman" w:hAnsi="Times New Roman"/>
          <w:sz w:val="18"/>
          <w:szCs w:val="18"/>
          <w:color w:val="auto"/>
        </w:rPr>
        <w:t>. Any notice or communication under this Agreement shall be in writing and shall be deemed to have been duly given (i)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Any notice or communication under this Agreement must be addressed, if to the Company, to: Blaize Holdings, Inc., 4659 Golden Foothill Parkway, Suite 206, El Dorado Hills, CA 95762, Attention: [·] Email: [·], and, if to any Holder, at such Holder’s address, electronic mail address or facsimile number as set forth in the Company’s books and records. Any party may change its address for notice at any time and from time to time by written notice to the other parties 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           Assignment; No Third-Party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5.2.1        </w:t>
      </w:r>
      <w:r>
        <w:rPr>
          <w:rFonts w:ascii="Times New Roman" w:cs="Times New Roman" w:eastAsia="Times New Roman" w:hAnsi="Times New Roman"/>
          <w:sz w:val="18"/>
          <w:szCs w:val="18"/>
          <w:color w:val="auto"/>
        </w:rPr>
        <w:t>This Agreement and the rights, duties and obligations of the Company hereunder may not be assigned or delegated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whole or in part without the prior written consent of the other parties hereto.</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5.2.2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this Agreement and the rights, duties and obligations of a Holder hereunder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assigned in whole or in part to such Holder’s Permitted Transferees;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Blaize Holders and the Sponsor Group, the rights hereunder that are personal to such Holders may not be assigned or delegated in whole or in part, except that (x) each of the Holders shall be permitted to transfer its rights hereunder as a Holder to one or more affiliates or any direct or indirect partners, members or equity holders of such Holder (it being understood that no such transfer shall reduce any rights of such Holder or such transferees).</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5.2.3        </w:t>
      </w:r>
      <w:r>
        <w:rPr>
          <w:rFonts w:ascii="Times New Roman" w:cs="Times New Roman" w:eastAsia="Times New Roman" w:hAnsi="Times New Roman"/>
          <w:sz w:val="18"/>
          <w:szCs w:val="18"/>
          <w:color w:val="auto"/>
        </w:rPr>
        <w:t>This Agreement and the provisions hereof shall be binding upon and shall inure to the benefit of each of the parties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the permitted assigns of the Holders, which shall include Permitted Transferees.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5.2.4        </w:t>
      </w:r>
      <w:r>
        <w:rPr>
          <w:rFonts w:ascii="Times New Roman" w:cs="Times New Roman" w:eastAsia="Times New Roman" w:hAnsi="Times New Roman"/>
          <w:sz w:val="18"/>
          <w:szCs w:val="18"/>
          <w:color w:val="auto"/>
        </w:rPr>
        <w:t>This Agreement shall not confer any rights or benefits on any persons or entities that are not parties hereto, other than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5.2.5        </w:t>
      </w:r>
      <w:r>
        <w:rPr>
          <w:rFonts w:ascii="Times New Roman" w:cs="Times New Roman" w:eastAsia="Times New Roman" w:hAnsi="Times New Roman"/>
          <w:sz w:val="18"/>
          <w:szCs w:val="18"/>
          <w:color w:val="auto"/>
        </w:rPr>
        <w:t>No assignment by any party hereto of such party’s rights, duties and obligations hereunder shall be binding upon or obligate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unless it is permitted under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5.3           Counterparts</w:t>
      </w:r>
      <w:r>
        <w:rPr>
          <w:rFonts w:ascii="Times New Roman" w:cs="Times New Roman" w:eastAsia="Times New Roman" w:hAnsi="Times New Roman"/>
          <w:sz w:val="18"/>
          <w:szCs w:val="18"/>
          <w:color w:val="auto"/>
        </w:rPr>
        <w:t>. This Agreement may be executed (including by electronic signature)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shall constitute one and the same instrument.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5.4           Governing Law; Venue</w:t>
      </w:r>
      <w:r>
        <w:rPr>
          <w:rFonts w:ascii="Times New Roman" w:cs="Times New Roman" w:eastAsia="Times New Roman" w:hAnsi="Times New Roman"/>
          <w:sz w:val="18"/>
          <w:szCs w:val="18"/>
          <w:color w:val="auto"/>
        </w:rPr>
        <w:t>. This Agreement, and all claims or causes of action based upon, arising out of, or related to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herein,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5.5           TRIAL BY JURY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PARTY HERETO ACKNOWLEDGES AND AGREES THAT ANY CONTROVERSY WHICH MAY ARISE UNDER THIS AGREEMENT AND THE TRANSACTIONS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5.6           Amendments and Modifications</w:t>
      </w:r>
      <w:r>
        <w:rPr>
          <w:rFonts w:ascii="Times New Roman" w:cs="Times New Roman" w:eastAsia="Times New Roman" w:hAnsi="Times New Roman"/>
          <w:sz w:val="18"/>
          <w:szCs w:val="18"/>
          <w:color w:val="auto"/>
        </w:rPr>
        <w:t>. Upon the written consent of (a) the Company and (b) the Holders of a majority of the total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the foregoing, any amendment hereto or waiver hereof shall also require the written consent of each Holder so long as such Holder and its affiliates hold, in the aggregate, at least ten percent (10%) of the outstanding shares of Common Stock of the Company;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5.7           Other Registration Rights</w:t>
      </w:r>
      <w:r>
        <w:rPr>
          <w:rFonts w:ascii="Times New Roman" w:cs="Times New Roman" w:eastAsia="Times New Roman" w:hAnsi="Times New Roman"/>
          <w:sz w:val="18"/>
          <w:szCs w:val="18"/>
          <w:color w:val="auto"/>
        </w:rPr>
        <w:t>. Other than as provided in (i) the Warrant Agreement, dated as of December 10, 2021, between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Continental Stock Transfer &amp; Trust Company, and (ii) [ ·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96"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5.8           Term</w:t>
      </w:r>
      <w:r>
        <w:rPr>
          <w:rFonts w:ascii="Times New Roman" w:cs="Times New Roman" w:eastAsia="Times New Roman" w:hAnsi="Times New Roman"/>
          <w:sz w:val="17"/>
          <w:szCs w:val="17"/>
          <w:color w:val="auto"/>
        </w:rPr>
        <w:t>. This Agreement shall terminate on the earlier of (a) the seventh anniversary of the date of this Agreement and (b)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Holder, on the date that such Holder no longer holds any Registrable Securities. The provisions of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survive any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0"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registration rights to be confirmed as of Closing.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5.9           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such Holder in order for the Company to make determinations hereunder.</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5.10        Additional Holders; Joinder</w:t>
      </w:r>
      <w:r>
        <w:rPr>
          <w:rFonts w:ascii="Times New Roman" w:cs="Times New Roman" w:eastAsia="Times New Roman" w:hAnsi="Times New Roman"/>
          <w:sz w:val="18"/>
          <w:szCs w:val="18"/>
          <w:color w:val="auto"/>
        </w:rPr>
        <w:t>. In addition to persons or entities who may become Holders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the Sponsor and each Blaize Holder (in each case, so long as such Holder and its affiliates hold, in the aggregate, at least five percent (5%) of the outstanding shares of Common Stock of the Company), the Company may make any person or entity who has or acquires Common Stock or rights to acquire Common Stock after the date hereof a party to this Agreement (each such person or entity, an “</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 Common Stock</w:t>
      </w:r>
      <w:r>
        <w:rPr>
          <w:rFonts w:ascii="Times New Roman" w:cs="Times New Roman" w:eastAsia="Times New Roman" w:hAnsi="Times New Roman"/>
          <w:sz w:val="18"/>
          <w:szCs w:val="18"/>
          <w:color w:val="auto"/>
        </w:rPr>
        <w:t>”) shall be Registrable Securities to the extent provided herein and therein and such Additional Holder shall be a Holder under this Agreement with respect to such Additional Holder Common Stock.</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5.11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5.12        Entire Agreement; Restatement</w:t>
      </w:r>
      <w:r>
        <w:rPr>
          <w:rFonts w:ascii="Times New Roman" w:cs="Times New Roman" w:eastAsia="Times New Roman" w:hAnsi="Times New Roman"/>
          <w:sz w:val="18"/>
          <w:szCs w:val="18"/>
          <w:color w:val="auto"/>
        </w:rPr>
        <w:t>. This Agreement constitutes the full and entire agreement and understanding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all prior agreements and understandings relating to such subject matter. Upon the Closing, the Original RRA shall no longer be of any force or effect.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 xml:space="preserve">BLAIZE HOLDINGS, INC., </w:t>
      </w:r>
      <w:r>
        <w:rPr>
          <w:rFonts w:ascii="Times New Roman" w:cs="Times New Roman" w:eastAsia="Times New Roman" w:hAnsi="Times New Roman"/>
          <w:sz w:val="17"/>
          <w:szCs w:val="17"/>
          <w:color w:val="auto"/>
        </w:rPr>
        <w:t>a Delaware corporation</w:t>
      </w: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 xml:space="preserve">BURTECH LP LLC, </w:t>
      </w:r>
      <w:r>
        <w:rPr>
          <w:rFonts w:ascii="Times New Roman" w:cs="Times New Roman" w:eastAsia="Times New Roman" w:hAnsi="Times New Roman"/>
          <w:sz w:val="17"/>
          <w:szCs w:val="17"/>
          <w:color w:val="auto"/>
        </w:rPr>
        <w:t>a Delaware limited liability company</w:t>
      </w: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3206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EF HUTTON, DIVISION OF BENCHMARK INVESTMENTS, LLC</w:t>
      </w: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 · ]</w:t>
      </w:r>
    </w:p>
    <w:p>
      <w:pPr>
        <w:spacing w:after="0" w:line="23" w:lineRule="exact"/>
        <w:rPr>
          <w:sz w:val="20"/>
          <w:szCs w:val="20"/>
          <w:color w:val="auto"/>
        </w:rPr>
      </w:pPr>
    </w:p>
    <w:p>
      <w:pPr>
        <w:jc w:val="center"/>
        <w:ind w:right="-43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 · ]</w:t>
      </w:r>
    </w:p>
    <w:p>
      <w:pPr>
        <w:spacing w:after="0" w:line="20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20"/>
          </w:cols>
          <w:pgMar w:left="980" w:top="904" w:right="5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  </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 · ]</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 · ]</w:t>
      </w:r>
    </w:p>
    <w:p>
      <w:pPr>
        <w:spacing w:after="0" w:line="20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[BURKHAN AFFILIATES AND NOMINEES]</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  </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 · ]</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 · ]</w:t>
      </w:r>
    </w:p>
    <w:p>
      <w:pPr>
        <w:spacing w:after="0" w:line="20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executed as of the date first written above.</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 · ]</w:t>
      </w:r>
    </w:p>
    <w:p>
      <w:pPr>
        <w:spacing w:after="0" w:line="21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8" w:name="page189"/>
    <w:bookmarkEnd w:id="188"/>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 AGREEMENT JOINDER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is executing and delivering 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pursuant to the Amended and Restated Registration Rights Agreement, dated as of [·], 2024 (as the same may hereafter be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persons or entities named as parties therein. Capitalized terms used but not otherwise defined herein shall have the meanings provided in the Registration Rights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undersigned and its permitted assigns (if any) shall not have any rights as Holders, and the undersigned’s (and its transferees’) shares of Common Stock shall not be included as Registrable Securities, for purposes of the Excluded Sections.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Joinder, “</w:t>
      </w:r>
      <w:r>
        <w:rPr>
          <w:rFonts w:ascii="Times New Roman" w:cs="Times New Roman" w:eastAsia="Times New Roman" w:hAnsi="Times New Roman"/>
          <w:sz w:val="18"/>
          <w:szCs w:val="18"/>
          <w:u w:val="single" w:color="auto"/>
          <w:color w:val="auto"/>
        </w:rPr>
        <w:t>Excluded Sections</w:t>
      </w:r>
      <w:r>
        <w:rPr>
          <w:rFonts w:ascii="Times New Roman" w:cs="Times New Roman" w:eastAsia="Times New Roman" w:hAnsi="Times New Roman"/>
          <w:sz w:val="18"/>
          <w:szCs w:val="18"/>
          <w:color w:val="auto"/>
        </w:rPr>
        <w:t>” shall mean [_____________].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___ day of ________________, 20_________.</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163195</wp:posOffset>
            </wp:positionV>
            <wp:extent cx="30600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 20___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Sponsor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-125095</wp:posOffset>
            </wp:positionV>
            <wp:extent cx="3566160" cy="5918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66160" cy="591820"/>
                    </a:xfrm>
                    <a:prstGeom prst="rect">
                      <a:avLst/>
                    </a:prstGeom>
                    <a:noFill/>
                  </pic:spPr>
                </pic:pic>
              </a:graphicData>
            </a:graphic>
          </wp:anchor>
        </w:drawing>
      </w:r>
    </w:p>
    <w:p>
      <w:pPr>
        <w:spacing w:after="0" w:line="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BurTech LP LLC</w:t>
      </w:r>
    </w:p>
    <w:p>
      <w:pPr>
        <w:spacing w:after="0" w:line="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EF Hutton, Division of Benchmark Investments, LLC</w:t>
      </w:r>
    </w:p>
    <w:p>
      <w:pPr>
        <w:spacing w:after="0" w:line="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Burkhan Capital LLC and its affiliates and nominees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0" w:name="page191"/>
    <w:bookmarkEnd w:id="190"/>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r>
        <w:rPr>
          <w:rFonts w:ascii="Times New Roman" w:cs="Times New Roman" w:eastAsia="Times New Roman" w:hAnsi="Times New Roman"/>
          <w:sz w:val="29"/>
          <w:szCs w:val="29"/>
          <w:b w:val="1"/>
          <w:bCs w:val="1"/>
          <w:u w:val="single" w:color="auto"/>
          <w:color w:val="auto"/>
          <w:vertAlign w:val="superscript"/>
        </w:rPr>
        <w:t>3</w:t>
      </w:r>
    </w:p>
    <w:p>
      <w:pPr>
        <w:spacing w:after="0" w:line="1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Blaize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-125095</wp:posOffset>
            </wp:positionV>
            <wp:extent cx="356616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66160" cy="300355"/>
                    </a:xfrm>
                    <a:prstGeom prst="rect">
                      <a:avLst/>
                    </a:prstGeom>
                    <a:noFill/>
                  </pic:spPr>
                </pic:pic>
              </a:graphicData>
            </a:graphic>
          </wp:anchor>
        </w:drawing>
      </w:r>
    </w:p>
    <w:p>
      <w:pPr>
        <w:spacing w:after="0" w:line="1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9" w:lineRule="exact"/>
        <w:rPr>
          <w:sz w:val="20"/>
          <w:szCs w:val="20"/>
          <w:color w:val="auto"/>
        </w:rPr>
      </w:pPr>
    </w:p>
    <w:p>
      <w:pPr>
        <w:ind w:left="120" w:hanging="112"/>
        <w:spacing w:after="0"/>
        <w:tabs>
          <w:tab w:leader="none" w:pos="12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updated based on Legacy Blaize capitalization as of immediately prior to Closing.</w:t>
      </w:r>
    </w:p>
    <w:p>
      <w:pPr>
        <w:spacing w:after="0" w:line="198"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color w:val="auto"/>
        </w:rPr>
        <w:t>[Schedule II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i w:val="1"/>
          <w:iCs w:val="1"/>
          <w:color w:val="auto"/>
        </w:rPr>
        <w:t>FINAL FORM</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 ], is made and entered into by and among Blaize Holdings, Inc., a Delaware corporation (formerly known as BurTech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Persons (as defined in the Merger Agreement (as defined below))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(such Persons, together with any other Person who hereafter becomes a party to this Agreement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Legacy Blaize</w:t>
      </w:r>
      <w:r>
        <w:rPr>
          <w:rFonts w:ascii="Times New Roman" w:cs="Times New Roman" w:eastAsia="Times New Roman" w:hAnsi="Times New Roman"/>
          <w:sz w:val="18"/>
          <w:szCs w:val="18"/>
          <w:color w:val="auto"/>
        </w:rPr>
        <w:t>”), and, solely for limited purposes set forth therein, Burkhan Capital LLC,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defined herein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respective meanings ascribed to such terms in the Merger Agreement), dated as of December 22, 2023, pursuant to which, among other things,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hereof Merger Sub will merge with and into Legacy Blaize, with Legacy Blaize surviving as a wholly owned subsidiary of the Company,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each of the Securityholders will own equity interests in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the parties hereto wish to set forth herein certain understandings between such parties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transfer of equity interests in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              Subject to the exceptions set forth herein, each Securityholder agrees not to, without the prior written consent of the board of directors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 sell, offer to sell, contract or agree to sell, hypothecate, pledge, grant any option, right or warrant to purchase or otherwise transfer, dispose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agree to transfer or dispose of, directly or indirectly, or establish or increase a put equivalent position or liquidate or decrease a call equivalent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promulgated thereunder, any shares of Acquiror Common Stock held by it immediately after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Acquiror Common Stock issuable upon the exercise or settlement, as applicable, of Acquiror Options or Acquiror RSUs held by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after the Effective Time (other than shares of Acquiror Common Stock issued or issuable upon the exercise of Acquiror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or any other securities convertible into or exercisable or exchangeable for Acquiror Common Stock held by it immediately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(other than Acquiror Private Placement Warrants) (collectively,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(ii) enter into any swap or other arrangement that transfers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in whole or in part, any of the economic consequences of ownership of any of the Lock-Up Shares, whether any such transaction is to be settled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such securities, in cash or otherwise or (iii) publicly announce any intention to effect any transaction specified in clause (i) or (ii) (the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clauses (i)-(iii),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until the date that is 180 days after the Closing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subject to the early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release provisions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The restrictions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not apply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(A) to another entity that is an affiliate (as defined in Rule 405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operation of law or pursuant to a court order, such as a qualified domestic relations order, divorce decree or separation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that is a trust, Transfers to a trustor or beneficiary of the trust or to the estate of a beneficiary of such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relating to Acquiror Common Stock or other securities convertible into or exercisable or exchangeable for Acquiror Common Stock acquired in open market transactions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transaction is required to be, or is, publicly announced (whether on Form 4, Form 5 or otherwise, other than a required filing on Schedule 13F, 13G or 13G/A) during the Lock-Up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or warrants to purchase shares of Acquiror Common Stock or the vesting of stock awards of Acquiror Common Stock and any related transfer of shares of Acquiror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Acquiror Common Stock, it being understood that all shares of Acquiror Common Stock received upon such exercise, vesting or transfer will remain subject to the restrictions of this Agreement during the Lock-Up Period;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pursuant to any contractual arrangement in effect at the Effective Time that provides for the repurchase by the Company or forfeiture of Acquiror Common Stock or other securities convertible into or exercisable or exchangeable for Acquiror Common Stock in connection with the termination of the Securityholder’s service to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entry, by a Securityholder, at any time after the Effective Time, of any trading plan providing for the sale of shares of Acquiror Common Stock by a Securityholder, which trading plan meets the requirements of Rule 10b5-1(c)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plan does not provide for, or permit, the sale of any shares of Acquiror Common Stock during the Lock-Up Period and no public announcement or filing is voluntarily made or required regarding such plan during the Lock-Up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the event of completion of a liquidation, merger, stock exchange, reorganization or other similar transaction that results in all of the Company’s securityholders having the right to exchange their shares of Acquiror Common Stock for cash, securities or other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shares of Acquiror Common Stock issuable upon the conversion of the Company Common Stock that is issuable upon the exercise of the Burkhan Warrants;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satisfy any U.S. federal, state, or local income tax obligations of a Securityholder (or its direct or indirect owners) arising from a change in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the U.S. Treasury Regulations promulgated thereunder (the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the case of clauses (i) through (vii), such permitted transferees must enter into a written agreement, in substantially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(it being understood that any references to “immediate family” in the agreement executed by such permitted transferee shall expressly refer only to the immediate family of the applicable Securityholder and not to the immediate family of the permitted transferee), agreeing to be bound by these Transfer restrictions. For purposes of this paragraph,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4" w:name="page195"/>
    <w:bookmarkEnd w:id="194"/>
    <w:p>
      <w:pPr>
        <w:ind w:firstLine="648"/>
        <w:spacing w:after="0" w:line="252" w:lineRule="auto"/>
        <w:rPr>
          <w:sz w:val="20"/>
          <w:szCs w:val="20"/>
          <w:color w:val="auto"/>
        </w:rPr>
      </w:pPr>
      <w:r>
        <w:rPr>
          <w:rFonts w:ascii="Times New Roman" w:cs="Times New Roman" w:eastAsia="Times New Roman" w:hAnsi="Times New Roman"/>
          <w:sz w:val="18"/>
          <w:szCs w:val="18"/>
          <w:color w:val="auto"/>
        </w:rPr>
        <w:t>3.             In the event that the Company releases or waives, in full or in part, any party from a lock-up agreement entered into in connection with the Closing, then the same number of Lock-Up Shares held by the undersigned as held by such released party shall be immediately and fully released on the same terms from the applicable prohibition(s) set forth herein. The foregoing provisions of this paragraph will not apply if (i) the release or waiver is granted to a holder of Acquiror Common Stock in connection with a follow-on public offering of Acquiror Common Stock pursuant to a registration statement filed with the SEC, whether or not such offering or sale is wholly or partially a secondary offering of the Acquiror Common Stock, and the undersigned, only to the extent the undersigned has a contractual right to demand or require the registration of the undersigned’s Acquiror Common Stock or “piggyback” on a registration statement filed by the Company for the offer and sale of its Acquiror Common Stock, has been given an opportunity to participate on a basis consistent with such contractual rights in such follow-on offering, (ii)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(iii) the aggregate number of Lock-Up Shares affected by such releases or waivers (whether in one or multiple releases or waivers) with respect to any particular beneficial or record holder of Lock-Up Shares is less than or equal to 1% of the total number of outstanding shares of Acquiror Common Stock then outstanding (on a fully-diluted basis, calculated as of the date of such release or waiver), or (iv) the Company determines in its sole discretion that a release or waiver should be granted to a record or beneficial holder of Lock-Up Shares due to circumstances of emergency or hardship. In the event that the Company changes, amends, modifies or waives (other than to correct a typographical error) any particular provision of any other lock-up agreement entered into in connection with the Closing, then the undersigned shall be offered the option (but not the requirement) to make a corresponding change, amendment, modification or waiver to this Agreement, which option may be exercised by a written consent executed by the Securityholders holding a majority of the shares of Acquiror Common Stock then held by the Securityholders in the aggregate as to which this Agreement has not been terminated, executed in the same manner as this Agreement and which makes reference to this Agreement, and which changes, amendments, modifications or waivers, if approved in accordance with the terms hereof, will thereafter be binding on all of the undersigned.  </w:t>
      </w:r>
    </w:p>
    <w:p>
      <w:pPr>
        <w:spacing w:after="0" w:line="20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4.             This Agreement shall terminate upon the earlier of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$12.00 per share (as adjusted for stock splits, stock dividends, reorganizations, recapitalizations and the like) for any 20 trading days within any 30-trading day period commencing at least 150 days after the date hereof and (iv) the liquidation of the Company.  </w:t>
      </w:r>
    </w:p>
    <w:p>
      <w:pPr>
        <w:spacing w:after="0" w:line="2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5.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  </w:t>
      </w:r>
    </w:p>
    <w:p>
      <w:pPr>
        <w:spacing w:after="0" w:line="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             This Agreement may be amended or modified in whole or in part, only by a duly authorized agreement in writing, executed by the Company and the Securityholders holding a majority of the shares of Acquiror Common Stock then held by the Securityholders in the aggregate as to which this Agreement has not been terminated, executed in the same manner as this Agreement and which makes reference to this Agreement. This Agreement may not be modified or amended except as provided in the immediately preceding sentence and any purported amendment by any party or parties hereto effected in a manner which does not comply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Except as set forth herein, no party hereto may assign either this Agreement or any of its rights, interests or obligations hereunder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prior written consent of (i) with respect to any Securityholder, the Company, and (ii) with respect to the Company, the Securityholders holding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shares of Acquiror Common Stock then held by the Securityholders in the aggregate as to which this Agreement has not been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purported assignment in violation of this paragraph shall be void and ineffectual and shall not operate to transfer or assign any interest or title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purported assignee. This Agreement shall be binding on each Securityholder and each of its respective successors, heirs and assigns and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8.             This Agreement shall be governed by and construed and enforced in accordance with the laws of the State of Delaware, without giving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conflicts of law principles that would result in the application of the substantive laws of another jurisdiction. The parties hereto (i) all agree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proceeding, claim or dispute arising out of, or relating in any way to, this Agreement shall be brought and enforced in the Delaware Chancery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submit to such jurisdiction and venue, which jurisdiction and venue shall be exclusive and (ii) waive any objection to such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and venue or that such courts represent an inconvenient forum.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              This Agreement may be executed in one or more counterparts, each of which shall be deemed to be an original, but all of which shall constitute one and the same agreement. Delivery of an executed counterpart of a signature page to this Agreement or any joinder to this Agreement by electronic means, including DocuSign, e-mail, or scanned pages shall be effective as delivery of a manually executed counterpart to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           Whenever possible, each provision of this Agreement will be interpreted in such a manner as to be effective and valid under applicable law,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if any term or other provision of this Agreement is held to be invalid, illegal or unenforceable under applicable law, all other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remain in full force and effect so long as the economic or legal substance of the transactions contemplated hereby are not affected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materially adverse to any party hereto. Upon such determination that any term or other provision of this Agreement is invalid, illegal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unenforceable under applicable law, the parties hereto shall negotiate in good faith to modify this Agreement so as to effect the original intent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closely as possible in an acceptable manner in order that the transactions contemplated hereby are consummated as originally contemplated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greatest extent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11.           The liability of any Securityholder hereunder is several (and not joint). Notwithstanding any other provision of this Agreement, in no event will any Securityholder be liable for any other Securityholder’s breach of such other Securityholder’s obligations under this Agreement.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day and year first above written.</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BLAIZE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vMerge w:val="continue"/>
          </w:tcPr>
          <w:p>
            <w:pPr>
              <w:spacing w:after="0"/>
              <w:rPr>
                <w:sz w:val="15"/>
                <w:szCs w:val="15"/>
                <w:color w:val="auto"/>
              </w:rPr>
            </w:pPr>
          </w:p>
        </w:tc>
        <w:tc>
          <w:tcPr>
            <w:tcW w:w="10880" w:type="dxa"/>
            <w:vAlign w:val="bottom"/>
            <w:gridSpan w:val="2"/>
          </w:tcPr>
          <w:p>
            <w:pPr>
              <w:ind w:left="528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8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5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vMerge w:val="restart"/>
          </w:tcPr>
          <w:p>
            <w:pPr>
              <w:ind w:left="352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8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20" w:type="dxa"/>
            <w:vAlign w:val="bottom"/>
            <w:vMerge w:val="continue"/>
          </w:tcPr>
          <w:p>
            <w:pPr>
              <w:spacing w:after="0"/>
              <w:rPr>
                <w:sz w:val="15"/>
                <w:szCs w:val="15"/>
                <w:color w:val="auto"/>
              </w:rPr>
            </w:pPr>
          </w:p>
        </w:tc>
        <w:tc>
          <w:tcPr>
            <w:tcW w:w="9120" w:type="dxa"/>
            <w:vAlign w:val="bottom"/>
            <w:gridSpan w:val="2"/>
          </w:tcPr>
          <w:p>
            <w:pPr>
              <w:ind w:left="352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tc>
        <w:tc>
          <w:tcPr>
            <w:tcW w:w="0" w:type="dxa"/>
            <w:vAlign w:val="bottom"/>
          </w:tcPr>
          <w:p>
            <w:pPr>
              <w:spacing w:after="0"/>
              <w:rPr>
                <w:sz w:val="1"/>
                <w:szCs w:val="1"/>
                <w:color w:val="auto"/>
              </w:rPr>
            </w:pPr>
          </w:p>
        </w:tc>
      </w:tr>
      <w:tr>
        <w:trPr>
          <w:trHeight w:val="216"/>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8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2" w:lineRule="auto"/>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830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 w:lineRule="exact"/>
        <w:rPr>
          <w:sz w:val="20"/>
          <w:szCs w:val="20"/>
          <w:color w:val="auto"/>
        </w:rPr>
      </w:pPr>
    </w:p>
    <w:p>
      <w:pPr>
        <w:jc w:val="both"/>
        <w:ind w:firstLine="8"/>
        <w:spacing w:after="0" w:line="210" w:lineRule="auto"/>
        <w:tabs>
          <w:tab w:leader="none" w:pos="126"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To include all officers, directors, 5% or more shareholders of the Company post-Closing and Burkhan Capital LLC and its Affiliates, other than any such person who is a party to that certain letter agreement, dated December 10, 2021, by and among the Company, its officers and directors, the Sponsor and certain other stockholders of the Company party thereto.</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FORM</w:t>
      </w:r>
    </w:p>
    <w:p>
      <w:pPr>
        <w:spacing w:after="0" w:line="2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EACH PERSON IDENTIFIED ON SCHEDULE I</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dated as of</w:t>
      </w:r>
    </w:p>
    <w:p>
      <w:pPr>
        <w:spacing w:after="0" w:line="2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Stockholders’ Agreement (this “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 ● ], 202[ ● ]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among Blaize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(formerly known as BurTech Acquisition Corp., a Delaware corporation), BurTech LP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Burkhan Capital LLC, a Delaware limited liability company (“</w:t>
      </w:r>
      <w:r>
        <w:rPr>
          <w:rFonts w:ascii="Times New Roman" w:cs="Times New Roman" w:eastAsia="Times New Roman" w:hAnsi="Times New Roman"/>
          <w:sz w:val="18"/>
          <w:szCs w:val="18"/>
          <w:b w:val="1"/>
          <w:bCs w:val="1"/>
          <w:color w:val="auto"/>
        </w:rPr>
        <w:t>Burkhan</w:t>
      </w:r>
      <w:r>
        <w:rPr>
          <w:rFonts w:ascii="Times New Roman" w:cs="Times New Roman" w:eastAsia="Times New Roman" w:hAnsi="Times New Roman"/>
          <w:sz w:val="18"/>
          <w:szCs w:val="18"/>
          <w:color w:val="auto"/>
        </w:rPr>
        <w:t xml:space="preserve">”), and the Persons set forth on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(together with Burkhan and the Sponsor,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The parties hereto are each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(as defined herein).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entered into that certain Agreement and Plan of Merger, dated as of December 22, 2023, (as it may be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BurTech Merger Sub Inc., a Delaware corporation and a direct wholly 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Blaize, Inc., a Delaware corporation (“</w:t>
      </w:r>
      <w:r>
        <w:rPr>
          <w:rFonts w:ascii="Times New Roman" w:cs="Times New Roman" w:eastAsia="Times New Roman" w:hAnsi="Times New Roman"/>
          <w:sz w:val="18"/>
          <w:szCs w:val="18"/>
          <w:b w:val="1"/>
          <w:bCs w:val="1"/>
          <w:color w:val="auto"/>
        </w:rPr>
        <w:t>Legacy Blaize</w:t>
      </w:r>
      <w:r>
        <w:rPr>
          <w:rFonts w:ascii="Times New Roman" w:cs="Times New Roman" w:eastAsia="Times New Roman" w:hAnsi="Times New Roman"/>
          <w:sz w:val="18"/>
          <w:szCs w:val="18"/>
          <w:color w:val="auto"/>
        </w:rPr>
        <w:t>”), pursuant to which, among other things, on the date hereof, Merger Sub merged with and into Legacy Blaize, with Legacy Blaize continuing on as the surviving entity and a wholly owned subsidiary of the Company, on the terms and conditions set forth therein;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closing of the transactions contemplated by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each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beneficially owns and/or controls the number and percentage of the issued and outstanding shares of the Company’s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set forth opposite such Stockholder’s name on Schedule I hereto, as applicable;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Merger Agreement, Burkhan and/or its Affiliates and/or its nominees have made a very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contribution to Legacy Blaize that has benefitted the Company (the “</w:t>
      </w:r>
      <w:r>
        <w:rPr>
          <w:rFonts w:ascii="Times New Roman" w:cs="Times New Roman" w:eastAsia="Times New Roman" w:hAnsi="Times New Roman"/>
          <w:sz w:val="18"/>
          <w:szCs w:val="18"/>
          <w:b w:val="1"/>
          <w:bCs w:val="1"/>
          <w:color w:val="auto"/>
        </w:rPr>
        <w:t>Burkhan Financial Contribution</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Burkhan and/or its Affiliates and/or its nominees were unwilling to make the Burkhan Financial Contribution unless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enter into this Agreement at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meanings specified or referenced in this ARTICLE I.</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suit, audit, examination, assessment, arbitration, mediation or written inquiry, or any proceeding, investigation or judgment by or before any Governmental Authority.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has the meaning set forth in Section 3.03.</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Burkhan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Burkhan Financial Contribution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Amended and Restated Bylaws of the Company, as amended, modified, supplemented, or restated from time to time.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Third Amended and Restated Certificate of Incorporation of the Company, dated as of [●], 2024, as amended, modified, supplemented, 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III Director</w:t>
      </w:r>
      <w:r>
        <w:rPr>
          <w:rFonts w:ascii="Times New Roman" w:cs="Times New Roman" w:eastAsia="Times New Roman" w:hAnsi="Times New Roman"/>
          <w:sz w:val="18"/>
          <w:szCs w:val="18"/>
          <w:color w:val="auto"/>
        </w:rPr>
        <w:t>” means that any Director designated as Class III director pursuant to the Company’s Certificate of Incorporation.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Person that, directly or indirectly, competes with the Company and/or whose business is or includes the business of the Company (or any portion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set forth in Section 3.02(a).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Opportunity</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Stock Exchange</w:t>
      </w:r>
      <w:r>
        <w:rPr>
          <w:rFonts w:ascii="Times New Roman" w:cs="Times New Roman" w:eastAsia="Times New Roman" w:hAnsi="Times New Roman"/>
          <w:sz w:val="18"/>
          <w:szCs w:val="18"/>
          <w:color w:val="auto"/>
        </w:rPr>
        <w:t>” has the meaning set forth in Section 2.01(h).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 from time to time and including any successor legislation thereto and any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 means the Bylaws and the Certificate of Incorporation.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provincial, municipal, local or foreign government, governmental authority, regulatory or administrative agency, governmental commission, department, board, bureau, agency or instrumentality, legislature, court or tribunal..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w:t>
      </w:r>
      <w:r>
        <w:rPr>
          <w:rFonts w:ascii="Times New Roman" w:cs="Times New Roman" w:eastAsia="Times New Roman" w:hAnsi="Times New Roman"/>
          <w:sz w:val="18"/>
          <w:szCs w:val="18"/>
          <w:color w:val="auto"/>
        </w:rPr>
        <w:t>” has the same meaning as in the rules and regulations of the Designated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Designee</w:t>
      </w:r>
      <w:r>
        <w:rPr>
          <w:rFonts w:ascii="Times New Roman" w:cs="Times New Roman" w:eastAsia="Times New Roman" w:hAnsi="Times New Roman"/>
          <w:sz w:val="18"/>
          <w:szCs w:val="18"/>
          <w:color w:val="auto"/>
        </w:rPr>
        <w:t>” has the meaning set forth in Section 2.01(b).</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judgment, injunction, decree, writ, stipulation, determination or award, in each case, entered by or with any Governmental Authority.</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(including common law), ordinance, rule, regulation, Governmental Order or other similar legal requirement, in each case, of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Blaize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Marital Relationship</w:t>
      </w:r>
      <w:r>
        <w:rPr>
          <w:rFonts w:ascii="Times New Roman" w:cs="Times New Roman" w:eastAsia="Times New Roman" w:hAnsi="Times New Roman"/>
          <w:sz w:val="18"/>
          <w:szCs w:val="18"/>
          <w:color w:val="auto"/>
        </w:rPr>
        <w:t>” means a civil union, domestic partnership, marriage, or any other similar relationship that is legally recognized in any jurisdiction.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has the meaning set forth in Section 5.06.</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Qualification Requirements</w:t>
      </w:r>
      <w:r>
        <w:rPr>
          <w:rFonts w:ascii="Times New Roman" w:cs="Times New Roman" w:eastAsia="Times New Roman" w:hAnsi="Times New Roman"/>
          <w:sz w:val="18"/>
          <w:szCs w:val="18"/>
          <w:color w:val="auto"/>
        </w:rPr>
        <w:t>” has the meaning set forth in Section 2.01(h).</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and all directors, managers, members, partners, officers, employees, consultants, financial advisors, counsel, accountants, and other agents of such Person.</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shares of Common Stock and any securities issued in respect thereof, or in substitution therefor, in connection with any share split, dividend, or combination, or any reclassification, recapitalization, merger, consolidation, exchange, or similar reorganization.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Spousal Consent</w:t>
      </w:r>
      <w:r>
        <w:rPr>
          <w:rFonts w:ascii="Times New Roman" w:cs="Times New Roman" w:eastAsia="Times New Roman" w:hAnsi="Times New Roman"/>
          <w:sz w:val="18"/>
          <w:szCs w:val="18"/>
          <w:color w:val="auto"/>
        </w:rPr>
        <w:t>” has the meaning set forth in Section 5.15.</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Spouse</w:t>
      </w:r>
      <w:r>
        <w:rPr>
          <w:rFonts w:ascii="Times New Roman" w:cs="Times New Roman" w:eastAsia="Times New Roman" w:hAnsi="Times New Roman"/>
          <w:sz w:val="18"/>
          <w:szCs w:val="18"/>
          <w:color w:val="auto"/>
        </w:rPr>
        <w:t>” means a spouse, a party to a civil union, a domestic partner, a same-sex spouse or partner, or any individual in a Marital Relationship with a Stockholder.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Designees</w:t>
      </w:r>
      <w:r>
        <w:rPr>
          <w:rFonts w:ascii="Times New Roman" w:cs="Times New Roman" w:eastAsia="Times New Roman" w:hAnsi="Times New Roman"/>
          <w:sz w:val="18"/>
          <w:szCs w:val="18"/>
          <w:color w:val="auto"/>
        </w:rPr>
        <w:t>” has the meaning set forth in Section 2.01(b).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Group</w:t>
      </w:r>
      <w:r>
        <w:rPr>
          <w:rFonts w:ascii="Times New Roman" w:cs="Times New Roman" w:eastAsia="Times New Roman" w:hAnsi="Times New Roman"/>
          <w:sz w:val="18"/>
          <w:szCs w:val="18"/>
          <w:color w:val="auto"/>
        </w:rPr>
        <w:t>” means the Stockholders and controlled Affiliates of Burkhan.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Event</w:t>
      </w:r>
      <w:r>
        <w:rPr>
          <w:rFonts w:ascii="Times New Roman" w:cs="Times New Roman" w:eastAsia="Times New Roman" w:hAnsi="Times New Roman"/>
          <w:sz w:val="18"/>
          <w:szCs w:val="18"/>
          <w:color w:val="auto"/>
        </w:rPr>
        <w:t>” has the meaning set forth in Section 2.01(b).</w:t>
      </w:r>
    </w:p>
    <w:p>
      <w:pPr>
        <w:spacing w:after="0" w:line="2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MANAGEMENT AND OPERATION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2.01          Board of Directors. </w:t>
      </w:r>
      <w:r>
        <w:rPr>
          <w:rFonts w:ascii="Times New Roman" w:cs="Times New Roman" w:eastAsia="Times New Roman" w:hAnsi="Times New Roman"/>
          <w:sz w:val="18"/>
          <w:szCs w:val="18"/>
          <w:color w:val="auto"/>
        </w:rPr>
        <w:t>Each Party to this Agreement covenants and agrees as follows:</w:t>
      </w:r>
    </w:p>
    <w:p>
      <w:pPr>
        <w:spacing w:after="0" w:line="229" w:lineRule="exact"/>
        <w:rPr>
          <w:sz w:val="20"/>
          <w:szCs w:val="20"/>
          <w:color w:val="auto"/>
        </w:rPr>
      </w:pPr>
    </w:p>
    <w:p>
      <w:pPr>
        <w:jc w:val="both"/>
        <w:ind w:left="320" w:right="20" w:firstLine="648"/>
        <w:spacing w:after="0" w:line="282" w:lineRule="auto"/>
        <w:rPr>
          <w:sz w:val="20"/>
          <w:szCs w:val="20"/>
          <w:color w:val="auto"/>
        </w:rPr>
      </w:pPr>
      <w:r>
        <w:rPr>
          <w:rFonts w:ascii="Times New Roman" w:cs="Times New Roman" w:eastAsia="Times New Roman" w:hAnsi="Times New Roman"/>
          <w:sz w:val="18"/>
          <w:szCs w:val="18"/>
          <w:color w:val="auto"/>
        </w:rPr>
        <w:t>(a)         For as long as this Agreement remains in effect, the Company agrees that the business and affairs of the Company shall be managed through a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consisting of nine (9) members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20" w:firstLine="648"/>
        <w:spacing w:after="0" w:line="266" w:lineRule="auto"/>
        <w:rPr>
          <w:sz w:val="20"/>
          <w:szCs w:val="20"/>
          <w:color w:val="auto"/>
        </w:rPr>
      </w:pPr>
      <w:r>
        <w:rPr>
          <w:rFonts w:ascii="Times New Roman" w:cs="Times New Roman" w:eastAsia="Times New Roman" w:hAnsi="Times New Roman"/>
          <w:sz w:val="18"/>
          <w:szCs w:val="18"/>
          <w:color w:val="auto"/>
        </w:rPr>
        <w:t>(b)         For so long as the Stockholder Group Beneficially Owns, in the aggregate, a number of Shares equal to or greater than ten percent (10%) of the total number of issued and outstanding Shares, the Stockholder Group shall have the right, but not the obligation, to designate two (2) Directors (each, a “</w:t>
      </w:r>
      <w:r>
        <w:rPr>
          <w:rFonts w:ascii="Times New Roman" w:cs="Times New Roman" w:eastAsia="Times New Roman" w:hAnsi="Times New Roman"/>
          <w:sz w:val="18"/>
          <w:szCs w:val="18"/>
          <w:b w:val="1"/>
          <w:bCs w:val="1"/>
          <w:color w:val="auto"/>
        </w:rPr>
        <w:t>Stockholder Designee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20" w:firstLine="648"/>
        <w:spacing w:after="0" w:line="261" w:lineRule="auto"/>
        <w:rPr>
          <w:sz w:val="20"/>
          <w:szCs w:val="20"/>
          <w:color w:val="auto"/>
        </w:rPr>
      </w:pPr>
      <w:r>
        <w:rPr>
          <w:rFonts w:ascii="Times New Roman" w:cs="Times New Roman" w:eastAsia="Times New Roman" w:hAnsi="Times New Roman"/>
          <w:sz w:val="18"/>
          <w:szCs w:val="18"/>
          <w:color w:val="auto"/>
        </w:rPr>
        <w:t>(c)         If the Stockholder Group Beneficially Owns, in the aggregate, a number of Shares less than ten percent (10%) of the total number of issued and outstanding Shares, but the Sponsor and Burkhan Beneficially Own, in the aggregate, a number of Shares equal to or greater than five percent (5%) of the total number of issued and outstanding Shares, the Stockholders shall have the right, but not the obligation, to designate one (1) Stockholder Designee.</w:t>
      </w:r>
    </w:p>
    <w:p>
      <w:pPr>
        <w:spacing w:after="0" w:line="176" w:lineRule="exact"/>
        <w:rPr>
          <w:sz w:val="20"/>
          <w:szCs w:val="20"/>
          <w:color w:val="auto"/>
        </w:rPr>
      </w:pPr>
    </w:p>
    <w:p>
      <w:pPr>
        <w:jc w:val="both"/>
        <w:ind w:left="320" w:firstLine="648"/>
        <w:spacing w:after="0" w:line="286" w:lineRule="auto"/>
        <w:rPr>
          <w:sz w:val="20"/>
          <w:szCs w:val="20"/>
          <w:color w:val="auto"/>
        </w:rPr>
      </w:pPr>
      <w:r>
        <w:rPr>
          <w:rFonts w:ascii="Times New Roman" w:cs="Times New Roman" w:eastAsia="Times New Roman" w:hAnsi="Times New Roman"/>
          <w:sz w:val="18"/>
          <w:szCs w:val="18"/>
          <w:color w:val="auto"/>
        </w:rPr>
        <w:t>(d)         The initial Stockholder Designees, each of whom is a Director as of the date hereof, are [ ● ] and [ ● ] (each, an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320" w:firstLine="648"/>
        <w:spacing w:after="0" w:line="253" w:lineRule="auto"/>
        <w:rPr>
          <w:sz w:val="20"/>
          <w:szCs w:val="20"/>
          <w:color w:val="auto"/>
        </w:rPr>
      </w:pPr>
      <w:r>
        <w:rPr>
          <w:rFonts w:ascii="Times New Roman" w:cs="Times New Roman" w:eastAsia="Times New Roman" w:hAnsi="Times New Roman"/>
          <w:sz w:val="18"/>
          <w:szCs w:val="18"/>
          <w:color w:val="auto"/>
        </w:rPr>
        <w:t>(e)         The Company shall take, and cause to be taken, all necessary actions to ensure that each Stockholder Designee is nominated and elected as a Director from time to time on and after the date hereof pursuant to this Section 2.01, including to cause such Stockholder Designee to be so included in the slate of nominees recommended by the Board for election as Directors at each applicable annual meeting of the stockholders of the Company with respect to the election of the applicable class of Directors, to solicit proxies or consents in favor of such Stockholder Designee and to cause the applicable proxies to vote in accordance with the foregoing and for such Stockholder Designee to be duly elected and appointed to such position, subject, in each case, to the satisfaction of the Qualification Requirements pursuant to Section 2.01(h). If a Stockholder Designee is deemed to not satisfy the Qualification Requirements, the Stockholder Group shall have the right to designate a new individual as such Stockholder Designee. For so long as any Stockholder Designee serves as a member of the Board, each Stockholder Designee shall be a Class III Director (such Class III Directors serving three-year terms, subject in each case to re-election for additional three-year terms).</w:t>
      </w:r>
    </w:p>
    <w:p>
      <w:pPr>
        <w:spacing w:after="0" w:line="194" w:lineRule="exact"/>
        <w:rPr>
          <w:sz w:val="20"/>
          <w:szCs w:val="20"/>
          <w:color w:val="auto"/>
        </w:rPr>
      </w:pPr>
    </w:p>
    <w:p>
      <w:pPr>
        <w:jc w:val="both"/>
        <w:ind w:left="320" w:firstLine="648"/>
        <w:spacing w:after="0" w:line="259" w:lineRule="auto"/>
        <w:rPr>
          <w:sz w:val="20"/>
          <w:szCs w:val="20"/>
          <w:color w:val="auto"/>
        </w:rPr>
      </w:pPr>
      <w:r>
        <w:rPr>
          <w:rFonts w:ascii="Times New Roman" w:cs="Times New Roman" w:eastAsia="Times New Roman" w:hAnsi="Times New Roman"/>
          <w:sz w:val="18"/>
          <w:szCs w:val="18"/>
          <w:color w:val="auto"/>
        </w:rPr>
        <w:t>(f)          The right of the Stockholder Group and the Stockholders to designate the Stockholder Designees pursuant to Section 2.01(b) and Section 2.01(c), respectively, to remove any Stockholder Designee pursuant to Section 2.01(j) and to replace any Stockholder Designee pursuant to Section 2.01(k) may be exercised at the direction of a Stockholder or Stockholders holding Shares representing a majority of the outstanding Shares collectively held by the Stockholders at such time and shall be coordinated by the Stockholder Group with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4" w:name="page205"/>
    <w:bookmarkEnd w:id="204"/>
    <w:p>
      <w:pPr>
        <w:ind w:firstLine="648"/>
        <w:spacing w:after="0" w:line="276" w:lineRule="auto"/>
        <w:rPr>
          <w:sz w:val="20"/>
          <w:szCs w:val="20"/>
          <w:color w:val="auto"/>
        </w:rPr>
      </w:pPr>
      <w:r>
        <w:rPr>
          <w:rFonts w:ascii="Times New Roman" w:cs="Times New Roman" w:eastAsia="Times New Roman" w:hAnsi="Times New Roman"/>
          <w:sz w:val="17"/>
          <w:szCs w:val="17"/>
          <w:color w:val="auto"/>
        </w:rPr>
        <w:t xml:space="preserve">(g)          Each Stockholder Designee shall hold office until the earlier to occur of (i) the expiration of such Stockholder Designee’s term, or (ii) such Stockholder Designee’s death, disability, retirement, resignation, or removal in accordance with Section 2.01(j);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spacing w:after="0" w:line="1" w:lineRule="exact"/>
        <w:rPr>
          <w:sz w:val="20"/>
          <w:szCs w:val="20"/>
          <w:color w:val="auto"/>
        </w:rPr>
      </w:pPr>
    </w:p>
    <w:p>
      <w:pPr>
        <w:jc w:val="both"/>
        <w:spacing w:after="0" w:line="253" w:lineRule="auto"/>
        <w:tabs>
          <w:tab w:leader="none" w:pos="2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this Agreement in accordance with Section 4.01, the Stockholder Group shall cause each Stockholder Designee to immediately tender his or her resignation as a Director and (y) if the Stockholder Group ceases to Beneficially Own, in the aggregate, a number of Shares equal to or greater than ten percent (10%) of the total number of issued and outstanding Shares, the Stockholder Group shall, if applicable, cause a Stockholder Designee to immediately tender his or her resignation as a Director such that only one (1) Stockholder Designee continues to be a Director thereafter.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A nominee shall not be eligible to serve as a Stockholder Designee if (i) the election or appointment of such Person to the Board would result in the Company failing to comply with any rule or regulation of the Commission or any national securities exchange on which the Common Stock is listed or admitted to trading (the “</w:t>
      </w:r>
      <w:r>
        <w:rPr>
          <w:rFonts w:ascii="Times New Roman" w:cs="Times New Roman" w:eastAsia="Times New Roman" w:hAnsi="Times New Roman"/>
          <w:sz w:val="18"/>
          <w:szCs w:val="18"/>
          <w:b w:val="1"/>
          <w:bCs w:val="1"/>
          <w:color w:val="auto"/>
        </w:rPr>
        <w:t>Designated Stock Exchange</w:t>
      </w:r>
      <w:r>
        <w:rPr>
          <w:rFonts w:ascii="Times New Roman" w:cs="Times New Roman" w:eastAsia="Times New Roman" w:hAnsi="Times New Roman"/>
          <w:sz w:val="18"/>
          <w:szCs w:val="18"/>
          <w:color w:val="auto"/>
        </w:rPr>
        <w:t>”) or any other Applicable Law or (ii) such nominee: (A) does not satisfy the skill and experience qualifications for service as a director of the Company applicable to all Directors;</w:t>
      </w:r>
    </w:p>
    <w:p>
      <w:pPr>
        <w:spacing w:after="0" w:line="3" w:lineRule="exact"/>
        <w:rPr>
          <w:sz w:val="20"/>
          <w:szCs w:val="20"/>
          <w:color w:val="auto"/>
        </w:rPr>
      </w:pPr>
    </w:p>
    <w:p>
      <w:pPr>
        <w:jc w:val="both"/>
        <w:spacing w:after="0" w:line="251" w:lineRule="auto"/>
        <w:tabs>
          <w:tab w:leader="none" w:pos="3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acts or omissions constituting a breach of such Person’s fiduciary duties to the Company and its stockholders; (C) has engaged in acts or omissions that involve intentional misconduct or an intentional violation of Law; (D) has engaged in any transaction involving the Company from which such Person derived an improper personal benefit that was not disclosed to the Board prior to the authorization of such transaction; (E) is an employee or director of a Competitor of the Company; or (F) does not irrevocably agree in writing, in a form reasonably acceptable to the Company, subject to applicable law, to immediately offer to resign from the Board upon the occurrence of a Termination Event (such resignation to be accepted or rejected in the sole discretion of the Board) (collectively, the “</w:t>
      </w:r>
      <w:r>
        <w:rPr>
          <w:rFonts w:ascii="Times New Roman" w:cs="Times New Roman" w:eastAsia="Times New Roman" w:hAnsi="Times New Roman"/>
          <w:sz w:val="18"/>
          <w:szCs w:val="18"/>
          <w:b w:val="1"/>
          <w:bCs w:val="1"/>
          <w:color w:val="auto"/>
        </w:rPr>
        <w:t>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 The Board and any applicable committee thereof must act in good faith in determining that a nominee to be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Designee does not satisfy such Qualification Requirements. The Company hereby agrees and acknowledges that, as of the date hereof, each of the Initial Designees satisfies the Qualification Requirements.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Each Stockholder shall vote all Shares over which such Stockholder has voting control and shall take all other necessary or desirable actions within such Stockholder’s control to elect to the Board any individual designated by the Stockholder Group pursuant to Section 2.01(b) or Section 2.01(c). The Stockholders shall not grant any proxy or enter into or agree to be bound by any voting trust, agreement or arrangement of any kind with respect to any securities of the Company if and to the extent the terms thereof conflict with the provisions of this ARTICLE II.</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The Stockholder Group shall have the right at any time to remove (with or without cause) any Stockholder Designee designated by it for election to the Board pursuant to Section 2.01(b) or Section 2.01(c) and each Stockholder shall vote all Shares over which such Stockholder has voting control and shall take all other necessary or desirable actions within such Stockholder’s control to remove from the Board any individual designated by the Stockholder Group that the Stockholder Group desires to remove pursuant to this Section 2.01(j). Except as provided in the preceding sentence or as permitted pursuant to the Certificate of Incorporation, for as long as this Agreement remains in effect, the Stockholder Designees may only be removed with the consent of the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From the date hereof until a Termination Event has occurred, if a vacancy on the Board is created at any time by the death, retirement, disability, removal or resignation of a Stockholder Designee, the Stockholder Group shall be entitled to designate a replacement for such Stockholder Designee.</w:t>
      </w:r>
    </w:p>
    <w:p>
      <w:pPr>
        <w:spacing w:after="0" w:line="3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05" w:name="page206"/>
    <w:bookmarkEnd w:id="205"/>
    <w:p>
      <w:pPr>
        <w:jc w:val="both"/>
        <w:ind w:left="980" w:firstLine="648"/>
        <w:spacing w:after="0" w:line="256" w:lineRule="auto"/>
        <w:rPr>
          <w:sz w:val="20"/>
          <w:szCs w:val="20"/>
          <w:color w:val="auto"/>
        </w:rPr>
      </w:pPr>
      <w:r>
        <w:rPr>
          <w:rFonts w:ascii="Times New Roman" w:cs="Times New Roman" w:eastAsia="Times New Roman" w:hAnsi="Times New Roman"/>
          <w:sz w:val="18"/>
          <w:szCs w:val="18"/>
          <w:color w:val="auto"/>
        </w:rPr>
        <w:t>(l)          The Board shall have the right to establish any committee of Directors as the Board shall deem appropriate from time to time and in accordance with the Bylaws. Subject to this Agreement, the Governing Documents, and Applicable Law, committees of the Board shall have the rights, powers, and privileges granted to such committee by the Board from time to time. Any delegation of authority to a committee of Directors to take any action must be approved in the same manner as would be required for the Board to approve such action directly. At least one of the Stockholder Designees shall serve on each committee of Directors, other than any committee of Directors that consists solely of Independent Directors, subject to compliance with applicable stock exchange rules and regulations.</w:t>
      </w:r>
    </w:p>
    <w:p>
      <w:pPr>
        <w:spacing w:after="0" w:line="187" w:lineRule="exact"/>
        <w:rPr>
          <w:sz w:val="20"/>
          <w:szCs w:val="20"/>
          <w:color w:val="auto"/>
        </w:rPr>
      </w:pPr>
    </w:p>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(m)        The nominating committee of the Board shall consult, in good faith, with both Stockholder Designees regarding the determination of the Independent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3.01          Corporate Opportunities. </w:t>
      </w:r>
      <w:r>
        <w:rPr>
          <w:rFonts w:ascii="Times New Roman" w:cs="Times New Roman" w:eastAsia="Times New Roman" w:hAnsi="Times New Roman"/>
          <w:sz w:val="17"/>
          <w:szCs w:val="17"/>
          <w:color w:val="auto"/>
        </w:rPr>
        <w:t>Except as otherwise provided in the second sentence of this Section 3.01: (a) no Stockholder or any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respective Representatives shall have any duty to communicate or present an investment or business opportunity or prospective economic advantage to the Company in which the Company may, but for the provisions of this Section 3.01, have an interest or expectancy (a “</w:t>
      </w:r>
      <w:r>
        <w:rPr>
          <w:rFonts w:ascii="Times New Roman" w:cs="Times New Roman" w:eastAsia="Times New Roman" w:hAnsi="Times New Roman"/>
          <w:sz w:val="17"/>
          <w:szCs w:val="17"/>
          <w:b w:val="1"/>
          <w:bCs w:val="1"/>
          <w:color w:val="auto"/>
        </w:rPr>
        <w:t>Corporate Opportunity</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jc w:val="both"/>
        <w:ind w:firstLine="8"/>
        <w:spacing w:after="0" w:line="251" w:lineRule="auto"/>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Stockholder or any of their respective Representatives (even if such Person is also an officer or Director of the Company) shall be deemed to have breached any fiduciary or other duty or obligation to the Company by reason of the fact that any such Person pursues or acquires a Corporate Opportunity for itself or directs, sells, assigns, or transfers such Corporate Opportunity to another Person or does not communicate information regarding such Corporate Opportunity to the Company. The Company renounces any interest in a Corporate Opportunity and any expectancy that a Corporate Opportunity will be offered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does not renounce any interest or expectancy it may have in any Corporate Opportunity that is offered to an officer or Director of the Company whether or not such individual is also a Representative of a Stockholder, if such opportunity is expressly offered to such Person in his or her capacity as an officer or Director of the Company. The Stockholders hereby recognize that the Company reserves such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3.02          Confidentiality.</w:t>
      </w:r>
    </w:p>
    <w:p>
      <w:pPr>
        <w:spacing w:after="0" w:line="229" w:lineRule="exact"/>
        <w:rPr>
          <w:sz w:val="20"/>
          <w:szCs w:val="20"/>
          <w:color w:val="auto"/>
        </w:rPr>
      </w:pPr>
    </w:p>
    <w:p>
      <w:pPr>
        <w:jc w:val="both"/>
        <w:ind w:left="980" w:firstLine="648"/>
        <w:spacing w:after="0" w:line="252" w:lineRule="auto"/>
        <w:rPr>
          <w:sz w:val="20"/>
          <w:szCs w:val="20"/>
          <w:color w:val="auto"/>
        </w:rPr>
      </w:pPr>
      <w:r>
        <w:rPr>
          <w:rFonts w:ascii="Times New Roman" w:cs="Times New Roman" w:eastAsia="Times New Roman" w:hAnsi="Times New Roman"/>
          <w:sz w:val="18"/>
          <w:szCs w:val="18"/>
          <w:color w:val="auto"/>
        </w:rPr>
        <w:t>(a)         Each Stockholder acknowledges that during the term of this Agreement, it will have access to and become acquainted with trade secrets, proprietary information, and confidential information belonging to the Company and its Affiliates that are not generally known to the public, including, but not limited to, information concerning business plans, financial statements, and other information provided pursuant to this Agreement, operating practices and methods, expansion plans, strategic plans, marketing plans, contracts, customer lists, or other business documents that the Company treats as confidential, in any format whatsoever (including oral, written, electronic, or any other form or medium) (collectively,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 addition, each Stockholder acknowledges that: (i) the Company has invested, and continues to invest, substantial time, expense, and specialized knowledge in developing its Confidential Information; (ii) the Confidential Information provides the Company with a competitive advantage over others in the marketplace; and (iii) the Company would be irreparably harmed if the Confidential Information were disclosed to Competitors or made available to the public. Without limiting the applicability of any other agreement to which any Stockholder is subject, each Stockholder shall, and shall cause its Representatives to, keep confidential and not, directly or indirectly, disclose or use (other than solely for the purposes of such Stockholder monitoring and analyzing its investment in the Company) at any time, including, without limitation, use for personal, commercial, or proprietary advantage or profit, any Confidential Information of which such Stockholder is or becomes aware. Each Stockholder in possession of Confidential Information shall, and shall cause its Representatives to, use reasonable best efforts to safeguard such information and to protect it against disclosure, misuse, espionage, loss, and theft.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Nothing contained in Section 3.02(a) shall prevent any Stockholder from disclosing Confidential Information: (i) upon the order of any court or administrative agency; (ii) upon the request or demand of any regulatory agency or authority having jurisdiction over such Stockholder; (iii) to the extent compelled by legal process or required or requested pursuant to subpoena, interrogatories, or other discovery requests; (iv) to the extent necessary in connection with the exercise of any remedy hereunder; (v) to other Stockholders; or (vi) to such Stockholder’s Representatives who, in the reasonable judgment of such Stockholder, need to know such Confidential Information and agree to be bound by the provisions of this Section 3.02 as if a Stockholder;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(i), clause (ii), or clause (iii), such Stockholder shall notify the Company in writing of the proposed disclosure as far in advance of such disclosure as practicable (but, to the extent legally permitted, shall not make any such disclosure before notifying the Company) so that the Company may in its sole discretion seek a protective order or other appropriate remedy and/or waive compliance with this Section 3.02, and such Stockholder shall cooperate with the Company to obtain any such protective order or other remedy;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in the absence of a protective order or other remedy or the receipt of a waiver by the Company, such Stockholder or any of its Representatives are nonetheless legally compelled to disclose Confidential Information in the circumstances described in clause (i), clause (ii) or clause (iii), such Stockholder and its Representatives to whom such request or demand is directed may disclose to such agency or authority only that portion of the Confidential Information that is legally required or requested to be disclosed and such Stockholder and its Representatives shall use their respective reasonable best efforts to preserve the confidentiality of the Confidential Information, including, without limitation, by cooperating with the Company to obtain a protective order or other reliable assurance that confidential treatment will be accorded the Confidential Information by such Governmental Authority, and such Stockholder shall promptly notify the Company of (x) its determination to make such disclosure and (y) the nature, scope and contents of such disclosure.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restrictions of Section 3.02(a) shall not apply to Confidential Information that: (i) is or becomes generally available to the public other than as a result of a disclosure by a Stockholder or any of its Representatives in violation of this Agreement; (ii) is or has been independently developed or conceived by such Stockholder without use of Confidential Information; or (iii) becomes available to such Stockholder or any of its Representatives on a non-confidential basis from a source other than the Company, the other Stockholders, or any of their respective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receiving Stockholder does not know that such source is bound by a confidentiality agreement with, or other contractual, legal or fiduciary obligation of confidentiality to, the Company with respect to such information.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obligations of each Stockholder under this Section 3.02 shall survive for so long as such Stockholder remains a Stockholder, and for two (2) years following the earlier of: (i) termination, dissolution, liquidation, and winding up of the Company; or (ii) the first date on which such Stockholder ceases to own any Shares.</w:t>
      </w:r>
    </w:p>
    <w:p>
      <w:pPr>
        <w:spacing w:after="0" w:line="3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07" w:name="page208"/>
    <w:bookmarkEnd w:id="20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3.03          Annual Meeting</w:t>
      </w:r>
      <w:r>
        <w:rPr>
          <w:rFonts w:ascii="Times New Roman" w:cs="Times New Roman" w:eastAsia="Times New Roman" w:hAnsi="Times New Roman"/>
          <w:sz w:val="18"/>
          <w:szCs w:val="18"/>
          <w:color w:val="auto"/>
        </w:rPr>
        <w:t>. The Company will hold an annual meeting of the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during each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for the election of directors and for the transaction of such other business as may properly come before the meeting. The Annual Meeting shall be held at such date, time and place (which may be held by means of teleconference or other means of remote communication in compliance with the DGCL), as shall be determined by the Board and stated in the notice of the meeting.</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3.04          Further Assurances. </w:t>
      </w:r>
      <w:r>
        <w:rPr>
          <w:rFonts w:ascii="Times New Roman" w:cs="Times New Roman" w:eastAsia="Times New Roman" w:hAnsi="Times New Roman"/>
          <w:sz w:val="18"/>
          <w:szCs w:val="18"/>
          <w:color w:val="auto"/>
        </w:rPr>
        <w:t>In connection with this Agreement and the transactions contemplated hereby, the Company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hereby agrees to execute and deliver such additional documents, certificates, instruments and conveyances, provide such assurances and take such further actions as, in each case, may be reasonably necessary or as another Party may reasonably request to carry out the provisions hereof and give effect to the transactions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4.01          Termination. </w:t>
      </w:r>
      <w:r>
        <w:rPr>
          <w:rFonts w:ascii="Times New Roman" w:cs="Times New Roman" w:eastAsia="Times New Roman" w:hAnsi="Times New Roman"/>
          <w:sz w:val="18"/>
          <w:szCs w:val="18"/>
          <w:color w:val="auto"/>
        </w:rPr>
        <w:t>This Agreement shall terminate upon the earliest of:</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in respect of a Stockholder, such Stockholder no longer own, directly or indirectly, any Shares;</w:t>
      </w:r>
    </w:p>
    <w:p>
      <w:pPr>
        <w:spacing w:after="0" w:line="225" w:lineRule="exact"/>
        <w:rPr>
          <w:sz w:val="20"/>
          <w:szCs w:val="20"/>
          <w:color w:val="auto"/>
        </w:rPr>
      </w:pPr>
    </w:p>
    <w:p>
      <w:pPr>
        <w:ind w:left="980" w:firstLine="648"/>
        <w:spacing w:after="0" w:line="282" w:lineRule="auto"/>
        <w:rPr>
          <w:sz w:val="20"/>
          <w:szCs w:val="20"/>
          <w:color w:val="auto"/>
        </w:rPr>
      </w:pPr>
      <w:r>
        <w:rPr>
          <w:rFonts w:ascii="Times New Roman" w:cs="Times New Roman" w:eastAsia="Times New Roman" w:hAnsi="Times New Roman"/>
          <w:sz w:val="18"/>
          <w:szCs w:val="18"/>
          <w:color w:val="auto"/>
        </w:rPr>
        <w:t>(b)         the first date on which the Stockholders Beneficially Own, in the aggregate, a number of Shares less than five percent (5%) of the total number of issued and outstanding Shares;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         the termination, dissolution, liquidation, or winding up of the Company; 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         the agreement of the Stockholders acting together and by unanimous written instrument.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4.02          Effect of Termination.</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The termination of this Agreement shall terminate all further rights and obligations of the Stockholders under this Agreement.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avoidance of doubt, such termination shall not effect: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existence of the Company;</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         the obligation of any Party to this Agreement to pay any amounts arising on or prior to the date of termination, or as a result of or in connection with such termination;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rights that any Stockholder may have by operation of law as a stockholder of the Company;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 rights contained herein which by their terms are intended to survive termination of this Agreement.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         Notwithstanding anything to the contrary herein, the following provisions shall survive the termination of this Agreement: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2.01(g), Section 3.02, this Section 4.02 and ARTICLE V.</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5.01          Expenses. </w:t>
      </w:r>
      <w:r>
        <w:rPr>
          <w:rFonts w:ascii="Times New Roman" w:cs="Times New Roman" w:eastAsia="Times New Roman" w:hAnsi="Times New Roman"/>
          <w:sz w:val="17"/>
          <w:szCs w:val="17"/>
          <w:color w:val="auto"/>
        </w:rPr>
        <w:t>Except as otherwise set forth in this Agreement, each Party shall be responsible for and pay its own expenses incurred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connection with this Agreement and the transactions contemplated hereby, including all fees of its legal counsel, financial advisors and accountants.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5.02          Notices.</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All notices and other communications among the Parties shall be in writing and shall be deemed to have been duly given</w:t>
      </w:r>
    </w:p>
    <w:p>
      <w:pPr>
        <w:spacing w:after="0" w:line="27" w:lineRule="exact"/>
        <w:rPr>
          <w:sz w:val="20"/>
          <w:szCs w:val="20"/>
          <w:color w:val="auto"/>
        </w:rPr>
      </w:pPr>
    </w:p>
    <w:p>
      <w:pPr>
        <w:jc w:val="both"/>
        <w:ind w:left="980"/>
        <w:spacing w:after="0" w:line="255" w:lineRule="auto"/>
        <w:tabs>
          <w:tab w:leader="none" w:pos="12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spacing w:after="0" w:line="1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Ryan J. Maierson; Ryan J. Lynch</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ryan.maierson@lw.com; ryan.lynch@lw.com</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if to a Stockholder, at the address set forth opposite such Stockholder’s name on </w:t>
      </w:r>
      <w:r>
        <w:rPr>
          <w:rFonts w:ascii="Times New Roman" w:cs="Times New Roman" w:eastAsia="Times New Roman" w:hAnsi="Times New Roman"/>
          <w:sz w:val="18"/>
          <w:szCs w:val="18"/>
          <w:b w:val="1"/>
          <w:bCs w:val="1"/>
          <w:u w:val="single" w:color="auto"/>
          <w:color w:val="auto"/>
        </w:rPr>
        <w:t>Schedule I</w:t>
      </w:r>
      <w:r>
        <w:rPr>
          <w:rFonts w:ascii="Times New Roman" w:cs="Times New Roman" w:eastAsia="Times New Roman" w:hAnsi="Times New Roman"/>
          <w:sz w:val="18"/>
          <w:szCs w:val="18"/>
          <w:color w:val="auto"/>
        </w:rPr>
        <w:t xml:space="preserve"> attached hereto; and</w:t>
      </w:r>
    </w:p>
    <w:p>
      <w:pPr>
        <w:spacing w:after="0" w:line="229"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(iii)        if to the Spouse of a Stockholder: (A) if applicable, in care of the Spouse’s attorney of record at the attorney’s address; or (B) if the Spouse is unrepresented, at the Spouse’s last known address.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5.03          Interpretation. </w:t>
      </w:r>
      <w:r>
        <w:rPr>
          <w:rFonts w:ascii="Times New Roman" w:cs="Times New Roman" w:eastAsia="Times New Roman" w:hAnsi="Times New Roman"/>
          <w:sz w:val="18"/>
          <w:szCs w:val="18"/>
          <w:color w:val="auto"/>
        </w:rPr>
        <w:t>For purposes of this Agreement: (a) the words “include,” “includes,” and “including”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followed by the words “without limitation”; (b) the word “or” is not exclusive; and (c) the words “herein,” “hereof,” “hereby,” “hereto,” and “hereunder” refer to this Agreement as a whole. The definitions given for any defined terms in this Agreement shall apply equally to both the singular and plural forms of the terms defined. Whenever the context may require, any pronoun shall include the corresponding masculine, feminine, and neuter forms. Unless the context otherwise requires, references herein: (x) to Articles, Sections, Exhibits, and Schedules mean the Articles and Sections of, and Exhibits and Schedules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Exhibits and Schedules referred to herein shall be construed with, and as an integral part of, this Agreement to the same extent as if they were set forth verbatim 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5.04          Severability. </w:t>
      </w:r>
      <w:r>
        <w:rPr>
          <w:rFonts w:ascii="Times New Roman" w:cs="Times New Roman" w:eastAsia="Times New Roman" w:hAnsi="Times New Roman"/>
          <w:sz w:val="18"/>
          <w:szCs w:val="18"/>
          <w:color w:val="auto"/>
        </w:rPr>
        <w:t>If any term or provision of this Agreement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5.05          Entire Agreement. </w:t>
      </w:r>
      <w:r>
        <w:rPr>
          <w:rFonts w:ascii="Times New Roman" w:cs="Times New Roman" w:eastAsia="Times New Roman" w:hAnsi="Times New Roman"/>
          <w:sz w:val="18"/>
          <w:szCs w:val="18"/>
          <w:color w:val="auto"/>
        </w:rPr>
        <w:t>This Agreement constitutes the sole and entire agreement of the parties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and therein, and supersedes all prior and contemporaneous understandings and agreements, both written and oral, with respect to such subject matter. In the event of any inconsistency or conflict between this Agreement and any Governing Document, the Stockholders and the Company shall use their respective best efforts to amend such Governing Document to comply with the terms of this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5.06          Successors and Assigns; Assignment. </w:t>
      </w:r>
      <w:r>
        <w:rPr>
          <w:rFonts w:ascii="Times New Roman" w:cs="Times New Roman" w:eastAsia="Times New Roman" w:hAnsi="Times New Roman"/>
          <w:sz w:val="18"/>
          <w:szCs w:val="18"/>
          <w:color w:val="auto"/>
        </w:rPr>
        <w:t>No Party shall assign this Agreement or any part hereof without the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other Parties and any such transfer without such prior written consent shall be void;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without the prior written consent of any other Party, each Stockholder may, in connection with a transfer of Shares to another Person, assign its rights and obligations under this Agreement, in whole or in part, to such other Person so long as such assignee, if not already a party to this Agreement, executes and delivers to the Company a joinder to this Agreement substantially in the form of </w:t>
      </w: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 xml:space="preserve"> hereto evidencing its agreement to become a party to, and to be bound to the same extent as such Stockholder by all of the provisions of, this Agreement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Subject to the foregoing, this Agreement shall be binding upon and inure to the benefit of the Parties and their respective permitted successors and assigns. For the avoidance of doubt, nothing in this Agreement shall be construed or interpreted to limit the right of any Stockholder to freely transfer their Shares.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5.07          No Third-Party Beneficiaries. </w:t>
      </w:r>
      <w:r>
        <w:rPr>
          <w:rFonts w:ascii="Times New Roman" w:cs="Times New Roman" w:eastAsia="Times New Roman" w:hAnsi="Times New Roman"/>
          <w:sz w:val="18"/>
          <w:szCs w:val="18"/>
          <w:color w:val="auto"/>
        </w:rPr>
        <w:t>Nothing expressed or implied in this Agreement is intended or shall be construed to confer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give any Person, other than the Parties, any right or remedies under or by reason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5.08          Amendment and Modification. </w:t>
      </w:r>
      <w:r>
        <w:rPr>
          <w:rFonts w:ascii="Times New Roman" w:cs="Times New Roman" w:eastAsia="Times New Roman" w:hAnsi="Times New Roman"/>
          <w:sz w:val="18"/>
          <w:szCs w:val="18"/>
          <w:color w:val="auto"/>
        </w:rPr>
        <w:t>This Agreement may be amended or modified in whole or in part, only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writing executed by the Company, Sponsor and Burkhan and which makes reference to this Agreement. Any such written amendment, modification, or supplement will be binding upon the Company and each Stockholder.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5.09          Waiver. </w:t>
      </w:r>
      <w:r>
        <w:rPr>
          <w:rFonts w:ascii="Times New Roman" w:cs="Times New Roman" w:eastAsia="Times New Roman" w:hAnsi="Times New Roman"/>
          <w:sz w:val="18"/>
          <w:szCs w:val="18"/>
          <w:color w:val="auto"/>
        </w:rPr>
        <w:t>No waiver by any Party of any of the provisions hereof shall be effective unless explicitly set forth in writing and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5.10          Governing Law. </w:t>
      </w:r>
      <w:r>
        <w:rPr>
          <w:rFonts w:ascii="Times New Roman" w:cs="Times New Roman" w:eastAsia="Times New Roman" w:hAnsi="Times New Roman"/>
          <w:sz w:val="18"/>
          <w:szCs w:val="18"/>
          <w:color w:val="auto"/>
        </w:rPr>
        <w:t>This Agreement, and all claims or causes of action based upon, arising out of, or related to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5.11          Jurisdiction; Waiver of Jury Trial.</w:t>
      </w:r>
    </w:p>
    <w:p>
      <w:pPr>
        <w:spacing w:after="0" w:line="229" w:lineRule="exact"/>
        <w:rPr>
          <w:sz w:val="20"/>
          <w:szCs w:val="20"/>
          <w:color w:val="auto"/>
        </w:rPr>
      </w:pPr>
    </w:p>
    <w:p>
      <w:pPr>
        <w:jc w:val="both"/>
        <w:ind w:left="980" w:firstLine="648"/>
        <w:spacing w:after="0" w:line="254" w:lineRule="auto"/>
        <w:rPr>
          <w:sz w:val="20"/>
          <w:szCs w:val="20"/>
          <w:color w:val="auto"/>
        </w:rPr>
      </w:pPr>
      <w:r>
        <w:rPr>
          <w:rFonts w:ascii="Times New Roman" w:cs="Times New Roman" w:eastAsia="Times New Roman" w:hAnsi="Times New Roman"/>
          <w:sz w:val="18"/>
          <w:szCs w:val="18"/>
          <w:color w:val="auto"/>
        </w:rPr>
        <w:t>(a)         Except as specifically set forth in Section 5.12, any proceeding or Action based upon, arising out of or related to this Agreement or the transactions contemplated hereby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contemplated hereby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Section 5.11.</w:t>
      </w:r>
    </w:p>
    <w:p>
      <w:pPr>
        <w:spacing w:after="0" w:line="184" w:lineRule="exact"/>
        <w:rPr>
          <w:sz w:val="20"/>
          <w:szCs w:val="20"/>
          <w:color w:val="auto"/>
        </w:rPr>
      </w:pPr>
    </w:p>
    <w:p>
      <w:pPr>
        <w:jc w:val="both"/>
        <w:ind w:left="980"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EACH PARTY HERETO ACKNOWLEDGES AND AGREES THAT ANY CONTROVERSY THAT MAY ARISE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 THIS AGREEMENT AND THE TRANSACTIONS CONTEMPLATED HEREBY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 CONTEMPLATED HEREBY.</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5.12          Enforcement. </w:t>
      </w:r>
      <w:r>
        <w:rPr>
          <w:rFonts w:ascii="Times New Roman" w:cs="Times New Roman" w:eastAsia="Times New Roman" w:hAnsi="Times New Roman"/>
          <w:sz w:val="18"/>
          <w:szCs w:val="18"/>
          <w:color w:val="auto"/>
        </w:rPr>
        <w:t>The Parties agree that irreparable damage for which monetary damages, even if available, would not be an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Section 5.12, this being in addition to any other remedy to which they are entitled under this Agreement, and (b) 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Section 5.12 shall not be required to provide any bond or other security in connection with any such injunction or specific performance. Each of the Parties to this Agreement consents to personal jurisdiction for any equitable action sought in the Delaware Court of Chancery or any state or federal court in any part of the world having competent jurisdiction. In any Action arising out of or related to this Agreement or the transactions contemplated hereby, the prevailing party in such Action shall be entitled to recover all reasonable costs, fees and expenses relating thereto (including reasonable attorneys’ fees and expenses and court costs) from the other party, in addition to any other relief to which such prevailing party may be entitled.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5.13          Remedies Cumulative. </w:t>
      </w:r>
      <w:r>
        <w:rPr>
          <w:rFonts w:ascii="Times New Roman" w:cs="Times New Roman" w:eastAsia="Times New Roman" w:hAnsi="Times New Roman"/>
          <w:sz w:val="18"/>
          <w:szCs w:val="18"/>
          <w:color w:val="auto"/>
        </w:rPr>
        <w:t>The rights and remedies under this Agreement are cumulative and are in addition to and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any other rights and remedies available at law or in equity or otherwise.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5.14          Headings; Counterparts. </w:t>
      </w:r>
      <w:r>
        <w:rPr>
          <w:rFonts w:ascii="Times New Roman" w:cs="Times New Roman" w:eastAsia="Times New Roman" w:hAnsi="Times New Roman"/>
          <w:sz w:val="18"/>
          <w:szCs w:val="18"/>
          <w:color w:val="auto"/>
        </w:rPr>
        <w:t>The headings in this Agreement are for convenience only and shall not be considered a part of or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or interpretation of any provision of this Agreement. This Agreement may be executed (including by electronic signature) in two or more counterparts, each of which shall be deemed an original, but all of which together shall constitute one and the same instrument.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5.15          Spousal Consent. </w:t>
      </w:r>
      <w:r>
        <w:rPr>
          <w:rFonts w:ascii="Times New Roman" w:cs="Times New Roman" w:eastAsia="Times New Roman" w:hAnsi="Times New Roman"/>
          <w:sz w:val="18"/>
          <w:szCs w:val="18"/>
          <w:color w:val="auto"/>
        </w:rPr>
        <w:t>Each Stockholder who has a Spouse on the date of this Agreement shall cause such Stockholder’s Spouse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 and deliver to the Company a spousal consent in the form of </w:t>
      </w:r>
      <w:r>
        <w:rPr>
          <w:rFonts w:ascii="Times New Roman" w:cs="Times New Roman" w:eastAsia="Times New Roman" w:hAnsi="Times New Roman"/>
          <w:sz w:val="18"/>
          <w:szCs w:val="18"/>
          <w:b w:val="1"/>
          <w:bCs w:val="1"/>
          <w:u w:val="single" w:color="auto"/>
          <w:color w:val="auto"/>
        </w:rPr>
        <w:t>Schedule III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color w:val="auto"/>
        </w:rPr>
        <w:t>Spousal Consent</w:t>
      </w:r>
      <w:r>
        <w:rPr>
          <w:rFonts w:ascii="Times New Roman" w:cs="Times New Roman" w:eastAsia="Times New Roman" w:hAnsi="Times New Roman"/>
          <w:sz w:val="18"/>
          <w:szCs w:val="18"/>
          <w:color w:val="auto"/>
        </w:rPr>
        <w:t>”), pursuant to which the Spouse acknowledges that he or she has read and understood the Agreement and agrees to be bound by its terms and conditions. If any Stockholder should marry or engage in a Marital Relationship following the date of this Agreement, such Stockholder shall cause his or her Spouse to execute and deliver to the Company a Spousal Consent within sixty days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Effective Date.</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17145</wp:posOffset>
            </wp:positionV>
            <wp:extent cx="29914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14605</wp:posOffset>
            </wp:positionV>
            <wp:extent cx="29914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14605</wp:posOffset>
            </wp:positionV>
            <wp:extent cx="29914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[_____________]</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17145</wp:posOffset>
            </wp:positionV>
            <wp:extent cx="29914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14605</wp:posOffset>
            </wp:positionV>
            <wp:extent cx="29914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14605</wp:posOffset>
            </wp:positionV>
            <wp:extent cx="29914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4"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[Signature Page to Stockholders’ Agreement of Blaize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13" w:name="page214"/>
    <w:bookmarkEnd w:id="213"/>
    <w:p>
      <w:pPr>
        <w:ind w:left="5072"/>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tbl>
      <w:tblPr>
        <w:tblLayout w:type="fixed"/>
        <w:tblInd w:w="892" w:type="dxa"/>
        <w:tblCellMar>
          <w:top w:w="0" w:type="dxa"/>
          <w:left w:w="0" w:type="dxa"/>
          <w:bottom w:w="0" w:type="dxa"/>
          <w:right w:w="0" w:type="dxa"/>
        </w:tblCellMar>
      </w:tblPr>
      <w:tr>
        <w:trPr>
          <w:trHeight w:val="207"/>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350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40" w:type="dxa"/>
            <w:vAlign w:val="bottom"/>
          </w:tcPr>
          <w:p>
            <w:pPr>
              <w:spacing w:after="0"/>
              <w:rPr>
                <w:sz w:val="17"/>
                <w:szCs w:val="17"/>
                <w:color w:val="auto"/>
              </w:rPr>
            </w:pPr>
          </w:p>
        </w:tc>
        <w:tc>
          <w:tcPr>
            <w:tcW w:w="16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6"/>
              </w:rPr>
              <w:t>Percentage</w:t>
            </w: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3500" w:type="dxa"/>
            <w:vAlign w:val="bottom"/>
            <w:gridSpan w:val="3"/>
            <w:vMerge w:val="continue"/>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gridSpan w:val="2"/>
            <w:vMerge w:val="restart"/>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Held/Controlled</w:t>
            </w:r>
          </w:p>
        </w:tc>
        <w:tc>
          <w:tcPr>
            <w:tcW w:w="84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tcBorders>
              <w:top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auto"/>
            </w:tcBorders>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32320" cy="7543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BurTech LP LLC</w:t>
      </w:r>
    </w:p>
    <w:p>
      <w:pPr>
        <w:spacing w:after="0" w:line="27"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Burkhan Capital LLC</w:t>
      </w:r>
    </w:p>
    <w:p>
      <w:pPr>
        <w:spacing w:after="0" w:line="23"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[Burkhan Controlled Affiliates]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7830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1" w:lineRule="exact"/>
        <w:rPr>
          <w:sz w:val="20"/>
          <w:szCs w:val="20"/>
          <w:color w:val="auto"/>
        </w:rPr>
      </w:pPr>
    </w:p>
    <w:p>
      <w:pPr>
        <w:ind w:left="112" w:hanging="112"/>
        <w:spacing w:after="0"/>
        <w:tabs>
          <w:tab w:leader="none" w:pos="112"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Additional parties to be limited to controlled Affiliates of Burkhan identified on or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52"/>
          </w:cols>
          <w:pgMar w:left="328" w:top="900" w:right="131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JOINDER TO STOCKHOLDERS’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20___</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Stockholders’ Agreement, dated as of [ ● ], 2024, by and among Blaize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BurTech LP LLC, a Delaware limited liability company, Burkhan Capital LLC, a Delaware limited liability company </w:t>
      </w:r>
      <w:r>
        <w:rPr>
          <w:rFonts w:ascii="Times New Roman" w:cs="Times New Roman" w:eastAsia="Times New Roman" w:hAnsi="Times New Roman"/>
          <w:sz w:val="18"/>
          <w:szCs w:val="18"/>
          <w:color w:val="252525"/>
        </w:rPr>
        <w:t>and each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identified on </w:t>
      </w:r>
      <w:r>
        <w:rPr>
          <w:rFonts w:ascii="Times New Roman" w:cs="Times New Roman" w:eastAsia="Times New Roman" w:hAnsi="Times New Roman"/>
          <w:sz w:val="18"/>
          <w:szCs w:val="18"/>
          <w:u w:val="single" w:color="auto"/>
          <w:color w:val="252525"/>
        </w:rPr>
        <w:t>Schedule I</w:t>
      </w:r>
      <w:r>
        <w:rPr>
          <w:rFonts w:ascii="Times New Roman" w:cs="Times New Roman" w:eastAsia="Times New Roman" w:hAnsi="Times New Roman"/>
          <w:sz w:val="18"/>
          <w:szCs w:val="18"/>
          <w:color w:val="252525"/>
        </w:rPr>
        <w:t xml:space="preserve"> thereto </w:t>
      </w:r>
      <w:r>
        <w:rPr>
          <w:rFonts w:ascii="Times New Roman" w:cs="Times New Roman" w:eastAsia="Times New Roman" w:hAnsi="Times New Roman"/>
          <w:sz w:val="18"/>
          <w:szCs w:val="18"/>
          <w:color w:val="000000"/>
        </w:rPr>
        <w:t>(as amended from time to time, the “</w:t>
      </w:r>
      <w:r>
        <w:rPr>
          <w:rFonts w:ascii="Times New Roman" w:cs="Times New Roman" w:eastAsia="Times New Roman" w:hAnsi="Times New Roman"/>
          <w:sz w:val="18"/>
          <w:szCs w:val="18"/>
          <w:b w:val="1"/>
          <w:bCs w:val="1"/>
          <w:color w:val="000000"/>
        </w:rPr>
        <w:t>Stockholders’ Agreement</w:t>
      </w:r>
      <w:r>
        <w:rPr>
          <w:rFonts w:ascii="Times New Roman" w:cs="Times New Roman" w:eastAsia="Times New Roman" w:hAnsi="Times New Roman"/>
          <w:sz w:val="18"/>
          <w:szCs w:val="18"/>
          <w:color w:val="000000"/>
        </w:rPr>
        <w:t>”). Capitalized terms used but not otherwise defined herein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shall have the meanings ascribed to such terms in the Stockholders’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Each of the Company and the undersigned holder of Shares (the “</w:t>
      </w:r>
      <w:r>
        <w:rPr>
          <w:rFonts w:ascii="Times New Roman" w:cs="Times New Roman" w:eastAsia="Times New Roman" w:hAnsi="Times New Roman"/>
          <w:sz w:val="18"/>
          <w:szCs w:val="18"/>
          <w:b w:val="1"/>
          <w:bCs w:val="1"/>
          <w:color w:val="auto"/>
        </w:rPr>
        <w:t>New Stockholder</w:t>
      </w:r>
      <w:r>
        <w:rPr>
          <w:rFonts w:ascii="Times New Roman" w:cs="Times New Roman" w:eastAsia="Times New Roman" w:hAnsi="Times New Roman"/>
          <w:sz w:val="18"/>
          <w:szCs w:val="18"/>
          <w:color w:val="auto"/>
        </w:rPr>
        <w:t>”) agrees that this Joinder to the Stockholders’ Agreement (this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New Stockholder hereby agrees to and does become party to the Stockholders’ Agreement as a Stockholder. This Joinder shall serve as a counterpart signature page to the Stockholders’ Agreement and by executing below the New Stockholder is deemed to have executed the Stockholders’ Agreement with the same force and effect as if originally named a party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Joinder may be executed (including by electronic signature) in two or more counterparts, each of which shall be deemed an original, but all of which together shall constitute one and the same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duly executed this Joinder as of the date first set forth above.</w:t>
      </w:r>
    </w:p>
    <w:p>
      <w:pPr>
        <w:spacing w:after="0" w:line="2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[NEW STOCKHOLDER PARTY]</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SPOUSE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52525"/>
        </w:rPr>
        <w:t>I, [SIGNING SPOUSE NAME], spouse of [NAME OF STOCKHOLDER], acknowledge that I have read the Stockholders’ Agreement, dated as of [_], 202[_], by and among Blaize Holdings, Inc., a Delaware corporation (the “</w:t>
      </w:r>
      <w:r>
        <w:rPr>
          <w:rFonts w:ascii="Times New Roman" w:cs="Times New Roman" w:eastAsia="Times New Roman" w:hAnsi="Times New Roman"/>
          <w:sz w:val="18"/>
          <w:szCs w:val="18"/>
          <w:b w:val="1"/>
          <w:bCs w:val="1"/>
          <w:color w:val="252525"/>
        </w:rPr>
        <w:t>Company</w:t>
      </w:r>
      <w:r>
        <w:rPr>
          <w:rFonts w:ascii="Times New Roman" w:cs="Times New Roman" w:eastAsia="Times New Roman" w:hAnsi="Times New Roman"/>
          <w:sz w:val="18"/>
          <w:szCs w:val="18"/>
          <w:color w:val="252525"/>
        </w:rPr>
        <w:t xml:space="preserve">”), BurTech LP LLC, a Delaware limited liability company, Burkhan Capital LLC, a Delaware limited liability company, and each Person identified on </w:t>
      </w:r>
      <w:r>
        <w:rPr>
          <w:rFonts w:ascii="Times New Roman" w:cs="Times New Roman" w:eastAsia="Times New Roman" w:hAnsi="Times New Roman"/>
          <w:sz w:val="18"/>
          <w:szCs w:val="18"/>
          <w:u w:val="single" w:color="auto"/>
          <w:color w:val="252525"/>
        </w:rPr>
        <w:t>Schedule I</w:t>
      </w:r>
      <w:r>
        <w:rPr>
          <w:rFonts w:ascii="Times New Roman" w:cs="Times New Roman" w:eastAsia="Times New Roman" w:hAnsi="Times New Roman"/>
          <w:sz w:val="18"/>
          <w:szCs w:val="18"/>
          <w:color w:val="252525"/>
        </w:rPr>
        <w:t xml:space="preserve"> thereto, to which this Consent of Spouse (this “</w:t>
      </w:r>
      <w:r>
        <w:rPr>
          <w:rFonts w:ascii="Times New Roman" w:cs="Times New Roman" w:eastAsia="Times New Roman" w:hAnsi="Times New Roman"/>
          <w:sz w:val="18"/>
          <w:szCs w:val="18"/>
          <w:b w:val="1"/>
          <w:bCs w:val="1"/>
          <w:color w:val="252525"/>
        </w:rPr>
        <w:t>Consent</w:t>
      </w:r>
      <w:r>
        <w:rPr>
          <w:rFonts w:ascii="Times New Roman" w:cs="Times New Roman" w:eastAsia="Times New Roman" w:hAnsi="Times New Roman"/>
          <w:sz w:val="18"/>
          <w:szCs w:val="18"/>
          <w:color w:val="252525"/>
        </w:rPr>
        <w:t xml:space="preserve">”) is attached as </w:t>
      </w:r>
      <w:r>
        <w:rPr>
          <w:rFonts w:ascii="Times New Roman" w:cs="Times New Roman" w:eastAsia="Times New Roman" w:hAnsi="Times New Roman"/>
          <w:sz w:val="18"/>
          <w:szCs w:val="18"/>
          <w:u w:val="single" w:color="auto"/>
          <w:color w:val="252525"/>
        </w:rPr>
        <w:t>Schedule III</w:t>
      </w:r>
      <w:r>
        <w:rPr>
          <w:rFonts w:ascii="Times New Roman" w:cs="Times New Roman" w:eastAsia="Times New Roman" w:hAnsi="Times New Roman"/>
          <w:sz w:val="18"/>
          <w:szCs w:val="18"/>
          <w:color w:val="252525"/>
        </w:rPr>
        <w:t xml:space="preserve"> (as the same may be amended or amended and restated from time to time, the “</w:t>
      </w:r>
      <w:r>
        <w:rPr>
          <w:rFonts w:ascii="Times New Roman" w:cs="Times New Roman" w:eastAsia="Times New Roman" w:hAnsi="Times New Roman"/>
          <w:sz w:val="18"/>
          <w:szCs w:val="18"/>
          <w:b w:val="1"/>
          <w:bCs w:val="1"/>
          <w:color w:val="252525"/>
        </w:rPr>
        <w:t>Agreement</w:t>
      </w:r>
      <w:r>
        <w:rPr>
          <w:rFonts w:ascii="Times New Roman" w:cs="Times New Roman" w:eastAsia="Times New Roman" w:hAnsi="Times New Roman"/>
          <w:sz w:val="18"/>
          <w:szCs w:val="18"/>
          <w:color w:val="252525"/>
        </w:rPr>
        <w:t>”), and that I understand the contents of the Agreement. I am aware that my spouse is a party to the Agreement and the Agreement contains provisions regarding the voting and transfer of the Shares (as defined in the Agreement) of the Company which my spouse may own, including any interest I might have therein.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I hereby agree that I and any interest, including any community property interest, that I may have in any Shares of the Company subject to the Agreement shall be irrevocably bound by the Agreement, including any restrictions on the transfer or other disposition of any Shares of the Company, methods for distributing assets of the Company, or voting or other obligations as set forth in the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52525"/>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 I am under no disability or impairment that affects my decision to sign this Consent and I knowingly and voluntarily intend to be legally bound by this Consent. I am satisfied with the terms of this Consent and I understand and have received full disclosure of all the rights that I am agreeing to waive.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52525"/>
        </w:rPr>
        <w:t>I hereby agree that my spouse may join in any future amendment, waiver, consent, or modification of the Agreement without any further signature, acknowledgment, agreement, or consent on my part or notice to 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252525"/>
              </w:rPr>
              <w:t>Dated to be effective on  </w:t>
            </w:r>
          </w:p>
        </w:tc>
        <w:tc>
          <w:tcPr>
            <w:tcW w:w="24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52"/>
        </w:trPr>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gridSpan w:val="2"/>
          </w:tcPr>
          <w:p>
            <w:pPr>
              <w:spacing w:after="0"/>
              <w:rPr>
                <w:sz w:val="24"/>
                <w:szCs w:val="24"/>
                <w:color w:val="auto"/>
              </w:rPr>
            </w:pPr>
          </w:p>
        </w:tc>
      </w:tr>
      <w:tr>
        <w:trPr>
          <w:trHeight w:val="228"/>
        </w:trPr>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[SIGNING SPOUSE NAME]</w:t>
            </w:r>
          </w:p>
        </w:tc>
        <w:tc>
          <w:tcPr>
            <w:tcW w:w="20" w:type="dxa"/>
            <w:vAlign w:val="bottom"/>
          </w:tcPr>
          <w:p>
            <w:pPr>
              <w:spacing w:after="0"/>
              <w:rPr>
                <w:sz w:val="19"/>
                <w:szCs w:val="19"/>
                <w:color w:val="auto"/>
              </w:rPr>
            </w:pPr>
          </w:p>
        </w:tc>
      </w:tr>
      <w:tr>
        <w:trPr>
          <w:trHeight w:val="427"/>
        </w:trPr>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252525"/>
              </w:rPr>
              <w:t>STATE OF [_____]</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252525"/>
              </w:rPr>
              <w:t>COUNTY</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252525"/>
              </w:rPr>
              <w:t>OF</w:t>
            </w: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252525"/>
              </w:rPr>
              <w:t> </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5"/>
        </w:trPr>
        <w:tc>
          <w:tcPr>
            <w:tcW w:w="7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BEFORE ME, the undersigned notary, on this day personally appeared           </w:t>
            </w:r>
          </w:p>
        </w:tc>
        <w:tc>
          <w:tcPr>
            <w:tcW w:w="3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known to me (or proved to me on the oath</w:t>
            </w: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of           </w:t>
            </w:r>
          </w:p>
        </w:tc>
        <w:tc>
          <w:tcPr>
            <w:tcW w:w="680" w:type="dxa"/>
            <w:vAlign w:val="bottom"/>
          </w:tcPr>
          <w:p>
            <w:pPr>
              <w:spacing w:after="0"/>
              <w:rPr>
                <w:sz w:val="17"/>
                <w:szCs w:val="17"/>
                <w:color w:val="auto"/>
              </w:rPr>
            </w:pPr>
          </w:p>
        </w:tc>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or through           </w:t>
            </w:r>
          </w:p>
        </w:tc>
        <w:tc>
          <w:tcPr>
            <w:tcW w:w="8320" w:type="dxa"/>
            <w:vAlign w:val="bottom"/>
            <w:gridSpan w:val="7"/>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(description of identity card or other document)) to be the person whose name is subscribed to the</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instrument and acknowledged to me that [he/she] executed the same for the purposes and consideration therein expressed.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Given under my hand and seal of office this _____ day of ________________________,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My term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1714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Notary Public, State of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upperLetter"/>
      <w:start w:val="1"/>
    </w:lvl>
  </w:abstractNum>
  <w:abstractNum w:abstractNumId="7">
    <w:nsid w:val="836C40E"/>
    <w:multiLevelType w:val="hybridMultilevel"/>
    <w:lvl w:ilvl="0">
      <w:lvlJc w:val="left"/>
      <w:lvlText w:val="(%1)"/>
      <w:numFmt w:val="lowerRoman"/>
      <w:start w:val="10"/>
    </w:lvl>
  </w:abstractNum>
  <w:abstractNum w:abstractNumId="8">
    <w:nsid w:val="2901D82"/>
    <w:multiLevelType w:val="hybridMultilevel"/>
    <w:lvl w:ilvl="0">
      <w:lvlJc w:val="left"/>
      <w:lvlText w:val="(%1)"/>
      <w:numFmt w:val="lowerRoman"/>
      <w:start w:val="5"/>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1)"/>
      <w:numFmt w:val="upperLetter"/>
      <w:start w:val="5"/>
    </w:lvl>
  </w:abstractNum>
  <w:abstractNum w:abstractNumId="11">
    <w:nsid w:val="1E7FF521"/>
    <w:multiLevelType w:val="hybridMultilevel"/>
    <w:lvl w:ilvl="0">
      <w:lvlJc w:val="left"/>
      <w:lvlText w:val="(%1)"/>
      <w:numFmt w:val="upperLetter"/>
      <w:start w:val="7"/>
    </w:lvl>
  </w:abstractNum>
  <w:abstractNum w:abstractNumId="12">
    <w:nsid w:val="7C3DBD3D"/>
    <w:multiLevelType w:val="hybridMultilevel"/>
    <w:lvl w:ilvl="0">
      <w:lvlJc w:val="left"/>
      <w:lvlText w:val="(%1)"/>
      <w:numFmt w:val="lowerLetter"/>
      <w:start w:val="2"/>
    </w:lvl>
  </w:abstractNum>
  <w:abstractNum w:abstractNumId="13">
    <w:nsid w:val="737B8DDC"/>
    <w:multiLevelType w:val="hybridMultilevel"/>
    <w:lvl w:ilvl="0">
      <w:lvlJc w:val="left"/>
      <w:lvlText w:val="(%1)"/>
      <w:numFmt w:val="lowerRoman"/>
      <w:start w:val="2"/>
    </w:lvl>
  </w:abstractNum>
  <w:abstractNum w:abstractNumId="14">
    <w:nsid w:val="6CEAF087"/>
    <w:multiLevelType w:val="hybridMultilevel"/>
    <w:lvl w:ilvl="0">
      <w:lvlJc w:val="left"/>
      <w:lvlText w:val="(%1)"/>
      <w:numFmt w:val="lowerRoman"/>
      <w:start w:val="2"/>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lowerRoman"/>
      <w:start w:val="2"/>
    </w:lvl>
  </w:abstractNum>
  <w:abstractNum w:abstractNumId="17">
    <w:nsid w:val="3006C83E"/>
    <w:multiLevelType w:val="hybridMultilevel"/>
    <w:lvl w:ilvl="0">
      <w:lvlJc w:val="left"/>
      <w:lvlText w:val="(%1)"/>
      <w:numFmt w:val="lowerRoman"/>
      <w:start w:val="4"/>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2"/>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1)"/>
      <w:numFmt w:val="lowerLetter"/>
      <w:start w:val="3"/>
    </w:lvl>
  </w:abstractNum>
  <w:abstractNum w:abstractNumId="24">
    <w:nsid w:val="77465F01"/>
    <w:multiLevelType w:val="hybridMultilevel"/>
    <w:lvl w:ilvl="0">
      <w:lvlJc w:val="left"/>
      <w:lvlText w:val="(%1)"/>
      <w:numFmt w:val="lowerLetter"/>
      <w:start w:val="2"/>
    </w:lvl>
  </w:abstractNum>
  <w:abstractNum w:abstractNumId="25">
    <w:nsid w:val="7724C67E"/>
    <w:multiLevelType w:val="hybridMultilevel"/>
    <w:lvl w:ilvl="0">
      <w:lvlJc w:val="left"/>
      <w:lvlText w:val="1"/>
      <w:numFmt w:val="bullet"/>
      <w:start w:val="1"/>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1)"/>
      <w:numFmt w:val="lowerRoman"/>
      <w:start w:val="3"/>
    </w:lvl>
  </w:abstractNum>
  <w:abstractNum w:abstractNumId="28">
    <w:nsid w:val="5E884ADC"/>
    <w:multiLevelType w:val="hybridMultilevel"/>
    <w:lvl w:ilvl="0">
      <w:lvlJc w:val="left"/>
      <w:lvlText w:val="2"/>
      <w:numFmt w:val="bullet"/>
      <w:start w:val="1"/>
    </w:lvl>
  </w:abstractNum>
  <w:abstractNum w:abstractNumId="29">
    <w:nsid w:val="51EAD36B"/>
    <w:multiLevelType w:val="hybridMultilevel"/>
    <w:lvl w:ilvl="0">
      <w:lvlJc w:val="left"/>
      <w:lvlText w:val="3"/>
      <w:numFmt w:val="bullet"/>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1)"/>
      <w:numFmt w:val="lowerRoman"/>
      <w:start w:val="4"/>
    </w:lvl>
  </w:abstractNum>
  <w:abstractNum w:abstractNumId="33">
    <w:nsid w:val="3855585C"/>
    <w:multiLevelType w:val="hybridMultilevel"/>
    <w:lvl w:ilvl="0">
      <w:lvlJc w:val="left"/>
      <w:lvlText w:val="(%1)"/>
      <w:numFmt w:val="lowerRoman"/>
      <w:start w:val="5"/>
    </w:lvl>
  </w:abstractNum>
  <w:abstractNum w:abstractNumId="34">
    <w:nsid w:val="70A64E2A"/>
    <w:multiLevelType w:val="hybridMultilevel"/>
    <w:lvl w:ilvl="0">
      <w:lvlJc w:val="left"/>
      <w:lvlText w:val="(%1)"/>
      <w:numFmt w:val="lowerRoman"/>
      <w:start w:val="6"/>
    </w:lvl>
  </w:abstractNum>
  <w:abstractNum w:abstractNumId="35">
    <w:nsid w:val="6A2342EC"/>
    <w:multiLevelType w:val="hybridMultilevel"/>
    <w:lvl w:ilvl="0">
      <w:lvlJc w:val="left"/>
      <w:lvlText w:val="(%1)"/>
      <w:numFmt w:val="lowerRoman"/>
      <w:start w:val="7"/>
    </w:lvl>
  </w:abstractNum>
  <w:abstractNum w:abstractNumId="36">
    <w:nsid w:val="2A487CB0"/>
    <w:multiLevelType w:val="hybridMultilevel"/>
    <w:lvl w:ilvl="0">
      <w:lvlJc w:val="left"/>
      <w:lvlText w:val="(%1)"/>
      <w:numFmt w:val="lowerRoman"/>
      <w:start w:val="8"/>
    </w:lvl>
  </w:abstractNum>
  <w:abstractNum w:abstractNumId="37">
    <w:nsid w:val="1D4ED43B"/>
    <w:multiLevelType w:val="hybridMultilevel"/>
    <w:lvl w:ilvl="0">
      <w:lvlJc w:val="left"/>
      <w:lvlText w:val="(%1)"/>
      <w:numFmt w:val="lowerRoman"/>
      <w:start w:val="9"/>
    </w:lvl>
  </w:abstractNum>
  <w:abstractNum w:abstractNumId="38">
    <w:nsid w:val="725A06FB"/>
    <w:multiLevelType w:val="hybridMultilevel"/>
    <w:lvl w:ilvl="0">
      <w:lvlJc w:val="left"/>
      <w:lvlText w:val="(%1)"/>
      <w:numFmt w:val="lowerRoman"/>
      <w:start w:val="10"/>
    </w:lvl>
  </w:abstractNum>
  <w:abstractNum w:abstractNumId="39">
    <w:nsid w:val="2CD89A32"/>
    <w:multiLevelType w:val="hybridMultilevel"/>
    <w:lvl w:ilvl="0">
      <w:lvlJc w:val="left"/>
      <w:lvlText w:val="(%1)"/>
      <w:numFmt w:val="lowerRoman"/>
      <w:start w:val="11"/>
    </w:lvl>
  </w:abstractNum>
  <w:abstractNum w:abstractNumId="40">
    <w:nsid w:val="57E4CCAF"/>
    <w:multiLevelType w:val="hybridMultilevel"/>
    <w:lvl w:ilvl="0">
      <w:lvlJc w:val="left"/>
      <w:lvlText w:val="(%1)"/>
      <w:numFmt w:val="lowerRoman"/>
      <w:start w:val="12"/>
    </w:lvl>
  </w:abstractNum>
  <w:abstractNum w:abstractNumId="41">
    <w:nsid w:val="7A6D8D3C"/>
    <w:multiLevelType w:val="hybridMultilevel"/>
    <w:lvl w:ilvl="0">
      <w:lvlJc w:val="left"/>
      <w:lvlText w:val="(%1)"/>
      <w:numFmt w:val="lowerRoman"/>
      <w:start w:val="13"/>
    </w:lvl>
  </w:abstractNum>
  <w:abstractNum w:abstractNumId="42">
    <w:nsid w:val="4B588F54"/>
    <w:multiLevelType w:val="hybridMultilevel"/>
    <w:lvl w:ilvl="0">
      <w:lvlJc w:val="left"/>
      <w:lvlText w:val="(%1)"/>
      <w:numFmt w:val="lowerRoman"/>
      <w:start w:val="14"/>
    </w:lvl>
  </w:abstractNum>
  <w:abstractNum w:abstractNumId="43">
    <w:nsid w:val="542289EC"/>
    <w:multiLevelType w:val="hybridMultilevel"/>
    <w:lvl w:ilvl="0">
      <w:lvlJc w:val="left"/>
      <w:lvlText w:val="1"/>
      <w:numFmt w:val="bullet"/>
      <w:start w:val="1"/>
    </w:lvl>
  </w:abstractNum>
  <w:abstractNum w:abstractNumId="44">
    <w:nsid w:val="6DE91B18"/>
    <w:multiLevelType w:val="hybridMultilevel"/>
    <w:lvl w:ilvl="0">
      <w:lvlJc w:val="left"/>
      <w:lvlText w:val="(%1)"/>
      <w:numFmt w:val="lowerRoman"/>
      <w:start w:val="10"/>
    </w:lvl>
  </w:abstractNum>
  <w:abstractNum w:abstractNumId="45">
    <w:nsid w:val="38437FDB"/>
    <w:multiLevelType w:val="hybridMultilevel"/>
    <w:lvl w:ilvl="0">
      <w:lvlJc w:val="left"/>
      <w:lvlText w:val="(%1)"/>
      <w:numFmt w:val="upperLetter"/>
      <w:start w:val="2"/>
    </w:lvl>
  </w:abstractNum>
  <w:abstractNum w:abstractNumId="46">
    <w:nsid w:val="7644A45C"/>
    <w:multiLevelType w:val="hybridMultilevel"/>
    <w:lvl w:ilvl="0">
      <w:lvlJc w:val="left"/>
      <w:lvlText w:val="(%1)"/>
      <w:numFmt w:val="lowerLetter"/>
      <w:start w:val="2"/>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2023-12-29T05:30:16Z</dcterms:created>
  <dcterms:modified xsi:type="dcterms:W3CDTF">2023-12-29T05:30:16Z</dcterms:modified>
</cp:coreProperties>
</file>