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10,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333-284365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Blaize Holdings,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3674</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86-2708752</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206El Dorado Hills, CA 95762</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(916) 347-0050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Harminder Sehmi</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4659 Golden Foothill Parkway, Suite 206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El Dorado Hills, CA 95762</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(916) 347-0050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Ryan J. Maierson</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Ryan J. Lynch</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811 Main Street, Suite 3700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Houston, TX 77002</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soon as practicable after the effective date of this Registration Statement.</w:t>
      </w:r>
    </w:p>
    <w:p>
      <w:pPr>
        <w:spacing w:after="0" w:line="78" w:lineRule="exact"/>
        <w:rPr>
          <w:sz w:val="24"/>
          <w:szCs w:val="24"/>
          <w:color w:val="auto"/>
        </w:rPr>
      </w:pPr>
    </w:p>
    <w:p>
      <w:pPr>
        <w:ind w:left="120" w:right="1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ind w:left="120" w:right="2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6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left="120"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26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5" w:lineRule="exact"/>
        <w:rPr>
          <w:sz w:val="24"/>
          <w:szCs w:val="24"/>
          <w:color w:val="auto"/>
        </w:rPr>
      </w:pPr>
    </w:p>
    <w:p>
      <w:pPr>
        <w:ind w:left="120" w:right="220"/>
        <w:spacing w:after="0" w:line="22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both"/>
        <w:ind w:left="120" w:right="10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65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FF4338"/>
        </w:rPr>
        <w:t>Subject to Completion</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FF4338"/>
        </w:rPr>
        <w:t>Preliminary Prospectus dated February 10, 2025.</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47625</wp:posOffset>
            </wp:positionV>
            <wp:extent cx="2726055" cy="917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Blaize Holdings, Inc.</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89,550,141 Shares of Common Stock</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898,250 Warrants to Purchase Shares of Common Stock</w:t>
      </w:r>
    </w:p>
    <w:p>
      <w:pPr>
        <w:spacing w:after="0" w:line="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29,698,250 Shares of Common Stock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0"/>
          <w:szCs w:val="20"/>
          <w:color w:val="auto"/>
        </w:rPr>
      </w:pPr>
    </w:p>
    <w:p>
      <w:pPr>
        <w:ind w:left="120" w:right="40" w:firstLine="440"/>
        <w:spacing w:after="0"/>
        <w:rPr>
          <w:sz w:val="20"/>
          <w:szCs w:val="20"/>
          <w:color w:val="auto"/>
        </w:rPr>
      </w:pPr>
      <w:r>
        <w:rPr>
          <w:rFonts w:ascii="Times New Roman" w:cs="Times New Roman" w:eastAsia="Times New Roman" w:hAnsi="Times New Roman"/>
          <w:sz w:val="14"/>
          <w:szCs w:val="14"/>
          <w:color w:val="auto"/>
        </w:rPr>
        <w:t>This prospectus relates to (i) the resale of 54,536,826 shares of our common stock, $0.0001 par value per share (“Common Stock”), issued in connection with the Business Combination (as defined below), by certain of the selling securityholders named in this prospectus (each a “Selling Shareholder” and, collectively, the “Selling Securityholders”), (ii) the resale of 1,540,300 shares of Common Stock issued in the PIPE Investment (as defined below) by certain of the Selling Securityholders, (iii) the resale of 750,000 shares of Common Stock issued in connection with the Sponsor Note (as defined below)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(vi) the resale of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 (vii) the resale of 94,949 shares of Common Stock issued to certain capital markets advisors as deferred compensation in satisfaction of transaction fees for acting as a financial advisor by certain of the Selling Securityholders and (viii) the resale of up to 50,000 shares of Common Stock that are issuable upon the exercise of the CH Warrant (as defined below) at an exercise price of $11.50 per share by a certain selling securityholder named in this prospectus.</w:t>
      </w:r>
    </w:p>
    <w:p>
      <w:pPr>
        <w:spacing w:after="0" w:line="77" w:lineRule="exact"/>
        <w:rPr>
          <w:sz w:val="20"/>
          <w:szCs w:val="20"/>
          <w:color w:val="auto"/>
        </w:rPr>
      </w:pPr>
    </w:p>
    <w:p>
      <w:pPr>
        <w:ind w:left="120" w:right="100" w:firstLine="440"/>
        <w:spacing w:after="0" w:line="233" w:lineRule="auto"/>
        <w:rPr>
          <w:sz w:val="20"/>
          <w:szCs w:val="20"/>
          <w:color w:val="auto"/>
        </w:rPr>
      </w:pPr>
      <w:r>
        <w:rPr>
          <w:rFonts w:ascii="Times New Roman" w:cs="Times New Roman" w:eastAsia="Times New Roman" w:hAnsi="Times New Roman"/>
          <w:sz w:val="14"/>
          <w:szCs w:val="14"/>
          <w:color w:val="auto"/>
        </w:rPr>
        <w:t>This prospectus also relates to the issuance by us of an aggregate of up to 29,698,250 shares of our Common Stock, which consists of (i) up to 898,250 shares of Common Stock that are issuable upon the exercise of 898,250 warrants (the “Private Placement Warrants”) originally issued in a private placement in connection with the initial public offering of BurTech Acquisition Corp., a Delaware corporation (“BurTech”), by the holders thereof, (ii) up to 28,750,000 shares of Common Stock that are issuable upon the exercise of 28,750,000 warrants (the “Public Warrants” and, together with the Private Placement Warrants, the “Warrants”) originally issued in the initial public offering of BurTech (the “BurTech IPO”), by the holders thereof and (iii) up to 50,000 shares of Common Stock that are issuable upon the exercise of the CH Warrant at an exercise price of $11.50 per share by the holder thereof.</w:t>
      </w:r>
    </w:p>
    <w:p>
      <w:pPr>
        <w:spacing w:after="0" w:line="1" w:lineRule="exact"/>
        <w:rPr>
          <w:sz w:val="20"/>
          <w:szCs w:val="20"/>
          <w:color w:val="auto"/>
        </w:rPr>
      </w:pPr>
    </w:p>
    <w:p>
      <w:pPr>
        <w:ind w:left="120" w:right="80" w:firstLine="440"/>
        <w:spacing w:after="0" w:line="229" w:lineRule="auto"/>
        <w:rPr>
          <w:sz w:val="20"/>
          <w:szCs w:val="20"/>
          <w:color w:val="auto"/>
        </w:rPr>
      </w:pPr>
      <w:r>
        <w:rPr>
          <w:rFonts w:ascii="Times New Roman" w:cs="Times New Roman" w:eastAsia="Times New Roman" w:hAnsi="Times New Roman"/>
          <w:sz w:val="14"/>
          <w:szCs w:val="14"/>
          <w:color w:val="auto"/>
        </w:rPr>
        <w:t>On January 13, 2025, we consummated the transactions contemplated by that certain Agreement and Plan of Merger, dated as of December 22, 2023 (as amended on April 22, 2024, October 24, 2024 and November 21, 2024), with BurTech Merger Sub, Inc., a direct, wholly owned subsidiary of BurTech (“Merger Sub”), Blaize, Inc. (“Legacy Blaize”), and for the limited purposes set forth therein, Burkhan Capital LLC, a Delaware limited liability company and affiliate of BurTech (“Burkhan”). As contemplated by the Merger Agreement, Merger Sub merged with and into Legacy Blaize (the “Merger”), the separate corporate existence of Merger Sub ceased and Legacy Blaize survived as a wholly owned subsidiary of BurTech (collectively, the “Business Combination”). Following the closing of the Business Combination, BurTech changed its name from BurTech Acquisition Corp. to Blaize Holdings, Inc. (“Blaize”).</w:t>
      </w:r>
    </w:p>
    <w:p>
      <w:pPr>
        <w:spacing w:after="0" w:line="2" w:lineRule="exact"/>
        <w:rPr>
          <w:sz w:val="20"/>
          <w:szCs w:val="20"/>
          <w:color w:val="auto"/>
        </w:rPr>
      </w:pPr>
    </w:p>
    <w:p>
      <w:pPr>
        <w:ind w:left="120" w:right="100" w:firstLine="440"/>
        <w:spacing w:after="0"/>
        <w:rPr>
          <w:sz w:val="20"/>
          <w:szCs w:val="20"/>
          <w:color w:val="auto"/>
        </w:rPr>
      </w:pPr>
      <w:r>
        <w:rPr>
          <w:rFonts w:ascii="Times New Roman" w:cs="Times New Roman" w:eastAsia="Times New Roman" w:hAnsi="Times New Roman"/>
          <w:sz w:val="14"/>
          <w:szCs w:val="14"/>
          <w:color w:val="auto"/>
        </w:rPr>
        <w:t>The Selling Securityholders can sell, under this prospectus, up to (a) 89,550,141 shares of Common Stock constituting approximately 88.12% of our issued and outstanding shares of Common Stock and approximately 170.55% of our issued and outstanding shares of Common Stock held by non-affiliates and (b) 898,250 Warrants constituting approximately 3.03% of our issued and outstanding Warrants. 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w:t>
      </w:r>
    </w:p>
    <w:p>
      <w:pPr>
        <w:spacing w:after="0" w:line="127" w:lineRule="exact"/>
        <w:rPr>
          <w:sz w:val="20"/>
          <w:szCs w:val="20"/>
          <w:color w:val="auto"/>
        </w:rPr>
      </w:pPr>
    </w:p>
    <w:p>
      <w:pPr>
        <w:jc w:val="both"/>
        <w:ind w:left="120" w:firstLine="440"/>
        <w:spacing w:after="0" w:line="233" w:lineRule="auto"/>
        <w:rPr>
          <w:sz w:val="20"/>
          <w:szCs w:val="20"/>
          <w:color w:val="auto"/>
        </w:rPr>
      </w:pPr>
      <w:r>
        <w:rPr>
          <w:rFonts w:ascii="Times New Roman" w:cs="Times New Roman" w:eastAsia="Times New Roman" w:hAnsi="Times New Roman"/>
          <w:sz w:val="14"/>
          <w:szCs w:val="14"/>
          <w:color w:val="auto"/>
        </w:rPr>
        <w:t>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 described above. Based on the closing price of our Common Stock of $5.30 on February 6, 2025, the Sponsor may experience potential profit of up to $5.297 per share (or approximately $39,661,287.50 in the aggregate based on the Sponsor holding 7,487,500 founder shares) based on the Sponsor’s initial purchase price of approximately $0.003 per share. Public securityholders may not be able to experience the same positive rates of return on securities they purchase due to the low price at which the Sponsor purchased the founder shares and Private Placement Warrants.</w:t>
      </w:r>
    </w:p>
    <w:p>
      <w:pPr>
        <w:spacing w:after="0" w:line="1" w:lineRule="exact"/>
        <w:rPr>
          <w:sz w:val="20"/>
          <w:szCs w:val="20"/>
          <w:color w:val="auto"/>
        </w:rPr>
      </w:pPr>
    </w:p>
    <w:p>
      <w:pPr>
        <w:ind w:left="120" w:right="200" w:firstLine="440"/>
        <w:spacing w:after="0" w:line="228" w:lineRule="auto"/>
        <w:rPr>
          <w:sz w:val="20"/>
          <w:szCs w:val="20"/>
          <w:color w:val="auto"/>
        </w:rPr>
      </w:pPr>
      <w:r>
        <w:rPr>
          <w:rFonts w:ascii="Times New Roman" w:cs="Times New Roman" w:eastAsia="Times New Roman" w:hAnsi="Times New Roman"/>
          <w:sz w:val="14"/>
          <w:szCs w:val="14"/>
          <w:color w:val="auto"/>
        </w:rPr>
        <w:t>We are registering the resale of shares of common stock and warrants as required by (i) an amended and restated registration rights agreement, dated as of January 13, 2025 (the “Registration Rights Agreement”), entered into by and among BurTech, BurTech LP LLC (the “Sponsor” and together with Burkhan, the “Sponsor Group”), certain stockholders of Legacy Blaize and certain stockholders of BurTech, (ii) a registration rights agreement, dated as of January 13, 2025 (the “Ava Registration Rights Agreement”), entered into by and among Blaize and certain stockholders of Legacy Blaize, (iii) the PIPE subscription agreements entered into by and between BurTech, Blaize and certain accredited investors relating to the purchase of shares of common stock in private placements consummated in connection with the Business Combination and (iv) that certain secured promissory note, dated January 13, 2025, issued by Sponsor to BurTech pursuant to which Blaize issued 750,000 shares of Common Stock to the Sponsor in a private placement consummated in connection with the Business Combination.</w:t>
      </w:r>
    </w:p>
    <w:p>
      <w:pPr>
        <w:spacing w:after="0" w:line="1" w:lineRule="exact"/>
        <w:rPr>
          <w:sz w:val="20"/>
          <w:szCs w:val="20"/>
          <w:color w:val="auto"/>
        </w:rPr>
      </w:pPr>
    </w:p>
    <w:p>
      <w:pPr>
        <w:ind w:left="120" w:right="140" w:firstLine="440"/>
        <w:spacing w:after="0" w:line="241" w:lineRule="auto"/>
        <w:rPr>
          <w:sz w:val="20"/>
          <w:szCs w:val="20"/>
          <w:color w:val="auto"/>
        </w:rPr>
      </w:pPr>
      <w:r>
        <w:rPr>
          <w:rFonts w:ascii="Times New Roman" w:cs="Times New Roman" w:eastAsia="Times New Roman" w:hAnsi="Times New Roman"/>
          <w:sz w:val="14"/>
          <w:szCs w:val="14"/>
          <w:color w:val="auto"/>
        </w:rPr>
        <w:t>We are also registering the (i) resale of other shares of Common Stock held by certain of our stockholders and (ii) the issuance and resale of shares of Common Stock reserved for issuance upon the exercise of options to purchase shares of Common Stock and the settlement of restricted stock units, in each case, held by certain of our current and former employees and other service providers.</w:t>
      </w:r>
    </w:p>
    <w:p>
      <w:pPr>
        <w:spacing w:after="0" w:line="1" w:lineRule="exact"/>
        <w:rPr>
          <w:sz w:val="20"/>
          <w:szCs w:val="20"/>
          <w:color w:val="auto"/>
        </w:rPr>
      </w:pPr>
    </w:p>
    <w:p>
      <w:pPr>
        <w:ind w:left="120" w:right="140" w:firstLine="440"/>
        <w:spacing w:after="0" w:line="250" w:lineRule="auto"/>
        <w:rPr>
          <w:sz w:val="20"/>
          <w:szCs w:val="20"/>
          <w:color w:val="auto"/>
        </w:rPr>
      </w:pPr>
      <w:r>
        <w:rPr>
          <w:rFonts w:ascii="Times New Roman" w:cs="Times New Roman" w:eastAsia="Times New Roman" w:hAnsi="Times New Roman"/>
          <w:sz w:val="14"/>
          <w:szCs w:val="14"/>
          <w:color w:val="auto"/>
        </w:rPr>
        <w:t>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w:t>
      </w:r>
    </w:p>
    <w:p>
      <w:pPr>
        <w:spacing w:after="0" w:line="1" w:lineRule="exact"/>
        <w:rPr>
          <w:sz w:val="20"/>
          <w:szCs w:val="20"/>
          <w:color w:val="auto"/>
        </w:rPr>
      </w:pPr>
    </w:p>
    <w:p>
      <w:pPr>
        <w:ind w:left="120" w:right="180" w:firstLine="440"/>
        <w:spacing w:after="0" w:line="229" w:lineRule="auto"/>
        <w:rPr>
          <w:sz w:val="20"/>
          <w:szCs w:val="20"/>
          <w:color w:val="auto"/>
        </w:rPr>
      </w:pPr>
      <w:r>
        <w:rPr>
          <w:rFonts w:ascii="Times New Roman" w:cs="Times New Roman" w:eastAsia="Times New Roman" w:hAnsi="Times New Roman"/>
          <w:sz w:val="14"/>
          <w:szCs w:val="14"/>
          <w:color w:val="auto"/>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Common Stock or Warrants. The Selling Securityholders may offer, sell or distribute all or a portion of their shares of Common Stock or Warrants publicly or through private transactions at prevailing market prices or at negotiated prices. The Selling Securityholders will bear all commissions and discounts, if any, attributable to their sales of the shares of Common Stock. We provide more information about how the Selling Securityholders may sell the shares of Common Stock or Warrants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20" w:right="540" w:firstLine="440"/>
        <w:spacing w:after="0" w:line="251"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of 1933, as amended (the “Securities Act”), and are subject to reduced public company reporting requirements. This prospectus complies with the requirements that apply to an issuer that is an emerging growth company.</w:t>
      </w:r>
    </w:p>
    <w:p>
      <w:pPr>
        <w:spacing w:after="0" w:line="1" w:lineRule="exact"/>
        <w:rPr>
          <w:sz w:val="20"/>
          <w:szCs w:val="20"/>
          <w:color w:val="auto"/>
        </w:rPr>
      </w:pPr>
    </w:p>
    <w:p>
      <w:pPr>
        <w:ind w:left="120" w:right="220" w:firstLine="440"/>
        <w:spacing w:after="0" w:line="250" w:lineRule="auto"/>
        <w:rPr>
          <w:sz w:val="20"/>
          <w:szCs w:val="20"/>
          <w:color w:val="auto"/>
        </w:rPr>
      </w:pPr>
      <w:r>
        <w:rPr>
          <w:rFonts w:ascii="Times New Roman" w:cs="Times New Roman" w:eastAsia="Times New Roman" w:hAnsi="Times New Roman"/>
          <w:sz w:val="14"/>
          <w:szCs w:val="14"/>
          <w:color w:val="auto"/>
        </w:rPr>
        <w:t>Our Common Stock and Warrants are listed on the Nasdaq Stock Market LLC (“Nasdaq”) under the symbols “BZAI” and “BZAIW,” respectively. On February 6, 2025, the closing price of our Common Stock was $5.30 and the closing price for our Warrants was $0.49.</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Our business and investment in our securities involves significant risks. </w:t>
      </w:r>
      <w:r>
        <w:rPr>
          <w:rFonts w:ascii="Times New Roman" w:cs="Times New Roman" w:eastAsia="Times New Roman" w:hAnsi="Times New Roman"/>
          <w:sz w:val="14"/>
          <w:szCs w:val="14"/>
          <w:b w:val="1"/>
          <w:bCs w:val="1"/>
          <w:color w:val="auto"/>
        </w:rPr>
        <w:t>These risks are described in the section titled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6 of this prospectus.</w:t>
      </w:r>
    </w:p>
    <w:p>
      <w:pPr>
        <w:spacing w:after="0" w:line="15" w:lineRule="exact"/>
        <w:rPr>
          <w:sz w:val="20"/>
          <w:szCs w:val="20"/>
          <w:color w:val="auto"/>
        </w:rPr>
      </w:pPr>
    </w:p>
    <w:p>
      <w:pPr>
        <w:ind w:left="120" w:right="100" w:firstLine="440"/>
        <w:spacing w:after="0" w:line="250"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is    .</w:t>
      </w:r>
    </w:p>
    <w:p>
      <w:pPr>
        <w:sectPr>
          <w:pgSz w:w="11900" w:h="16838" w:orient="portrait"/>
          <w:cols w:equalWidth="0" w:num="1">
            <w:col w:w="11140"/>
          </w:cols>
          <w:pgMar w:left="320" w:top="45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20" w:type="dxa"/>
            <w:vAlign w:val="bottom"/>
            <w:gridSpan w:val="7"/>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4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6"/>
          </w:tcPr>
          <w:p>
            <w:pPr>
              <w:spacing w:after="0"/>
              <w:rPr>
                <w:sz w:val="24"/>
                <w:szCs w:val="24"/>
                <w:color w:val="auto"/>
              </w:rPr>
            </w:pPr>
          </w:p>
        </w:tc>
        <w:tc>
          <w:tcPr>
            <w:tcW w:w="814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USE OF PROCEEDS</w:t>
            </w:r>
          </w:p>
        </w:tc>
        <w:tc>
          <w:tcPr>
            <w:tcW w:w="862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120" w:type="dxa"/>
            <w:vAlign w:val="bottom"/>
          </w:tcPr>
          <w:p>
            <w:pPr>
              <w:spacing w:after="0"/>
              <w:rPr>
                <w:sz w:val="24"/>
                <w:szCs w:val="24"/>
                <w:color w:val="auto"/>
              </w:rPr>
            </w:pPr>
          </w:p>
        </w:tc>
        <w:tc>
          <w:tcPr>
            <w:tcW w:w="3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DETERMINATION OF OFFERING PRICE</w:t>
            </w:r>
          </w:p>
        </w:tc>
        <w:tc>
          <w:tcPr>
            <w:tcW w:w="700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DIVIDEND POLICY</w:t>
            </w:r>
          </w:p>
        </w:tc>
        <w:tc>
          <w:tcPr>
            <w:tcW w:w="864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FOR BURTECH AND LEGACY BLAIZE</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4"/>
        </w:trPr>
        <w:tc>
          <w:tcPr>
            <w:tcW w:w="120" w:type="dxa"/>
            <w:vAlign w:val="bottom"/>
          </w:tcPr>
          <w:p>
            <w:pPr>
              <w:spacing w:after="0"/>
              <w:rPr>
                <w:sz w:val="24"/>
                <w:szCs w:val="24"/>
                <w:color w:val="auto"/>
              </w:rPr>
            </w:pPr>
          </w:p>
        </w:tc>
        <w:tc>
          <w:tcPr>
            <w:tcW w:w="89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132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MANAGEMENT</w:t>
            </w:r>
          </w:p>
        </w:tc>
        <w:tc>
          <w:tcPr>
            <w:tcW w:w="892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BLAIZE’S 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04"/>
        </w:trPr>
        <w:tc>
          <w:tcPr>
            <w:tcW w:w="1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PRINCIPAL STOCKHOLDERS</w:t>
            </w:r>
          </w:p>
        </w:tc>
        <w:tc>
          <w:tcPr>
            <w:tcW w:w="3080" w:type="dxa"/>
            <w:vAlign w:val="bottom"/>
            <w:tcBorders>
              <w:top w:val="single" w:sz="8" w:color="0000EE"/>
            </w:tcBorders>
            <w:gridSpan w:val="6"/>
          </w:tcPr>
          <w:p>
            <w:pPr>
              <w:spacing w:after="0"/>
              <w:rPr>
                <w:sz w:val="24"/>
                <w:szCs w:val="24"/>
                <w:color w:val="auto"/>
              </w:rPr>
            </w:pPr>
          </w:p>
        </w:tc>
        <w:tc>
          <w:tcPr>
            <w:tcW w:w="47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04"/>
        </w:trPr>
        <w:tc>
          <w:tcPr>
            <w:tcW w:w="12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SELLING SECURITYHOLDERS</w:t>
            </w:r>
          </w:p>
        </w:tc>
        <w:tc>
          <w:tcPr>
            <w:tcW w:w="77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18"/>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SECURITIES ACT RESTRICTIONS ON RESALE OF OUR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304"/>
        </w:trPr>
        <w:tc>
          <w:tcPr>
            <w:tcW w:w="120" w:type="dxa"/>
            <w:vAlign w:val="bottom"/>
          </w:tcPr>
          <w:p>
            <w:pPr>
              <w:spacing w:after="0"/>
              <w:rPr>
                <w:sz w:val="24"/>
                <w:szCs w:val="24"/>
                <w:color w:val="auto"/>
              </w:rPr>
            </w:pPr>
          </w:p>
        </w:tc>
        <w:tc>
          <w:tcPr>
            <w:tcW w:w="55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818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EXPERTS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120" w:type="dxa"/>
            <w:vAlign w:val="bottom"/>
          </w:tcPr>
          <w:p>
            <w:pPr>
              <w:spacing w:after="0" w:line="20" w:lineRule="exact"/>
              <w:rPr>
                <w:sz w:val="1"/>
                <w:szCs w:val="1"/>
                <w:color w:val="auto"/>
              </w:rPr>
            </w:pPr>
          </w:p>
        </w:tc>
        <w:tc>
          <w:tcPr>
            <w:tcW w:w="3800" w:type="dxa"/>
            <w:vAlign w:val="bottom"/>
            <w:gridSpan w:val="17"/>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7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FINANCIAL STATEMENTS AND SUPPLEMENTARY DATA INDEX TO FINANCIAL STATEMENTS</w:t>
            </w:r>
          </w:p>
        </w:tc>
        <w:tc>
          <w:tcPr>
            <w:tcW w:w="248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60" w:type="dxa"/>
            <w:vAlign w:val="bottom"/>
            <w:gridSpan w:val="6"/>
          </w:tcPr>
          <w:p>
            <w:pPr>
              <w:jc w:val="center"/>
              <w:ind w:right="4680"/>
              <w:spacing w:after="0"/>
              <w:rPr>
                <w:sz w:val="20"/>
                <w:szCs w:val="20"/>
                <w:color w:val="auto"/>
              </w:rPr>
            </w:pPr>
            <w:r>
              <w:rPr>
                <w:rFonts w:ascii="Times New Roman" w:cs="Times New Roman" w:eastAsia="Times New Roman" w:hAnsi="Times New Roman"/>
                <w:sz w:val="18"/>
                <w:szCs w:val="18"/>
                <w:color w:val="auto"/>
                <w:w w:val="78"/>
              </w:rPr>
              <w:t>i</w:t>
            </w:r>
          </w:p>
        </w:tc>
        <w:tc>
          <w:tcPr>
            <w:tcW w:w="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the Selling Securityholders may sell up to 89,550,141 shares of Common Stock and up to 898,250 Warrants from time to time in one or more offerings as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any post-effective amendment and the applicable prospectus supplement. Accordingly, investors should not place undue reliance on this information.</w:t>
      </w:r>
    </w:p>
    <w:p>
      <w:pPr>
        <w:spacing w:after="0" w:line="187"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8"/>
          <w:szCs w:val="18"/>
          <w:color w:val="auto"/>
        </w:rPr>
        <w:t xml:space="preserve">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SM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20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“Blaize” refer to the consolidated operations of Blaize Holdings, Inc. and its subsidiaries. References to “BurTech” refer to the Company prior to the consummation of the Business Combination and references to “Legacy Blaize” refer to Blaize, Inc. prior to the consummation of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forward-looking statements are subject to numerous risks, including, without limitation, the following:</w:t>
      </w:r>
    </w:p>
    <w:p>
      <w:pPr>
        <w:spacing w:after="0" w:line="97"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or sustain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shares of Common Stock and Warrants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one or more key employees or failure to attract and retain highly skilled employees;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software or hardware containing serious errors or defects, which may result in lost revenue and market acceptance and costs to defend or settle claims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interruptions in service, latency or poor service from third-party data center providers;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failure to acquire new customer, retain existing customers, terminate existing customer or partnership contracts or expand sales to existing customers;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5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800"/>
          </w:cols>
          <w:pgMar w:left="320" w:top="455"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6 and our consolidated financial statements and the related notes appearing at the end of this prospectus, before deciding to invest in our Common Stock or Warrants.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(as amended on April 22, 2024, October 24, 2024 and November 21, 2024, the “Merger Agreement”), with BurTech Merger Sub, Inc., a direct, wholly owned subsidiary of BurTech (“Merger Sub”), Legacy Blaize and solely for the limited purposes of the transaction, Burkhan, pursuant to which Merger Sub would merge with and into Legacy Blaize, with Legacy Blaize surviving the merger as a wholly owned subsidiary of the Company (the “Business Combination” and, together with the other transactions contemplated by the Merger Agreement, the “Transactions”).</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and certain unaffiliated stockholders of the Company named therein (each, a “Investor” and collectively, the “Investors”), entered into agreements (each, a “Non-Redemption Agreement” and collectively, the “Non-Redemption Agreements”) pursuant to which the Investors agreed not to redeem (or validly rescind any redemption requests on) their shares of Class A common stock, par value $0.0001 per share of the Company (“Non-Redeemed Shares”) and, in exchange, Blaize and BurTech LP, LLC, a Delaware limited liability company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w:t>
      </w:r>
    </w:p>
    <w:p>
      <w:pPr>
        <w:spacing w:after="0" w:line="18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(as defined below) (the “PIPE Shares”) at a price per PIPE Share equal to $10.00 (the “PIPE” and, together with the transactions described in clauses (i) and (ii) above, the “PIPE Investment”).</w:t>
      </w:r>
    </w:p>
    <w:p>
      <w:pPr>
        <w:spacing w:after="0" w:line="183"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On January 13, 2025 (the “Closing Date”), pursuant to the Merger Agreement, Merger Sub merged with and into Legacy Blaize, with Legacy Blaize surviving the merger as a wholly owned subsidiary of the Company (the “Closing”).</w:t>
      </w:r>
    </w:p>
    <w:p>
      <w:pPr>
        <w:spacing w:after="0" w:line="16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In connection with Closing, we changed our name to Blaize Holdings, Inc. While we are the legal acquirer of Legacy Blaize in the Business Combination, Legacy Blaize is deemed to be the accounting acquirer, and the historical financial statements of Legacy Blaize became the historical financial statements of the Company upon the Closing of the Transactions.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The rights of holders of our Common Stock and Warrants are governed by our third amended and restated certificate of incorporation (the “certificate of incorporation”), our amended and restated bylaws (the “bylaws”), and the Delaware General Corporation Law (the “DGCL”). See the section entitled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Non-Redemption and Put Option Financing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previously disclosed, on and around December 31, 2024, the Company and the Investors entered into the Non-Redemption Agreements, pursuant to which the Investors agreed not to redeem (or validly rescind any redemption requests on) their Non-Redeemed Shares and, in exchange,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w:t>
      </w:r>
    </w:p>
    <w:p>
      <w:pPr>
        <w:spacing w:after="0" w:line="183" w:lineRule="exact"/>
        <w:rPr>
          <w:sz w:val="20"/>
          <w:szCs w:val="20"/>
          <w:color w:val="auto"/>
        </w:rPr>
      </w:pPr>
    </w:p>
    <w:p>
      <w:pPr>
        <w:ind w:left="300" w:right="20" w:firstLine="426"/>
        <w:spacing w:after="0" w:line="252" w:lineRule="auto"/>
        <w:rPr>
          <w:sz w:val="20"/>
          <w:szCs w:val="20"/>
          <w:color w:val="auto"/>
        </w:rPr>
      </w:pPr>
      <w:r>
        <w:rPr>
          <w:rFonts w:ascii="Times New Roman" w:cs="Times New Roman" w:eastAsia="Times New Roman" w:hAnsi="Times New Roman"/>
          <w:sz w:val="18"/>
          <w:szCs w:val="18"/>
          <w:color w:val="auto"/>
        </w:rPr>
        <w:t>In connection with the NRA Financing, at Closing, the Investors deposited an aggregate of 2,854,242 Non-Redeemed Shares (such shares, the “Reserved Blaize Shares”) into a share escrow account with Continental Stock Transfer &amp; Trust Company (“Continental”), as escrow agent, and Continental transferred an aggregate of $33.1 million from BurTech’s trust account into a newly established funds escrow account, which is the aggregate amount received by BurTech from the Investors in connection with the Non-Redemption Agreements. Following the Closing, the Company is required to pay to an Investor in cash, at any time such Investor sells Reserved Blaize Shares in the market, and the Company and Sponsor, as applicable, are required to pay to the Investor in cash at any time the Investor exercises the Put Option, a guaranteed return of $1.50 per Reserved Blaize Share subject to such sale or exercise (the “Guaranteed Return Per Share”), so long as the price per share of Common Stock on the date of such sale or exercise is less than $13.57 per share (the “Put Price Per Share”). Following any sale by an Investor of a Reserved Blaize Share into the open market, Blaize is entitled to receive (i) $11.57 from the funds escrow account if the sales price in the open market (the “Sales Price”) equals or exceeds the Put Price Per Share or (ii) an amount equal to the difference between $11.57 and the Sales Price if the Sales Price is less than the Put Price Per Share, provided that no cash will be released to the Company from the funds escrow account in an amount that would cause the cash remaining in the funds escrow account to be less than the product of the Put Price Per Share and the number of Reserved Blaize Shares reamining in the share escrow account. If the shares of Common Stock trade at or above $13.00 per share for twenty (20) trading days within any thirty (30) consecutive trading day period, the Put Option shall automatically terminate and the Reserved Blaize Shares held in the Share Escrow Account shall be distributed back to the Investor in accordance with the share escrow agreements.</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left="300" w:right="420" w:firstLine="426"/>
        <w:spacing w:after="0" w:line="266" w:lineRule="auto"/>
        <w:rPr>
          <w:sz w:val="20"/>
          <w:szCs w:val="20"/>
          <w:color w:val="auto"/>
        </w:rPr>
      </w:pPr>
      <w:r>
        <w:rPr>
          <w:rFonts w:ascii="Times New Roman" w:cs="Times New Roman" w:eastAsia="Times New Roman" w:hAnsi="Times New Roman"/>
          <w:sz w:val="18"/>
          <w:szCs w:val="18"/>
          <w:color w:val="auto"/>
        </w:rPr>
        <w:t>As previously disclosed, from December 31, 2024 through January 13, 2025, BurTech, Blaize and the Subscribers entered into the PIPE Subscription Agreements pursuant to which BurTech issued and sold to the Subscribers, immediately prior to the closing of the Merger, collectively, 1,540,300, shares of Class A Stock at a price per share equal to $10.00.</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PIPE Shares</w:t>
      </w:r>
    </w:p>
    <w:p>
      <w:pPr>
        <w:spacing w:after="0" w:line="121"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73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673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300" w:right="100" w:firstLine="426"/>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of which you should be aware before making an investment decision. These risks are discussed more fully in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of this prospectus immediately following this prospectus summary. These risks include the following:</w:t>
      </w:r>
    </w:p>
    <w:p>
      <w:pPr>
        <w:spacing w:after="0" w:line="45"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automotive OEMs (as defined below) and Tier-1 suppliers are long-term in nature and we will not receive legally binding purchase order commitments until we deliver our auto-grade chip.</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will be harmed if we are unable to acquire new customers, retain existing customers or expand sales to our existing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timely supply of materials sourced from a limited number of suppliers, and are directly impacted by unexpected delays or problems from our third-party manufacturers.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81"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130" w:lineRule="exact"/>
        <w:rPr>
          <w:rFonts w:ascii="Times New Roman" w:cs="Times New Roman" w:eastAsia="Times New Roman" w:hAnsi="Times New Roman"/>
          <w:sz w:val="18"/>
          <w:szCs w:val="18"/>
          <w:color w:val="auto"/>
        </w:rPr>
      </w:pPr>
    </w:p>
    <w:p>
      <w:pPr>
        <w:jc w:val="both"/>
        <w:ind w:left="1240" w:right="2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January 5, 2021 under the name BurTech Acquisition Corp. Upon the closing of the Business Combination, we changed our name to Blaize Holdings, Inc. Our principal executive offices are located at 4659 Golden Foothill Parkway, Suite 206, El Dorado Hills, CA</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5" w:right="7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100"/>
        <w:spacing w:after="0" w:line="267" w:lineRule="auto"/>
        <w:rPr>
          <w:sz w:val="20"/>
          <w:szCs w:val="20"/>
          <w:color w:val="auto"/>
        </w:rPr>
      </w:pPr>
      <w:r>
        <w:rPr>
          <w:rFonts w:ascii="Times New Roman" w:cs="Times New Roman" w:eastAsia="Times New Roman" w:hAnsi="Times New Roman"/>
          <w:sz w:val="18"/>
          <w:szCs w:val="18"/>
          <w:color w:val="auto"/>
        </w:rPr>
        <w:t xml:space="preserve">95762, and our telephone number is (916) 347-0050. Our website address is </w:t>
      </w:r>
      <w:r>
        <w:rPr>
          <w:rFonts w:ascii="Times New Roman" w:cs="Times New Roman" w:eastAsia="Times New Roman" w:hAnsi="Times New Roman"/>
          <w:sz w:val="18"/>
          <w:szCs w:val="18"/>
          <w:i w:val="1"/>
          <w:iCs w:val="1"/>
          <w:color w:val="auto"/>
        </w:rPr>
        <w:t>www.blaize.com</w:t>
      </w:r>
      <w:r>
        <w:rPr>
          <w:rFonts w:ascii="Times New Roman" w:cs="Times New Roman" w:eastAsia="Times New Roman" w:hAnsi="Times New Roman"/>
          <w:sz w:val="18"/>
          <w:szCs w:val="18"/>
          <w:color w:val="auto"/>
        </w:rPr>
        <w:t>. The information contained in, or accessible through, our website does not constitute a part of this prospectus. We have included our website address in this prospectus solely as an inactive textual reference.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79" w:lineRule="exact"/>
        <w:rPr>
          <w:sz w:val="20"/>
          <w:szCs w:val="20"/>
          <w:color w:val="auto"/>
        </w:rPr>
      </w:pPr>
    </w:p>
    <w:p>
      <w:pPr>
        <w:ind w:left="1240" w:right="420" w:hanging="415"/>
        <w:spacing w:after="0" w:line="28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prospectus;</w:t>
      </w:r>
    </w:p>
    <w:p>
      <w:pPr>
        <w:spacing w:after="0" w:line="65"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76"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89"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Shares of Common Stock offered by us</w:t>
      </w:r>
      <w:r>
        <w:rPr>
          <w:sz w:val="20"/>
          <w:szCs w:val="20"/>
          <w:color w:val="auto"/>
        </w:rPr>
        <w:tab/>
      </w:r>
      <w:r>
        <w:rPr>
          <w:rFonts w:ascii="Times New Roman" w:cs="Times New Roman" w:eastAsia="Times New Roman" w:hAnsi="Times New Roman"/>
          <w:sz w:val="17"/>
          <w:szCs w:val="17"/>
          <w:color w:val="auto"/>
        </w:rPr>
        <w:t>29,698,250 shares of Common Stock issuable upon exercise of Warrants.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Shares of Common Stock offered by the Selling</w:t>
      </w:r>
      <w:r>
        <w:rPr>
          <w:sz w:val="20"/>
          <w:szCs w:val="20"/>
          <w:color w:val="auto"/>
        </w:rPr>
        <w:tab/>
      </w:r>
      <w:r>
        <w:rPr>
          <w:rFonts w:ascii="Times New Roman" w:cs="Times New Roman" w:eastAsia="Times New Roman" w:hAnsi="Times New Roman"/>
          <w:sz w:val="17"/>
          <w:szCs w:val="17"/>
          <w:color w:val="auto"/>
        </w:rPr>
        <w:t>89,550,141 shares of Common Stock.</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Securityholders</w:t>
      </w:r>
    </w:p>
    <w:p>
      <w:pPr>
        <w:spacing w:after="0" w:line="24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Warrants offered by the Selling Securityholders</w:t>
      </w:r>
      <w:r>
        <w:rPr>
          <w:sz w:val="20"/>
          <w:szCs w:val="20"/>
          <w:color w:val="auto"/>
        </w:rPr>
        <w:tab/>
      </w:r>
      <w:r>
        <w:rPr>
          <w:rFonts w:ascii="Times New Roman" w:cs="Times New Roman" w:eastAsia="Times New Roman" w:hAnsi="Times New Roman"/>
          <w:sz w:val="17"/>
          <w:szCs w:val="17"/>
          <w:color w:val="auto"/>
        </w:rPr>
        <w:t>898,250 Warrants.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Shares of Common Stock outstanding prior to this</w:t>
      </w:r>
      <w:r>
        <w:rPr>
          <w:sz w:val="20"/>
          <w:szCs w:val="20"/>
          <w:color w:val="auto"/>
        </w:rPr>
        <w:tab/>
      </w:r>
      <w:r>
        <w:rPr>
          <w:rFonts w:ascii="Times New Roman" w:cs="Times New Roman" w:eastAsia="Times New Roman" w:hAnsi="Times New Roman"/>
          <w:sz w:val="17"/>
          <w:szCs w:val="17"/>
          <w:color w:val="auto"/>
        </w:rPr>
        <w:t>101,671,133 shares of Common Stock (as of February 7, 2025).</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offering</w:t>
      </w:r>
    </w:p>
    <w:p>
      <w:pPr>
        <w:spacing w:after="0" w:line="24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Warrants outstanding prior to this Offering</w:t>
      </w:r>
      <w:r>
        <w:rPr>
          <w:sz w:val="20"/>
          <w:szCs w:val="20"/>
          <w:color w:val="auto"/>
        </w:rPr>
        <w:tab/>
      </w:r>
      <w:r>
        <w:rPr>
          <w:rFonts w:ascii="Times New Roman" w:cs="Times New Roman" w:eastAsia="Times New Roman" w:hAnsi="Times New Roman"/>
          <w:sz w:val="17"/>
          <w:szCs w:val="17"/>
          <w:color w:val="auto"/>
        </w:rPr>
        <w:t>29,698,250 Warrants (as of February 7, 2025).</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Exercise price per Warrant</w:t>
      </w:r>
      <w:r>
        <w:rPr>
          <w:sz w:val="20"/>
          <w:szCs w:val="20"/>
          <w:color w:val="auto"/>
        </w:rPr>
        <w:tab/>
      </w:r>
      <w:r>
        <w:rPr>
          <w:rFonts w:ascii="Times New Roman" w:cs="Times New Roman" w:eastAsia="Times New Roman" w:hAnsi="Times New Roman"/>
          <w:sz w:val="17"/>
          <w:szCs w:val="17"/>
          <w:color w:val="auto"/>
        </w:rPr>
        <w:t>$11.50.</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sale of shares of Common Stock or Warrants by</w:t>
      </w:r>
    </w:p>
    <w:p>
      <w:pPr>
        <w:spacing w:after="0" w:line="27" w:lineRule="exact"/>
        <w:rPr>
          <w:sz w:val="20"/>
          <w:szCs w:val="20"/>
          <w:color w:val="auto"/>
        </w:rPr>
      </w:pPr>
    </w:p>
    <w:p>
      <w:pPr>
        <w:ind w:left="4340" w:right="60"/>
        <w:spacing w:after="0" w:line="255" w:lineRule="auto"/>
        <w:rPr>
          <w:sz w:val="20"/>
          <w:szCs w:val="20"/>
          <w:color w:val="auto"/>
        </w:rPr>
      </w:pPr>
      <w:r>
        <w:rPr>
          <w:rFonts w:ascii="Times New Roman" w:cs="Times New Roman" w:eastAsia="Times New Roman" w:hAnsi="Times New Roman"/>
          <w:sz w:val="18"/>
          <w:szCs w:val="18"/>
          <w:color w:val="auto"/>
        </w:rPr>
        <w:t>the Selling Securityholders pursuant to this prospectus. We will receive proceeds from the exercise of the Warrants for cash, but not from the sale of the shares of Common Stock issuable upon such exercise.</w:t>
      </w:r>
    </w:p>
    <w:p>
      <w:pPr>
        <w:sectPr>
          <w:pgSz w:w="11900" w:h="16838" w:orient="portrait"/>
          <w:cols w:equalWidth="0" w:num="1">
            <w:col w:w="10880"/>
          </w:cols>
          <w:pgMar w:left="320" w:top="455" w:right="699" w:bottom="1440" w:gutter="0" w:footer="0" w:header="0"/>
        </w:sect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right="500"/>
        <w:spacing w:after="0" w:line="579" w:lineRule="auto"/>
        <w:rPr>
          <w:sz w:val="20"/>
          <w:szCs w:val="20"/>
          <w:color w:val="auto"/>
        </w:rPr>
      </w:pPr>
      <w:r>
        <w:rPr>
          <w:rFonts w:ascii="Times New Roman" w:cs="Times New Roman" w:eastAsia="Times New Roman" w:hAnsi="Times New Roman"/>
          <w:sz w:val="18"/>
          <w:szCs w:val="18"/>
          <w:color w:val="auto"/>
        </w:rPr>
        <w:t>Nasdaq symbol for our Common Stock Nasdaq symbol for our Warrants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You should carefully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6 and the other information included in this prospectus for a discussion of factors you should consider carefully before deciding to invest in our Common Stock or 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“BZAI.”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“BZAIW.”</w:t>
      </w:r>
    </w:p>
    <w:p>
      <w:pPr>
        <w:spacing w:after="0" w:line="36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jc w:val="center"/>
        <w:ind w:right="-35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880"/>
          </w:cols>
          <w:pgMar w:left="320" w:top="455" w:right="6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by the Selling Securityholders</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the Selling Securityholders and/or by our existing securityholders could cause the price of our shares of Common Stock and Warrants to fall.</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can sell, under this prospectus, up to (a) 89,550,141 shares of Common Stock constituting approximately 88.12% of our issued and outstanding shares of Common Stock (assuming the exercise of all of our Warrants) and (b) 898,250 Warrants constituting approximately 3.03% of our issued and outstanding Warrants.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yet achieved profitability. We incurred U.S. federal and state operating losses of approximately $186.8 million and $90.9 million for the year ended December 31, 2023, respectively, and $164.4 million and $68.1 million for the year ended December 31, 2022, respectively. As of December 31, 2023, we had an accumulated deficit of $368.1 million. In recent periods, our revenue growth has been attributed to non-recurring engineering (“NRE”)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rates may not be indicative of our future growth.</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prior years revenue has largely consisted of NRE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2024/2025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w:t>
      </w:r>
    </w:p>
    <w:p>
      <w:pPr>
        <w:spacing w:after="0" w:line="93"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Original Equipment Manufacturers (“OEMs”) and Tier-1 suppliers.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has included in its report for the year ended December 31, 2023 an explanatory paragraph expressing substantial doubt about our ability to continue as a going concern. Our consolidated financial statements have been prepared on a going concern basis, which contemplates the realization of assets and the discharge of liabilities in the normal course of business.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Although the Company raised additional capital through issuances of additional debt and equity, as well as through the consummation of the Business Combination, there is no assurance that additional financing will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92"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Mercedes-Benz North America Corporation (“Mercedes-Benz”), and their partner vendors to evaluate their requirements for an advanced L4 platform. This is intended to be in production by the end of this decade and a phase 1 evaluation recently concluded in the second quarter of 2024. To date, we have recognized approximately $25 million and $7 million in non-recurring engineering fees from DENSO and Mercedes-Benz, respectively.</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2028 or later. Our partnership with our main Tier-1 supplier, DENSO Corporation (“DENSO”) continues with projects centered around Blaize’s software and hardware offerings, including a proof of concept agreement with aggregate proceeds of approximately $3.0 million upon its completion.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beginning in 2028 and we anticipate recognizing revenues from these potential future partnerships with automotive OEMs and Tier-1 and Tier-2 partners.</w:t>
      </w:r>
    </w:p>
    <w:p>
      <w:pPr>
        <w:spacing w:after="0" w:line="18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 automotive markets, based on our current set of products. A shortfall in those revenues will significantly impact our automotive roadmap and automotive OEMs and Tier-1 and Tier-2 partners, including Mercedes-Benz and DENSO, may choose to adopt competing technologies. If this occurs, it will be extremely difficult to retain our specialist automotive skills and there is a high risk of losing that expertise altogether.</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5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7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location footprint;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with large enterprise customers can be long and unpredictable, and our sales efforts require considerable time and expense.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 ;</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 ;</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 ;</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United States ;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United States that impose supply chain and manufacturing location restrictions.</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8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grow our brand recognition, our ability to expand our customer base will be impaired and our financial condition may suffer.</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26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5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9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recurrence of pandemics such as COVID-19, or other reasons outside our control;</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84"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85" w:lineRule="exact"/>
        <w:rPr>
          <w:sz w:val="20"/>
          <w:szCs w:val="20"/>
          <w:color w:val="auto"/>
        </w:rPr>
      </w:pPr>
    </w:p>
    <w:p>
      <w:pPr>
        <w:ind w:left="1080" w:right="5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will continue to place a significant strain on our managerial, administrative, financial and other resources. If we are unable to manage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retaining key employees of the acquired company or integrating diverse software codes or business cultures;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32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76"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40"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8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284"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As we grow and develop our infrastructure as a public company, our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9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5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8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measures and changes to our operations and processes, result in increased compliance costs and potential increases in civil claims against us and could adversely affect our business, operations and financial condition.</w:t>
      </w:r>
    </w:p>
    <w:p>
      <w:pPr>
        <w:spacing w:after="0" w:line="26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9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9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91"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to protect our proprietary technologies. We enter into confidentiality agreements with strategic and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9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transactions involving government contractors may be subject to government review and approvals and may require the contractor to hold certain national security clearances in order to perform them.</w:t>
      </w:r>
    </w:p>
    <w:p>
      <w:pPr>
        <w:spacing w:after="0" w:line="26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w:t>
      </w:r>
    </w:p>
    <w:p>
      <w:pPr>
        <w:spacing w:after="0" w:line="27" w:lineRule="exact"/>
        <w:rPr>
          <w:sz w:val="20"/>
          <w:szCs w:val="20"/>
          <w:color w:val="auto"/>
        </w:rPr>
      </w:pPr>
    </w:p>
    <w:p>
      <w:pPr>
        <w:ind w:left="120" w:right="60" w:hanging="4"/>
        <w:spacing w:after="0" w:line="25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9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68"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4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of December 31, 2023, we had approximately $186.8 million of U.S. federal and $90.9 million of state net operating losses, respectively. Certain of our U.S. federal and state net operating loss carryforwards may be carried forward indefinitely, while other of these loss carryforwards are subject to expiration (beginning in 2030). As of December 31, 2023, we had approximately $4.8 million available to offset future U.S. federal income taxes payable and approximately $3.7 million available to offset future U.S. state income taxes payable. Certain of our U.S. federal tax credit carryforwards may be carried forward indefinitely, while other of these tax credit carryforwards are subject to expiration (beginning in 2035). As of December 31, 2023, we had approximately $1.1 million of foreign tax credits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federal and state net operating loss carryforwards and certain tax credits may be subject to significant limitations under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382 and Section 383 of the Code, respectively, and similar provisions of state law, including limitations that may result from the consummation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Business Combination. Under those sections of the Internal Revenue Code, if a corporation undergoes an “ownership change,” the corporation’s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ability to use its pre-change net operating loss carryforwards and other pre-change attributes, such as research tax credits, to offset its post-change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or tax may be limited. In general, an “ownership change” will occur if there is a cumulative change in our ownership by “5-percent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that exceeds 50 percentage points over a rolling three-year period. Similar rules may apply under state tax laws. We have not yet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whether the Business Combination will give rise to an “ownership change” for purposes of Section 382 and Section 383 of the Code.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Furthermore, we may have experienced ownership changes in the past and may experience ownership changes in the future as a result of subsequent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shifts in our stock ownership (some of which shifts are outside our control). As a result, our ability to use our pre-change federal NOLs and other tax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attributes to offset future taxable income and taxes could be subject to limitations. For these reasons, we may be unable to use a material portion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NOLs and other tax attributes, which could adversely affect our future net income and cash flows.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our business and future profitability.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 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We may be subject to tax liability for past sales, which could harm our business.</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Business Combination, we identified material weaknesses in our internal control over financial reporting as of December 31, 2023.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our audited financial statements for the fiscal year ended December 31, 2023, we identified three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would not be prevented or detected on a timely basis. These deficiencies could result in additional material misstatements to its financial statements that could not be prevented or detected on a timely basis. More specifically, we have identified material weaknesses in our internal controls pertaining to inventory reconciliations, our accounting for warrants issuances, and certain improper access to our accounting system as it relates to posting journal entries.</w:t>
      </w:r>
    </w:p>
    <w:p>
      <w:pPr>
        <w:spacing w:after="0" w:line="187"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management has developed, and is in the process of implementing, remediation plans which include, (i) the hiring of additional accounting and finance resources, (ii) strengthening our inventory reconciliation processes and procedures, (iii) enhancing the exchange of information between external legal counsel and the financial consultants related to debt and equity transactions, and (iv) removal of any non-essential “super-users” within our accounting system, combined with periodic review of such “super-users.”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and prevent fraud. We continue to evaluate steps to remediate the material weaknesses. These remediation measures may be time consuming and costly and there is no assurance that these initiatives will ultimately have the intended effects.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Our management will monitor the effectiveness of our remediation plans and will make changes management determines to be appropriate. If not remediated, these material weaknesses could result in material misstatements to our annual or interim financial statements that might not be prevented or detected on a timely basis, or in delayed filing of required periodic reports. If we are unable to assert that our internal control over financial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Common Stock could be adversely affected and we could become subject to litigation or investigations by Nasdaq, the SEC, or other regulatory authorities, which could require additional financial and management resources.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warrants or convertible securities may dilute your ownership interest in us and could adversely affect our stock price.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and Warrants,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and Warrants by us or our existing securityholders in the public market could cause the market price for our Common Stock and Warrants to decline.</w:t>
      </w:r>
    </w:p>
    <w:p>
      <w:pPr>
        <w:spacing w:after="0" w:line="5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or warrants in the public market, or the perception that such sales could occur, could harm the prevailing market price of shares of our Common Stock and warrants.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Blaize Stockholders are subject to certain restrictions on transfer with respect to the shares of Common Stock issued as part of the merger consideration beginning at Closing and ending on July 12, 2025, subject to certain price-based releases. Notwithstanding the above, the Common Stock issued to Sponsor upon conversion of the convertible notes acquired by Sponsor pursuant to that certain note purchase agreement dated July 3, 2023, as amended on August 1, 2023 (the “ 2023”) NPA will not be subject to any lock-up restrictions.</w:t>
      </w:r>
    </w:p>
    <w:p>
      <w:pPr>
        <w:spacing w:after="0" w:line="180"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Subject to applicable securities laws, upon the expiration or waiver of the lock-up provisions described above, shares held by certain of our stockholders will be eligible for resale, subject to, in the case of certain stockholders, volume, manner of sale and other limitations under Rule 144.</w:t>
      </w:r>
    </w:p>
    <w:p>
      <w:pPr>
        <w:spacing w:after="0" w:line="14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Earnout Shares are earned, restrictions on resale end, the market price of shares of our Common Stock and warrants could drop significantly if the holders of these shares or warrants sell them or are perceived by the market as intending to sell them. These factors could also make it more difficult for us to raise additional funds through future offerings of our shares of Common Stock or other securities.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the shares of our Common Stock issuable pursuant to the options and restricted stock units (“RSUs”), in each case, issued under our Amended and Restated 2011 Stock Plan (the “2011 Stock Plan”)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outstanding as of immediately prior to the Closing, and the shares of our Common Stock reserved for future issuance under the Blaize Holdings, Inc. 2025 Incentive Award Plan (the “2025 Incentive Plan”) and the Blaize Holdings, Inc. 2025 Employee Stock Purchase Plan (the “ESPP”) will become eligible for sale in the public market once those shares are issued, subject to provisions relating to various vesting agreements, lock-up provisions and, in some cases, limitations on volume and manner of sale applicable to affiliates under Rule 144, as applicable. The number of shares reserved for future issuance under the 2025 Incentive Plan is equal to 18.0% of the fully diluted number of shares of Common Stock. The number of shares reserved for future issuance under the ESPP is equal to 2.0% of the fully diluted number of shares of Common Stock. We expect to file one or more registration statements on Form S-8 under the Securities Act to register shares of our Common Stock or issuable pursuant to the options and RSUs, in each case, issued under our 2011 Stock Plan and outstanding as of immediately prior to the Closing, the Incentive Award Plan and the ESPP. Any such Form S-8 registration statements will automatically become effective upon filing. Accordingly, shares registered under such registration statements will be available for sale in the open market.</w:t>
      </w:r>
    </w:p>
    <w:p>
      <w:pPr>
        <w:spacing w:after="0" w:line="298"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98"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a result of the reduced disclosure and governance requirements applicable to emerging growth companies, our Common Stock and Warrants may be less attractive to investors.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4" w:lineRule="exact"/>
        <w:rPr>
          <w:sz w:val="20"/>
          <w:szCs w:val="20"/>
          <w:color w:val="auto"/>
        </w:rPr>
      </w:pPr>
    </w:p>
    <w:p>
      <w:pPr>
        <w:ind w:left="5540" w:right="188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and stockholder approval of any golden parachute payments not previously approved.</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or Warrants less attractive because we will rely on these exemptions. If some investors find our shares of Common Stock or Warrants less attractive as a result, there may be a less active market for our shares of common stock and our share price may be more volatile.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as well as provisions of Delaware law, could impair a takeover attempt.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27" w:lineRule="exact"/>
        <w:rPr>
          <w:rFonts w:ascii="Times New Roman" w:cs="Times New Roman" w:eastAsia="Times New Roman" w:hAnsi="Times New Roman"/>
          <w:sz w:val="18"/>
          <w:szCs w:val="18"/>
          <w:color w:val="auto"/>
        </w:rPr>
      </w:pPr>
    </w:p>
    <w:p>
      <w:pPr>
        <w:ind w:left="1080" w:right="20" w:hanging="424"/>
        <w:spacing w:after="0" w:line="24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the ability to remove directors with cause by the affirmative vote of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the outstanding shares of Common Stock entitled to vote thereon;</w:t>
      </w:r>
    </w:p>
    <w:p>
      <w:pPr>
        <w:spacing w:after="0" w:line="1" w:lineRule="exact"/>
        <w:rPr>
          <w:rFonts w:ascii="Times New Roman" w:cs="Times New Roman" w:eastAsia="Times New Roman" w:hAnsi="Times New Roman"/>
          <w:sz w:val="18"/>
          <w:szCs w:val="18"/>
          <w:color w:val="auto"/>
        </w:rPr>
      </w:pPr>
    </w:p>
    <w:p>
      <w:pPr>
        <w:jc w:val="both"/>
        <w:ind w:left="1080" w:right="60" w:hanging="424"/>
        <w:spacing w:after="0" w:line="249"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9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us or changes in our Board and our management.</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67"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w:t>
      </w:r>
    </w:p>
    <w:p>
      <w:pPr>
        <w:spacing w:after="0" w:line="3" w:lineRule="exact"/>
        <w:rPr>
          <w:sz w:val="20"/>
          <w:szCs w:val="20"/>
          <w:color w:val="auto"/>
        </w:rPr>
      </w:pPr>
    </w:p>
    <w:p>
      <w:pPr>
        <w:ind w:left="120" w:right="60" w:hanging="4"/>
        <w:spacing w:after="0" w:line="252" w:lineRule="auto"/>
        <w:tabs>
          <w:tab w:leader="none" w:pos="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90" w:lineRule="exact"/>
        <w:rPr>
          <w:sz w:val="20"/>
          <w:szCs w:val="20"/>
          <w:color w:val="auto"/>
        </w:rPr>
      </w:pPr>
    </w:p>
    <w:p>
      <w:pPr>
        <w:jc w:val="both"/>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w:t>
      </w:r>
    </w:p>
    <w:p>
      <w:pPr>
        <w:spacing w:after="0" w:line="1" w:lineRule="exact"/>
        <w:rPr>
          <w:sz w:val="20"/>
          <w:szCs w:val="20"/>
          <w:color w:val="auto"/>
        </w:rPr>
      </w:pPr>
    </w:p>
    <w:p>
      <w:pPr>
        <w:ind w:left="120" w:right="220" w:hanging="4"/>
        <w:spacing w:after="0" w:line="260" w:lineRule="auto"/>
        <w:tabs>
          <w:tab w:leader="none" w:pos="4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and Warrants may be volatile or may decline regardless of our operating performance. You may lose some or all of your investment.</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and Warrants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w:t>
      </w:r>
    </w:p>
    <w:p>
      <w:pPr>
        <w:spacing w:after="0" w:line="81" w:lineRule="exact"/>
        <w:rPr>
          <w:sz w:val="20"/>
          <w:szCs w:val="20"/>
          <w:color w:val="auto"/>
        </w:rPr>
      </w:pPr>
    </w:p>
    <w:p>
      <w:pPr>
        <w:ind w:left="1080" w:right="2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 and/or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clients’ businesses or our competitors’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reaction to our reduced disclosure and other requirements as a result of being an “emerging growth company” under the Jumpstart Our Business Startups Act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privacy or data breaches, or the loss of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and Warrants, regardless of our operating performance. In addition, price volatility may be greater if the public float and trading volume of our Common Stock and Warrants is low. As a result, you may suffer a loss on your investment.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80"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6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9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and Warrants could decline.</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and Warrants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volume of our securities to decline. Moreover, if one or more of the analysts who cover us downgrades our Common Stock or Warrants or if our reporting results do not meet their expectations, the market price of our Common Stock and Warrants could decline.</w:t>
      </w:r>
    </w:p>
    <w:p>
      <w:pPr>
        <w:spacing w:after="0" w:line="26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6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continued financial support from our shareholders and other related parties. We cannot be certain when or if our operations will generate sufficient cash to fund our ongoing operations or the growth of our business.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not receive any proceeds from the sale of shares of Common Stock or Warrants by the Selling Securityholders pursuant to this prospectus.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receive proceeds from the exercise of the Warrants for cash, but not from the sale of the shares of Common Stock issuable upon such exercise.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exercise of Warrants for cash.</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securities.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or Warrants may be sold by the Selling Securityholders under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Common Stock and Warrants are listed on Nasdaq under the symbols “BZAI” and “BZAIW,” respectively. Prior to the consummation of the Business Combination, the Class A common stock, units and warrants were listed on Nasdaq under the symbols “BRKH,” “BRKHU” and “BRKHW,” respectively. As of January 16, 2025, there were 307 holders of record of our Common Stock.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55"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20" w:right="3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to “Blaize,” “we,” “us,” “our” and “the Company” in this section are to the business and operations of Blaize, Inc. prior to the Business Combination and to Blaize Holdings, Inc. following the consummation of the Business Combination.</w:t>
      </w:r>
    </w:p>
    <w:p>
      <w:pPr>
        <w:spacing w:after="0" w:line="28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328"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 Combination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equity exchange and financing related matters associated with the Business Combination are summarized as follows:</w:t>
      </w:r>
    </w:p>
    <w:p>
      <w:pPr>
        <w:spacing w:after="0" w:line="131" w:lineRule="exact"/>
        <w:rPr>
          <w:sz w:val="20"/>
          <w:szCs w:val="20"/>
          <w:color w:val="auto"/>
        </w:rPr>
      </w:pPr>
    </w:p>
    <w:p>
      <w:pPr>
        <w:ind w:left="1080" w:right="160" w:hanging="532"/>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w:t>
      </w:r>
    </w:p>
    <w:p>
      <w:pPr>
        <w:spacing w:after="0" w:line="8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by virtue of the Merger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Company Base Merger Consideration, by (b) the Aggregate Company Shares (the “Per Company Share Merger Consideration”).</w:t>
      </w:r>
    </w:p>
    <w:p>
      <w:pPr>
        <w:spacing w:after="0" w:line="92"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w:t>
      </w:r>
    </w:p>
    <w:p>
      <w:pPr>
        <w:spacing w:after="0" w:line="9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w:t>
      </w:r>
    </w:p>
    <w:p>
      <w:pPr>
        <w:spacing w:after="0" w:line="88" w:lineRule="exact"/>
        <w:rPr>
          <w:rFonts w:ascii="Times New Roman" w:cs="Times New Roman" w:eastAsia="Times New Roman" w:hAnsi="Times New Roman"/>
          <w:sz w:val="18"/>
          <w:szCs w:val="18"/>
          <w:color w:val="auto"/>
        </w:rPr>
      </w:pPr>
    </w:p>
    <w:p>
      <w:pPr>
        <w:ind w:left="1080" w:right="380" w:hanging="532"/>
        <w:spacing w:after="0" w:line="25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w:t>
      </w:r>
    </w:p>
    <w:p>
      <w:pPr>
        <w:spacing w:after="0" w:line="2" w:lineRule="exact"/>
        <w:rPr>
          <w:rFonts w:ascii="Times New Roman" w:cs="Times New Roman" w:eastAsia="Times New Roman" w:hAnsi="Times New Roman"/>
          <w:sz w:val="18"/>
          <w:szCs w:val="18"/>
          <w:color w:val="auto"/>
        </w:rPr>
      </w:pPr>
    </w:p>
    <w:p>
      <w:pPr>
        <w:ind w:left="10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w:t>
      </w:r>
    </w:p>
    <w:p>
      <w:pPr>
        <w:spacing w:after="0" w:line="94"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2024, the Sponsor and BurTech entered into the Sponsor Forfeiture Agreement, whereby, conditioned on Closing, the Sponsor agrees to forfeit 2,000,000 Shares held by Sponsor (the “Forfeited Shares”), such forfeiture was effective immediately prior to the Closing.</w:t>
      </w:r>
    </w:p>
    <w:p>
      <w:pPr>
        <w:spacing w:after="0" w:line="81"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56" w:lineRule="auto"/>
        <w:rPr>
          <w:sz w:val="20"/>
          <w:szCs w:val="20"/>
          <w:color w:val="auto"/>
        </w:rPr>
      </w:pPr>
      <w:r>
        <w:rPr>
          <w:rFonts w:ascii="Times New Roman" w:cs="Times New Roman" w:eastAsia="Times New Roman" w:hAnsi="Times New Roman"/>
          <w:sz w:val="18"/>
          <w:szCs w:val="18"/>
          <w:color w:val="auto"/>
        </w:rPr>
        <w:t>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w:t>
      </w:r>
    </w:p>
    <w:p>
      <w:pPr>
        <w:spacing w:after="0" w:line="93" w:lineRule="exact"/>
        <w:rPr>
          <w:sz w:val="20"/>
          <w:szCs w:val="20"/>
          <w:color w:val="auto"/>
        </w:rPr>
      </w:pPr>
    </w:p>
    <w:p>
      <w:pPr>
        <w:ind w:left="1080" w:right="120" w:hanging="532"/>
        <w:spacing w:after="0" w:line="253"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w:t>
      </w:r>
    </w:p>
    <w:p>
      <w:pPr>
        <w:spacing w:after="0" w:line="99"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through January 10,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w:t>
      </w:r>
    </w:p>
    <w:p>
      <w:pPr>
        <w:spacing w:after="0" w:line="92" w:lineRule="exact"/>
        <w:rPr>
          <w:rFonts w:ascii="Times New Roman" w:cs="Times New Roman" w:eastAsia="Times New Roman" w:hAnsi="Times New Roman"/>
          <w:sz w:val="18"/>
          <w:szCs w:val="18"/>
          <w:color w:val="auto"/>
        </w:rPr>
      </w:pPr>
    </w:p>
    <w:p>
      <w:pPr>
        <w:ind w:left="1080" w:right="60" w:hanging="532"/>
        <w:spacing w:after="0" w:line="253"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w:t>
      </w:r>
    </w:p>
    <w:p>
      <w:pPr>
        <w:spacing w:after="0" w:line="95"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Redemptions occurring from September 30, 2024 through the date of Closing of (i) 241,120 BurTech public shares and removal of $2.8 million from the trust account, and (ii) 937,844 BurTech public shares and removal of $10.9 million from the trust account.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Other Material Transactions: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Material transactions that could impact the financial information of the latest balance sheet date that are material to investors, include the following:</w:t>
      </w:r>
    </w:p>
    <w:p>
      <w:pPr>
        <w:spacing w:after="0" w:line="67" w:lineRule="exact"/>
        <w:rPr>
          <w:sz w:val="20"/>
          <w:szCs w:val="20"/>
          <w:color w:val="auto"/>
        </w:rPr>
      </w:pPr>
    </w:p>
    <w:p>
      <w:pPr>
        <w:ind w:left="1080" w:hanging="532"/>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issued or cancelled a net amount of 19,651,340 options from October 1, 2024 through the date of this filing.</w:t>
      </w:r>
    </w:p>
    <w:p>
      <w:pPr>
        <w:spacing w:after="0" w:line="370"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unaudited pro forma condensed combined financial information should be read together with the historical financial statements and related notes of Blaize and BurTech, and other financial information included elsewhere in this prospectus.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Blaize has been determined to be the accounting acquirer of BurTech based on the following facts and circumstances: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the larger entity in terms of substantive operations and employee base and is the ongoing operations of the combined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will have the greatest voting interest in the combined entity, excluding option holder.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existing shareholders have the most significant influence of any shareholder regarding election and removal of the combined entity’s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senior management is the senior management of the combined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name is Blaize Holdings, Inc., i.e. the combined entity assumed Blaize’s name.</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preponderance of evidence as described above is indicative that Blaize is the accounting acquirer of BurTech. Accordingly, the merger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328"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1,178,964 public shares and payment of transaction costs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related to the Merger are expected to be used for other general corporate purposes. Further, the unaudited pro forma condensed combined financial information does not purport to project the future operating results 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Blaize Common Stock issued and outstanding immediately after the Business Combination and the related ownership percentages.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1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 Pro Forma Combined Share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120" w:type="dxa"/>
            <w:vAlign w:val="bottom"/>
            <w:tcBorders>
              <w:bottom w:val="single" w:sz="8" w:color="auto"/>
            </w:tcBorders>
            <w:gridSpan w:val="4"/>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Ownership in Blaize</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2120" w:type="dxa"/>
            <w:vAlign w:val="bottom"/>
            <w:gridSpan w:val="4"/>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Stockholders</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55,571,107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BurTech Public Stockholders</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5,456,999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14,456,132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Final Closing Lenders</w:t>
            </w:r>
            <w:r>
              <w:rPr>
                <w:rFonts w:ascii="Times New Roman" w:cs="Times New Roman" w:eastAsia="Times New Roman" w:hAnsi="Times New Roman"/>
                <w:sz w:val="25"/>
                <w:szCs w:val="25"/>
                <w:color w:val="auto"/>
                <w:vertAlign w:val="superscript"/>
              </w:rPr>
              <w:t>(4)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25,673,479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shares at Closing</w:t>
            </w:r>
          </w:p>
        </w:tc>
        <w:tc>
          <w:tcPr>
            <w:tcW w:w="1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Blaize Stockholders is comprised of (i) the exchange of the 17,518,791 issued and outstanding Blaize Common Stock for 13,663,527 shares of Blaize Class A Common Stock, which gives effect to 36,617 shares that have been issued since September 30, 2024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w:t>
      </w:r>
    </w:p>
    <w:p>
      <w:pPr>
        <w:spacing w:after="0" w:line="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share of Blaize Common Stock or common stock equivalent upon the Closing of the Business Combination.</w:t>
      </w:r>
    </w:p>
    <w:p>
      <w:pPr>
        <w:spacing w:after="0" w:line="99" w:lineRule="exact"/>
        <w:rPr>
          <w:sz w:val="20"/>
          <w:szCs w:val="20"/>
          <w:color w:val="auto"/>
        </w:rPr>
      </w:pPr>
    </w:p>
    <w:p>
      <w:pPr>
        <w:ind w:left="560" w:right="420"/>
        <w:spacing w:after="0" w:line="257" w:lineRule="auto"/>
        <w:rPr>
          <w:sz w:val="20"/>
          <w:szCs w:val="20"/>
          <w:color w:val="auto"/>
        </w:rPr>
      </w:pPr>
      <w:r>
        <w:rPr>
          <w:rFonts w:ascii="Times New Roman" w:cs="Times New Roman" w:eastAsia="Times New Roman" w:hAnsi="Times New Roman"/>
          <w:sz w:val="18"/>
          <w:szCs w:val="18"/>
          <w:color w:val="auto"/>
        </w:rPr>
        <w:t>The number of shares held by the Blaize Stockholders does not include (i) 4,070,299 shares of Blaize Class A Common Stock that are issued related to the conversion of the BurTech Notes or (ii) 21,173,479 shares of Blaize Class A Common Stock held by the Blaize Final Closing Lenders.</w:t>
      </w:r>
    </w:p>
    <w:p>
      <w:pPr>
        <w:spacing w:after="0" w:line="1" w:lineRule="exact"/>
        <w:rPr>
          <w:sz w:val="20"/>
          <w:szCs w:val="20"/>
          <w:color w:val="auto"/>
        </w:rPr>
      </w:pPr>
    </w:p>
    <w:p>
      <w:pPr>
        <w:ind w:left="540" w:right="30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BurTech Public Stockholders is determined by adding (i) 3,166,699 shares remaining after giving effect to redemptions, (ii) 1,540,300 shares that are issued associated with the PIPE, and (iii) 750,000 shares that are issued associated with the Sponsor Note Shares.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held by the Sponsor and related parties is determined by adding (i) the Sponsor’s holdings of 10,385,750 BurTech’s Redeemable Class A Common Stock at September 30,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w:t>
      </w:r>
    </w:p>
    <w:p>
      <w:pPr>
        <w:spacing w:after="0" w:line="1" w:lineRule="exact"/>
        <w:rPr>
          <w:rFonts w:ascii="Times New Roman" w:cs="Times New Roman" w:eastAsia="Times New Roman" w:hAnsi="Times New Roman"/>
          <w:sz w:val="18"/>
          <w:szCs w:val="18"/>
          <w:color w:val="auto"/>
        </w:rPr>
      </w:pPr>
    </w:p>
    <w:p>
      <w:pPr>
        <w:ind w:left="540" w:right="12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ownership in Blaize Common Stock, attributable to existing holdings in BurTech Class A Common Stock that is held by underwriters associated with BurTech’s initial public offering.</w:t>
      </w:r>
    </w:p>
    <w:p>
      <w:pPr>
        <w:spacing w:after="0" w:line="18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table above excludes Blaize shares associated with (i) Blaize Options, (ii) Blaize RSUs, (iii) any potential Blaize Earnout Shares and (iv) Public and Private Warrants.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41"/>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right"/>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2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68,640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(5,560)</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4(A)</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63,080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33,055</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33,122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(including related parties of $0)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4,221</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(49,915)</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90,660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 AND STOCKHOLDERS’ DEFICIT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4(E)</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(2,692)</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(2,164)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(15,977)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notes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4(Q)</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BurTech</w:t>
            </w:r>
          </w:p>
        </w:tc>
        <w:tc>
          <w:tcPr>
            <w:tcW w:w="100" w:type="dxa"/>
            <w:vAlign w:val="bottom"/>
          </w:tcPr>
          <w:p>
            <w:pPr>
              <w:spacing w:after="0"/>
              <w:rPr>
                <w:sz w:val="10"/>
                <w:szCs w:val="10"/>
                <w:color w:val="auto"/>
              </w:rPr>
            </w:pPr>
          </w:p>
        </w:tc>
        <w:tc>
          <w:tcPr>
            <w:tcW w:w="70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Material</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80" w:type="dxa"/>
            <w:vAlign w:val="bottom"/>
            <w:gridSpan w:val="2"/>
          </w:tcPr>
          <w:p>
            <w:pPr>
              <w:jc w:val="center"/>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4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Event</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8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2"/>
            <w:vMerge w:val="continue"/>
          </w:tcPr>
          <w:p>
            <w:pPr>
              <w:spacing w:after="0"/>
              <w:rPr>
                <w:sz w:val="15"/>
                <w:szCs w:val="15"/>
                <w:color w:val="auto"/>
              </w:rPr>
            </w:pPr>
          </w:p>
        </w:tc>
        <w:tc>
          <w:tcPr>
            <w:tcW w:w="1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20" w:type="dxa"/>
            <w:vAlign w:val="bottom"/>
            <w:gridSpan w:val="2"/>
            <w:vMerge w:val="continue"/>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shares liability</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87,777</w:t>
            </w:r>
          </w:p>
        </w:tc>
        <w:tc>
          <w:tcPr>
            <w:tcW w:w="8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4(H)</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4(I)</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148,551</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(148,551)</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4(G)</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4(J)</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(8,563)</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(93,352)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115,781</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Commitments and contingencies Convertible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173,347</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(173,347)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4(K)</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49,495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(49,495)</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4(L)</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BurTech Acquisition Corp. Class A Ordinary</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 4(M)</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BurTech Acquisition Corp. Class B Ordinary</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Holdings, Inc. common stock</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4(N)</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142,618</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622,527</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4(O)</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765,145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(422,559)</w:t>
            </w: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8,563</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3(A)</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(324,610)</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4(P)</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(758,436)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(279,941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(19,829)</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297,926</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90,660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50,108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(18,268)</w:t>
            </w: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$ 122,500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2023 (in thousands, except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BurTech</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80" w:type="dxa"/>
            <w:vAlign w:val="bottom"/>
            <w:gridSpan w:val="3"/>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080" w:type="dxa"/>
            <w:vAlign w:val="bottom"/>
            <w:gridSpan w:val="3"/>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940" w:type="dxa"/>
            <w:vAlign w:val="bottom"/>
            <w:gridSpan w:val="3"/>
            <w:vMerge w:val="continue"/>
          </w:tcPr>
          <w:p>
            <w:pPr>
              <w:spacing w:after="0"/>
              <w:rPr>
                <w:sz w:val="15"/>
                <w:szCs w:val="15"/>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$3,840)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7,162</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25,277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3,385</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6,754</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5(A)</w:t>
            </w: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27,442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12,596</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5(B)</w:t>
            </w: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12,701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(38,528)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(3,385)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(26,512)</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2023 convertible notes</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Gain on foreign exchange transactions</w:t>
            </w:r>
          </w:p>
        </w:tc>
        <w:tc>
          <w:tcPr>
            <w:tcW w:w="8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(237,402)</w:t>
            </w:r>
          </w:p>
        </w:tc>
        <w:tc>
          <w:tcPr>
            <w:tcW w:w="94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(246,934)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(89,549)</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5,752</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(5,752)</w:t>
            </w:r>
          </w:p>
        </w:tc>
        <w:tc>
          <w:tcPr>
            <w:tcW w:w="9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5(E)</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5,752</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(332,703)</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5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1,028</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(359,215)</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(445,465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9"/>
              </w:rPr>
              <w:t>4,213,244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21,453,551</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center"/>
              <w:ind w:left="413"/>
              <w:spacing w:after="0"/>
              <w:rPr>
                <w:sz w:val="20"/>
                <w:szCs w:val="20"/>
                <w:color w:val="auto"/>
              </w:rPr>
            </w:pPr>
            <w:r>
              <w:rPr>
                <w:rFonts w:ascii="Times New Roman" w:cs="Times New Roman" w:eastAsia="Times New Roman" w:hAnsi="Times New Roman"/>
                <w:sz w:val="18"/>
                <w:szCs w:val="18"/>
                <w:color w:val="auto"/>
                <w:w w:val="95"/>
              </w:rPr>
              <w:t>0.06</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 SEPTEMBER 30, 2024 (in thousands, except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BurTech</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1"/>
              <w:spacing w:after="0"/>
              <w:rPr>
                <w:sz w:val="20"/>
                <w:szCs w:val="20"/>
                <w:color w:val="auto"/>
              </w:rPr>
            </w:pPr>
            <w:r>
              <w:rPr>
                <w:rFonts w:ascii="Times New Roman" w:cs="Times New Roman" w:eastAsia="Times New Roman" w:hAnsi="Times New Roman"/>
                <w:sz w:val="14"/>
                <w:szCs w:val="14"/>
                <w:b w:val="1"/>
                <w:bCs w:val="1"/>
                <w:color w:val="auto"/>
              </w:rPr>
              <w:t>Blaize, Inc.</w:t>
            </w: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6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Corp.</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gridSpan w:val="3"/>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0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2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940" w:type="dxa"/>
            <w:vAlign w:val="bottom"/>
            <w:gridSpan w:val="3"/>
            <w:vMerge w:val="continue"/>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related party revenue of $1,525)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6,862</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22,627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5,273</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22,337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12,135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46,854</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(25,921)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25,921</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6(B)</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(1,255)</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447</w:t>
            </w:r>
          </w:p>
        </w:tc>
        <w:tc>
          <w:tcPr>
            <w:tcW w:w="94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earned on Trust Account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(1,892)</w:t>
            </w:r>
          </w:p>
        </w:tc>
        <w:tc>
          <w:tcPr>
            <w:tcW w:w="9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6(D)</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23,221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96"/>
              </w:rPr>
              <w:t>17,466,606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15,162,663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101,588,967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560" w:firstLine="1578"/>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Note 1 — Basis of Presentation</w:t>
      </w:r>
    </w:p>
    <w:p>
      <w:pPr>
        <w:spacing w:after="0" w:line="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merger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Blaize as of September 30, 2024 assumes that the transactions occurred on September 30, 2024. The unaudited pro forma condensed combined statement of operations of Blaize for the year ended December 31, 2023 and for the nine months ended September 30, 2024 presents pro forma effect to the transactions as if it had been completed on January 1, 2023.</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2024 and unaudited pro forma condensed combined statement of operations for the nine months ended September 30, 2024 has been prepared using, and should be read in conjunction with,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BurTech for the three and nine months ended September 30, 2024 and the related notes, included elsewhere in this prospectus;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Blaize for the three and nine months ended September 30, 2024 and the related notes, included elsewhere in this prospectus.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2023 has been prepared using, and should be read in conjunction with,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BurTech for the year ended December 31, 2023 and the related notes, included elsewhere in this prospectus;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Blaize for the year ended December 31, 2023 and the related notes, included elsewhere in this prospectus.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other material transactions and has been prepared for informational purposes only.</w:t>
      </w:r>
    </w:p>
    <w:p>
      <w:pPr>
        <w:spacing w:after="0" w:line="162" w:lineRule="exact"/>
        <w:rPr>
          <w:sz w:val="20"/>
          <w:szCs w:val="20"/>
          <w:color w:val="auto"/>
        </w:rPr>
      </w:pPr>
    </w:p>
    <w:p>
      <w:pPr>
        <w:ind w:left="120" w:right="220" w:firstLine="440"/>
        <w:spacing w:after="0" w:line="274"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pro forma condensed combined provision for income taxes does not necessarily reflect the amounts that would have resulted had Blaize filed consolidated income tax returns during the periods presented.</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amounts presented in the unaudited pro forma condensed combined statements of operations are based upon the number of Blaize shares outstanding, assuming the Business Combination occurred on January 1, 2023.</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Accounting Policies and In-Process Accounting Analysis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w:t>
      </w:r>
    </w:p>
    <w:p>
      <w:pPr>
        <w:spacing w:after="0" w:line="94" w:lineRule="exact"/>
        <w:rPr>
          <w:sz w:val="20"/>
          <w:szCs w:val="20"/>
          <w:color w:val="auto"/>
        </w:rPr>
      </w:pPr>
    </w:p>
    <w:p>
      <w:pPr>
        <w:ind w:left="1080" w:right="3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480 — Distinguishing Liabilities from Equity — if the instrument is treated as a liability, it will be recognized at fair value upon issuance and each reporting period with changes in fair value recognized in income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9"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w:t>
      </w:r>
    </w:p>
    <w:p>
      <w:pPr>
        <w:spacing w:after="0" w:line="15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has not yet completed a valuation to determine the fair value of the instrument and results of the accounting may be material to the post-combination entity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Adjustments to Unaudited Pro Forma Condensed Combined Financial Information for Other Material Events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Subsequent to September 30, 2024, BurTech has had certain events occur, or that were probable of occurring, that are considered material to investors.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BurTech Material Event Adjustments </w:t>
      </w:r>
      <w:r>
        <w:rPr>
          <w:rFonts w:ascii="Times New Roman" w:cs="Times New Roman" w:eastAsia="Times New Roman" w:hAnsi="Times New Roman"/>
          <w:sz w:val="18"/>
          <w:szCs w:val="18"/>
          <w:color w:val="auto"/>
        </w:rPr>
        <w:t>— BurTech adjustments include:</w:t>
      </w:r>
    </w:p>
    <w:p>
      <w:pPr>
        <w:spacing w:after="0" w:line="133" w:lineRule="exact"/>
        <w:rPr>
          <w:sz w:val="20"/>
          <w:szCs w:val="20"/>
          <w:color w:val="auto"/>
        </w:rPr>
      </w:pPr>
    </w:p>
    <w:p>
      <w:pPr>
        <w:ind w:left="1080" w:right="60" w:hanging="532"/>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 to Unaudited Pro Forma Condensed Combined Balance Sheet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pro forma Blaize and Transaction Accounting Adjustments, based on preliminary estimates that could change materially as additional information is obtained, are as follows:</w:t>
      </w:r>
    </w:p>
    <w:p>
      <w:pPr>
        <w:spacing w:after="0" w:line="65" w:lineRule="exact"/>
        <w:rPr>
          <w:sz w:val="20"/>
          <w:szCs w:val="20"/>
          <w:color w:val="auto"/>
        </w:rPr>
      </w:pPr>
    </w:p>
    <w:p>
      <w:pPr>
        <w:ind w:left="1080" w:right="40" w:hanging="532"/>
        <w:spacing w:after="0" w:line="284"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Reflects the Transaction Accounting Adjustments impact of the Business Combination on the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balance of Blaize. The table below summarizes the pro forma adjustments as follows: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6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funds held in the Trust Account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36,278</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costs and other costs</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4(A)(ii)</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(19,022)</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BurTech related party notes and advance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4(A)(iii)</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(3,664)</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underwriting fee payable</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4(A)(iv)</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PIPE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4(A)(v)</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15,403</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restricted cash</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4(A)(vi)</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(33,055)</w:t>
            </w: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Cash and cash equivalents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line="258"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release of $36.3 million of funds held in the Trust Account upon the Closing of the Business Combination subsequent to redemptions. After giving effect to the $33.1 million reclassification of funds to restricted cash pursuant to Note 4(R), </w:t>
      </w:r>
      <w:r>
        <w:rPr>
          <w:rFonts w:ascii="Times New Roman" w:cs="Times New Roman" w:eastAsia="Times New Roman" w:hAnsi="Times New Roman"/>
          <w:sz w:val="18"/>
          <w:szCs w:val="18"/>
          <w:i w:val="1"/>
          <w:i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remaining funds will be made available for the ongoing operations of Blaize as cash and cash equivalents.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for the corresponding pro forma adjusting entries for the decrease of funds held in the Trust Account.</w:t>
      </w:r>
    </w:p>
    <w:p>
      <w:pPr>
        <w:spacing w:after="0" w:line="88"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$19.0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w:t>
      </w:r>
    </w:p>
    <w:p>
      <w:pPr>
        <w:spacing w:after="0" w:line="67" w:lineRule="exact"/>
        <w:rPr>
          <w:rFonts w:ascii="Times New Roman" w:cs="Times New Roman" w:eastAsia="Times New Roman" w:hAnsi="Times New Roman"/>
          <w:sz w:val="18"/>
          <w:szCs w:val="18"/>
          <w:color w:val="auto"/>
        </w:rPr>
      </w:pPr>
    </w:p>
    <w:p>
      <w:pPr>
        <w:ind w:left="15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$19.0 million estimated transaction costs, approximately $11.4 million are incurred by BurTech. $2.3 million of BurTech’s total $11.4 million transaction costs were included on BurTech’s historical balance sheet as of September 30, 2024 as a component of BurTech’s accrued expenses and other current liabilities balance. See Note 4(E), </w:t>
      </w:r>
      <w:r>
        <w:rPr>
          <w:rFonts w:ascii="Times New Roman" w:cs="Times New Roman" w:eastAsia="Times New Roman" w:hAnsi="Times New Roman"/>
          <w:sz w:val="18"/>
          <w:szCs w:val="18"/>
          <w:i w:val="1"/>
          <w:iCs w:val="1"/>
          <w:color w:val="auto"/>
        </w:rPr>
        <w:t>Accounts payable and accrued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the corresponding pro forma adjusting entries. The approximate remaining amount of $9.1 million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costs incurred by BurTech. These amounts exclude the $1.5 million of BurTech’s transaction costs relating to the deferred underwriting fees described in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4(J), </w:t>
      </w:r>
      <w:r>
        <w:rPr>
          <w:rFonts w:ascii="Times New Roman" w:cs="Times New Roman" w:eastAsia="Times New Roman" w:hAnsi="Times New Roman"/>
          <w:sz w:val="18"/>
          <w:szCs w:val="18"/>
          <w:i w:val="1"/>
          <w:iCs w:val="1"/>
          <w:color w:val="auto"/>
        </w:rPr>
        <w:t>Deferred 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40"/>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30, 2024, $0.9 million of Blaize’s total $7.6 million in expected transaction costs were accrued on the historical balance sheet of Blaize as a component of Blaize’s accounts payable and accrued expense balances. See Note 4(E),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payable and accrued and other current liabilities</w:t>
      </w:r>
      <w:r>
        <w:rPr>
          <w:rFonts w:ascii="Times New Roman" w:cs="Times New Roman" w:eastAsia="Times New Roman" w:hAnsi="Times New Roman"/>
          <w:sz w:val="18"/>
          <w:szCs w:val="18"/>
          <w:color w:val="auto"/>
        </w:rPr>
        <w:t>, for the corresponding pro forma adjusting entries. The approximate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$6.7 million consists of transaction costs incurred by Blaize (see Note 4(O)(i)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and Note 4(P) (ii),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$5.6 million and $1.1 million change to Blaize’s additional paid-in capital and accumulated deficit balances).</w:t>
      </w:r>
    </w:p>
    <w:p>
      <w:pPr>
        <w:spacing w:after="0" w:line="93" w:lineRule="exact"/>
        <w:rPr>
          <w:sz w:val="20"/>
          <w:szCs w:val="20"/>
          <w:color w:val="auto"/>
        </w:rPr>
      </w:pPr>
    </w:p>
    <w:p>
      <w:pPr>
        <w:ind w:left="1540" w:right="280" w:hanging="439"/>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settlement of certain convertible working capital loans from the Sponsor to BurTech in the amount of $1.5 million and the settlement of advance from the Sponsor to BurTech in the amount $2.2 million. The convertible promissory notes were settled in cash, rather than converted to Blaize equity.</w:t>
      </w:r>
    </w:p>
    <w:p>
      <w:pPr>
        <w:spacing w:after="0" w:line="81"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payment of deferred underwriting commissions incurred during BurTech’s IPO, which was settled in cash, in the amount of $1.5 million. See Note 4(J), </w:t>
      </w:r>
      <w:r>
        <w:rPr>
          <w:rFonts w:ascii="Times New Roman" w:cs="Times New Roman" w:eastAsia="Times New Roman" w:hAnsi="Times New Roman"/>
          <w:sz w:val="18"/>
          <w:szCs w:val="18"/>
          <w:i w:val="1"/>
          <w:iCs w:val="1"/>
          <w:color w:val="auto"/>
        </w:rPr>
        <w:t>Deferred underwriting commissions</w:t>
      </w:r>
      <w:r>
        <w:rPr>
          <w:rFonts w:ascii="Times New Roman" w:cs="Times New Roman" w:eastAsia="Times New Roman" w:hAnsi="Times New Roman"/>
          <w:sz w:val="18"/>
          <w:szCs w:val="18"/>
          <w:color w:val="auto"/>
        </w:rPr>
        <w:t>, for the corresponding pro forma adjusting entries.</w:t>
      </w:r>
    </w:p>
    <w:p>
      <w:pPr>
        <w:spacing w:after="0" w:line="67"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proceeds of $15.4 million from the issuance and sale of 1.5 million shares of Blaize common stock, with a per share par value of $0.0001, at $10.00 per share pursuant to the PIPE Investment. See Note 4(O)(x),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60" w:hanging="439"/>
        <w:spacing w:after="0" w:line="261"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for the corresponding pro forma adjusting entries.</w:t>
      </w:r>
    </w:p>
    <w:p>
      <w:pPr>
        <w:spacing w:after="0" w:line="83" w:lineRule="exact"/>
        <w:rPr>
          <w:rFonts w:ascii="Times New Roman" w:cs="Times New Roman" w:eastAsia="Times New Roman" w:hAnsi="Times New Roman"/>
          <w:sz w:val="18"/>
          <w:szCs w:val="18"/>
          <w:color w:val="auto"/>
        </w:rPr>
      </w:pPr>
    </w:p>
    <w:p>
      <w:pPr>
        <w:ind w:left="1080" w:right="40" w:hanging="532"/>
        <w:spacing w:after="0" w:line="28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Receivable and payable reflects the amount due to be reimbursed to the Trust Account from the Sponsor.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assumes settlement of these amounts upon execution of the Business Combination and settlement of the Trust Account.</w:t>
      </w:r>
    </w:p>
    <w:p>
      <w:pPr>
        <w:spacing w:after="0" w:line="63" w:lineRule="exact"/>
        <w:rPr>
          <w:rFonts w:ascii="Times New Roman" w:cs="Times New Roman" w:eastAsia="Times New Roman" w:hAnsi="Times New Roman"/>
          <w:sz w:val="18"/>
          <w:szCs w:val="18"/>
          <w:color w:val="auto"/>
        </w:rPr>
      </w:pPr>
    </w:p>
    <w:p>
      <w:pPr>
        <w:ind w:left="1080" w:right="200" w:hanging="532"/>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Prepaid expenses and other current assets — </w:t>
      </w:r>
      <w:r>
        <w:rPr>
          <w:rFonts w:ascii="Times New Roman" w:cs="Times New Roman" w:eastAsia="Times New Roman" w:hAnsi="Times New Roman"/>
          <w:sz w:val="18"/>
          <w:szCs w:val="18"/>
          <w:color w:val="auto"/>
        </w:rPr>
        <w:t>Reflects (i) the reclassification of $4.5 million of transaction costs incurred by Blaize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conjunction with the Business Combination and which are capitalized within Blaize’s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Additionally, reflects the (ii) $8.8 million note receivable related to the Sponsor Note for which the Company issued 750 thousand shares of Blaize common stock pursuant to the Sponsor Note Issuance. See Note 4(O)(ii) and (x),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080" w:right="160" w:hanging="532"/>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held in the Trust Account — </w:t>
      </w:r>
      <w:r>
        <w:rPr>
          <w:rFonts w:ascii="Times New Roman" w:cs="Times New Roman" w:eastAsia="Times New Roman" w:hAnsi="Times New Roman"/>
          <w:sz w:val="18"/>
          <w:szCs w:val="18"/>
          <w:color w:val="auto"/>
        </w:rPr>
        <w:t>Represents the reclassification of $36.3 million of funds associated with the Investments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Trust Account that become available at the Closing of the Business Combination after giving effect to the impact of redemptions of BurTech’s Class A Redeemable Common Stock amounting to $13.6 million. See Note 4(A)(i),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4(L), </w:t>
      </w:r>
      <w:r>
        <w:rPr>
          <w:rFonts w:ascii="Times New Roman" w:cs="Times New Roman" w:eastAsia="Times New Roman" w:hAnsi="Times New Roman"/>
          <w:sz w:val="18"/>
          <w:szCs w:val="18"/>
          <w:i w:val="1"/>
          <w:iCs w:val="1"/>
          <w:color w:val="auto"/>
        </w:rPr>
        <w:t xml:space="preserve">Class A Common Stock subject to redemption </w:t>
      </w:r>
      <w:r>
        <w:rPr>
          <w:rFonts w:ascii="Times New Roman" w:cs="Times New Roman" w:eastAsia="Times New Roman" w:hAnsi="Times New Roman"/>
          <w:sz w:val="18"/>
          <w:szCs w:val="18"/>
          <w:color w:val="auto"/>
        </w:rPr>
        <w:t>and 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Accounts payable and accrued and other current liabilities </w:t>
      </w:r>
      <w:r>
        <w:rPr>
          <w:rFonts w:ascii="Times New Roman" w:cs="Times New Roman" w:eastAsia="Times New Roman" w:hAnsi="Times New Roman"/>
          <w:sz w:val="18"/>
          <w:szCs w:val="18"/>
          <w:color w:val="auto"/>
        </w:rPr>
        <w:t>— Reflects the payment of $2.3 million of nonrecurring transaction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by BurTech for legal services settled prior to, or upon, the Closing of the Business Combination. Additionally, reflects the payment of $0.9 million of nonrecurring transaction costs incurred by Blaize for financial advisory, legal, and other professional services settled prior to, or upon, the Closing of the Business Combination. See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2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advances and working capital loans </w:t>
      </w:r>
      <w:r>
        <w:rPr>
          <w:rFonts w:ascii="Times New Roman" w:cs="Times New Roman" w:eastAsia="Times New Roman" w:hAnsi="Times New Roman"/>
          <w:sz w:val="18"/>
          <w:szCs w:val="18"/>
          <w:color w:val="auto"/>
        </w:rPr>
        <w:t>— Represents the settlement of certain convertible working capital loans from the Sponsor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BurTech in the amount of $1.5 million and the settlement of advance from the Sponsor to BurTech in the amount $2.2 million. The convertible promissory notes were settled in cash, rather than converted to BurTech equity, and paid off with funds from the Merger. See Note 4(A)(iii),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5"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 Immediately prior to the closing of the Business Combination, all outstanding amounts of the convertible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$246.9 million. See Note 4(P)(iii)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for corresponding pro forma entries. The remeasured value of $411.5 million was reclassified into additional paid in capital, see Note 4(O)(iii)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w:t>
      </w:r>
    </w:p>
    <w:p>
      <w:pPr>
        <w:spacing w:after="0" w:line="90" w:lineRule="exact"/>
        <w:rPr>
          <w:rFonts w:ascii="Times New Roman" w:cs="Times New Roman" w:eastAsia="Times New Roman" w:hAnsi="Times New Roman"/>
          <w:sz w:val="18"/>
          <w:szCs w:val="18"/>
          <w:color w:val="auto"/>
        </w:rPr>
      </w:pPr>
    </w:p>
    <w:p>
      <w:pPr>
        <w:ind w:left="1080" w:right="280" w:hanging="532"/>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Earnout shares liability </w:t>
      </w:r>
      <w:r>
        <w:rPr>
          <w:rFonts w:ascii="Times New Roman" w:cs="Times New Roman" w:eastAsia="Times New Roman" w:hAnsi="Times New Roman"/>
          <w:sz w:val="18"/>
          <w:szCs w:val="18"/>
          <w:color w:val="auto"/>
        </w:rPr>
        <w:t>— Reflects the preliminary estimated fair value of liability classified Blaize Equityholders’ Earnout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$87.8 million as of September 30, 2024, with a corresponding decrease of $87.8 million to additional paid-in capital. See Note 4(O)(iv)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corresponding pro forma entries. For further information on the earnout shares, see Note 7.</w:t>
      </w:r>
    </w:p>
    <w:p>
      <w:pPr>
        <w:spacing w:after="0" w:line="78"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 liabilities </w:t>
      </w:r>
      <w:r>
        <w:rPr>
          <w:rFonts w:ascii="Times New Roman" w:cs="Times New Roman" w:eastAsia="Times New Roman" w:hAnsi="Times New Roman"/>
          <w:sz w:val="18"/>
          <w:szCs w:val="18"/>
          <w:color w:val="auto"/>
        </w:rPr>
        <w:t>— Immediately prior to the Effective Time, the outstanding Blaize warrants were automatically net exercised in full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Blaize Common Stock or such warrants expired. Pro forma adjustment reflects (i) the final remeasurement to fair value of $90.5 million and (ii) the elimination of a liability of $98.2 million associated with such warrant liabilities which 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paid-in capital, </w:t>
      </w:r>
      <w:r>
        <w:rPr>
          <w:rFonts w:ascii="Times New Roman" w:cs="Times New Roman" w:eastAsia="Times New Roman" w:hAnsi="Times New Roman"/>
          <w:sz w:val="18"/>
          <w:szCs w:val="18"/>
          <w:color w:val="auto"/>
        </w:rPr>
        <w:t>and Note 4(P)(iv),</w:t>
      </w:r>
      <w:r>
        <w:rPr>
          <w:rFonts w:ascii="Times New Roman" w:cs="Times New Roman" w:eastAsia="Times New Roman" w:hAnsi="Times New Roman"/>
          <w:sz w:val="18"/>
          <w:szCs w:val="18"/>
          <w:i w:val="1"/>
          <w:iCs w:val="1"/>
          <w:color w:val="auto"/>
        </w:rPr>
        <w:t xml:space="preserve"> Accumulated deficit</w:t>
      </w:r>
      <w:r>
        <w:rPr>
          <w:rFonts w:ascii="Times New Roman" w:cs="Times New Roman" w:eastAsia="Times New Roman" w:hAnsi="Times New Roman"/>
          <w:sz w:val="18"/>
          <w:szCs w:val="18"/>
          <w:color w:val="auto"/>
        </w:rPr>
        <w:t>, for the corresponding pro forma adjusting entries.</w:t>
      </w:r>
    </w:p>
    <w:p>
      <w:pPr>
        <w:spacing w:after="0" w:line="87" w:lineRule="exact"/>
        <w:rPr>
          <w:rFonts w:ascii="Times New Roman" w:cs="Times New Roman" w:eastAsia="Times New Roman" w:hAnsi="Times New Roman"/>
          <w:sz w:val="18"/>
          <w:szCs w:val="18"/>
          <w:color w:val="auto"/>
        </w:rPr>
      </w:pPr>
    </w:p>
    <w:p>
      <w:pPr>
        <w:ind w:left="1080" w:right="60" w:hanging="532"/>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underwriting commissions </w:t>
      </w:r>
      <w:r>
        <w:rPr>
          <w:rFonts w:ascii="Times New Roman" w:cs="Times New Roman" w:eastAsia="Times New Roman" w:hAnsi="Times New Roman"/>
          <w:sz w:val="18"/>
          <w:szCs w:val="18"/>
          <w:color w:val="auto"/>
        </w:rPr>
        <w:t>— Reflects the settlement of BurTech’s $1.5 million deferred underwriting commissions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of the Business Combination from the funds held in the Trust Account. Refer to Note 4(A)(iv),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1080" w:right="340" w:hanging="532"/>
        <w:spacing w:after="0" w:line="267"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Convertible preferred stock </w:t>
      </w:r>
      <w:r>
        <w:rPr>
          <w:rFonts w:ascii="Times New Roman" w:cs="Times New Roman" w:eastAsia="Times New Roman" w:hAnsi="Times New Roman"/>
          <w:sz w:val="18"/>
          <w:szCs w:val="18"/>
          <w:color w:val="auto"/>
        </w:rPr>
        <w:t>— Represents the conversion of 44,494,703 shares of Blaize Redeemable Convertible Preferred Stock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44,494,703 shares of Common Stock, immediately prior to the Closing of the Business Combination as part of the Blaize Security Conversion event, resulting in the reclassification of $173.3 million from mezzanine equity to permanent equity.</w:t>
      </w:r>
    </w:p>
    <w:p>
      <w:pPr>
        <w:spacing w:after="0" w:line="7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 A Common Stock subject to redemption — </w:t>
      </w:r>
      <w:r>
        <w:rPr>
          <w:rFonts w:ascii="Times New Roman" w:cs="Times New Roman" w:eastAsia="Times New Roman" w:hAnsi="Times New Roman"/>
          <w:sz w:val="18"/>
          <w:szCs w:val="18"/>
          <w:color w:val="auto"/>
        </w:rPr>
        <w:t>Represents the reclassification of $35.9 million of BurTech’s Redeemable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which was not redeemed, from temporary equity (mezzanine) to permanent equity of Blaize after giving effect to the redemption of 1,178,964 public shares. The redemptions were paid with funds from the trust account, amounting to $13.6 million. Refer to Note 4(D), </w:t>
      </w:r>
      <w:r>
        <w:rPr>
          <w:rFonts w:ascii="Times New Roman" w:cs="Times New Roman" w:eastAsia="Times New Roman" w:hAnsi="Times New Roman"/>
          <w:sz w:val="18"/>
          <w:szCs w:val="18"/>
          <w:i w:val="1"/>
          <w:iCs w:val="1"/>
          <w:color w:val="auto"/>
        </w:rPr>
        <w:t>Investments held in the Trust Account,</w:t>
      </w:r>
      <w:r>
        <w:rPr>
          <w:rFonts w:ascii="Times New Roman" w:cs="Times New Roman" w:eastAsia="Times New Roman" w:hAnsi="Times New Roman"/>
          <w:sz w:val="18"/>
          <w:szCs w:val="18"/>
          <w:color w:val="auto"/>
        </w:rPr>
        <w:t xml:space="preserve"> and Note 4(O)(vii),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080" w:right="580" w:hanging="532"/>
        <w:spacing w:after="0" w:line="28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BurTech Acquisition Corp. Class A Ordinary Shares — </w:t>
      </w:r>
      <w:r>
        <w:rPr>
          <w:rFonts w:ascii="Times New Roman" w:cs="Times New Roman" w:eastAsia="Times New Roman" w:hAnsi="Times New Roman"/>
          <w:sz w:val="18"/>
          <w:szCs w:val="18"/>
          <w:color w:val="auto"/>
        </w:rPr>
        <w:t>Represents adjustment to reclassify the par value associated with BurTech’s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to the par value associated with Blaize.</w:t>
      </w:r>
    </w:p>
    <w:p>
      <w:pPr>
        <w:spacing w:after="0" w:line="63"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Blaize Common Stock </w:t>
      </w:r>
      <w:r>
        <w:rPr>
          <w:rFonts w:ascii="Times New Roman" w:cs="Times New Roman" w:eastAsia="Times New Roman" w:hAnsi="Times New Roman"/>
          <w:sz w:val="18"/>
          <w:szCs w:val="18"/>
          <w:color w:val="auto"/>
        </w:rPr>
        <w:t>— Represents the adjustment to establish the value of the common stock based on a par value of $0.0001 as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101,588,967 shares of Blaize outstanding at the Effective Time.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880" w:hanging="532"/>
        <w:spacing w:after="0" w:line="284"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paid-in capital — </w:t>
      </w:r>
      <w:r>
        <w:rPr>
          <w:rFonts w:ascii="Times New Roman" w:cs="Times New Roman" w:eastAsia="Times New Roman" w:hAnsi="Times New Roman"/>
          <w:sz w:val="18"/>
          <w:szCs w:val="18"/>
          <w:color w:val="auto"/>
        </w:rPr>
        <w:t>Represents the impact of the Business Combination on additional paid-in capital. The table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summarizes the pro forma adjustments as follows: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54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9"/>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Deferred Transaction Costs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4(O)(ii)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(4,533)</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Convertible Notes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4(O)(iii)</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411,462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liability classified Earnout Shares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4(O)(iv)</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(87,777)</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Blaize Warrants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4(O)(v)</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98,249</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Blaize Redeemable Convertible Preferred Stock</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4(O)(vi)</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173,338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of BurTech’s Redeemable Class A Common Stock</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4(O)(vii)</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35,858</w:t>
            </w:r>
          </w:p>
        </w:tc>
      </w:tr>
      <w:tr>
        <w:trPr>
          <w:trHeight w:val="198"/>
        </w:trPr>
        <w:tc>
          <w:tcPr>
            <w:tcW w:w="6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4(O)(viii)</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5,864</w:t>
            </w:r>
          </w:p>
        </w:tc>
      </w:tr>
      <w:tr>
        <w:trPr>
          <w:trHeight w:val="198"/>
        </w:trPr>
        <w:tc>
          <w:tcPr>
            <w:tcW w:w="6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(elimination)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4(O)(ix)</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(28,976)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PIPE Investment and Sponsor Note</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4(O)(x)</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24,157</w:t>
            </w: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of Derivative Liability</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4(O)(xi)</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Additional paid-in capital</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622,527</w:t>
            </w:r>
          </w:p>
        </w:tc>
      </w:tr>
      <w:tr>
        <w:trPr>
          <w:trHeight w:val="20"/>
        </w:trPr>
        <w:tc>
          <w:tcPr>
            <w:tcW w:w="7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right="320" w:hanging="439"/>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transaction costs of approximately $5.6 million incurred by Blaize related to financial advisory, legal, and other professional services, in connection with the Business Combination prior to the Closing. These costs are non-recurring in nature.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$4.5 million of transaction costs incurred by Blaize in conjunction with the Business Combination and which are capitalized within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Refer to Note 4(C), </w:t>
      </w:r>
      <w:r>
        <w:rPr>
          <w:rFonts w:ascii="Times New Roman" w:cs="Times New Roman" w:eastAsia="Times New Roman" w:hAnsi="Times New Roman"/>
          <w:sz w:val="18"/>
          <w:szCs w:val="18"/>
          <w:i w:val="1"/>
          <w:iCs w:val="1"/>
          <w:color w:val="auto"/>
        </w:rPr>
        <w:t>Prepaid expenses and 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for the corresponding pro forma adjusting entries.</w:t>
      </w:r>
    </w:p>
    <w:p>
      <w:pPr>
        <w:spacing w:after="0" w:line="88"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5" w:lineRule="exact"/>
        <w:rPr>
          <w:rFonts w:ascii="Times New Roman" w:cs="Times New Roman" w:eastAsia="Times New Roman" w:hAnsi="Times New Roman"/>
          <w:sz w:val="18"/>
          <w:szCs w:val="18"/>
          <w:color w:val="auto"/>
        </w:rPr>
      </w:pPr>
    </w:p>
    <w:p>
      <w:pPr>
        <w:ind w:left="1540" w:right="80" w:hanging="439"/>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preliminary estimated fair value of liability classified Blaize Equityholders’ Earnout Shares of $87.8 million as of September 30, 2024, with a corresponding recognition of $87.8 million Earnout Shares liability. Refer to Note 4(H),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for the corresponding pro forma adjusting entries and Note 7 for further information.</w:t>
      </w:r>
    </w:p>
    <w:p>
      <w:pPr>
        <w:spacing w:after="0" w:line="81"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pro forma adjusting entries. The warrant treatment assumes that certain warrants were out of the money at Closing Date remain unexercised and therefore expire.</w:t>
      </w:r>
    </w:p>
    <w:p>
      <w:pPr>
        <w:spacing w:after="0" w:line="85"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conversion of 44,494,703 shares of Blaize Redeemable Convertible Preferred Stock into 44,494,703 shares of Blaize Common Stock, immediately prior to the Closing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40"/>
        <w:spacing w:after="0" w:line="266" w:lineRule="auto"/>
        <w:rPr>
          <w:sz w:val="20"/>
          <w:szCs w:val="20"/>
          <w:color w:val="auto"/>
        </w:rPr>
      </w:pPr>
      <w:r>
        <w:rPr>
          <w:rFonts w:ascii="Times New Roman" w:cs="Times New Roman" w:eastAsia="Times New Roman" w:hAnsi="Times New Roman"/>
          <w:sz w:val="18"/>
          <w:szCs w:val="18"/>
          <w:color w:val="auto"/>
        </w:rPr>
        <w:t xml:space="preserve">Business Combination as part of the Blaize Security Conversion event, resulting in the reclassification of $173.3 million from mezzanine equity to permanent equity. Refer to Note 4(K),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the corresponding pro forma adjusting entries.</w:t>
      </w:r>
    </w:p>
    <w:p>
      <w:pPr>
        <w:spacing w:after="0" w:line="81" w:lineRule="exact"/>
        <w:rPr>
          <w:sz w:val="20"/>
          <w:szCs w:val="20"/>
          <w:color w:val="auto"/>
        </w:rPr>
      </w:pPr>
    </w:p>
    <w:p>
      <w:pPr>
        <w:jc w:val="both"/>
        <w:ind w:left="1540" w:right="76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reclassification of $35.9 million of BurTech’s Redeemable Class A Common Stock from temporary equity (mezzanine) to permanent equity after giving effect to redemptions Refer to Note 4(L), </w:t>
      </w:r>
      <w:r>
        <w:rPr>
          <w:rFonts w:ascii="Times New Roman" w:cs="Times New Roman" w:eastAsia="Times New Roman" w:hAnsi="Times New Roman"/>
          <w:sz w:val="18"/>
          <w:szCs w:val="18"/>
          <w:i w:val="1"/>
          <w:iCs w:val="1"/>
          <w:color w:val="auto"/>
        </w:rPr>
        <w:t>Class A Common Stock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22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$5.9 million of stock-based compensation expense associated with Blaize performance-based equity awards that have a portion that are immediately vested upon the successful completion of a Business Combination. Refer to Note 4(P)(v),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for the corresponding pro forma adjusting entries.</w:t>
      </w:r>
    </w:p>
    <w:p>
      <w:pPr>
        <w:spacing w:after="0" w:line="81" w:lineRule="exact"/>
        <w:rPr>
          <w:rFonts w:ascii="Times New Roman" w:cs="Times New Roman" w:eastAsia="Times New Roman" w:hAnsi="Times New Roman"/>
          <w:sz w:val="18"/>
          <w:szCs w:val="18"/>
          <w:color w:val="auto"/>
        </w:rPr>
      </w:pPr>
    </w:p>
    <w:p>
      <w:pPr>
        <w:ind w:left="1540" w:right="20" w:hanging="439"/>
        <w:spacing w:after="0" w:line="261"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$29.0 million elimination of BurTech’s historical accumulated deficit as part of the reverse recapitalization at the Closing of the Business Combination, after giving effect to the $9.1 million of transaction costs expected to be incurred by BurTech related to the Business Combination (as described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4(P)(vi), </w:t>
      </w:r>
      <w:r>
        <w:rPr>
          <w:rFonts w:ascii="Times New Roman" w:cs="Times New Roman" w:eastAsia="Times New Roman" w:hAnsi="Times New Roman"/>
          <w:sz w:val="18"/>
          <w:szCs w:val="18"/>
          <w:i w:val="1"/>
          <w:iCs w:val="1"/>
          <w:color w:val="auto"/>
        </w:rPr>
        <w:t>Accumulated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Note 4(C),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assets </w:t>
      </w:r>
      <w:r>
        <w:rPr>
          <w:rFonts w:ascii="Times New Roman" w:cs="Times New Roman" w:eastAsia="Times New Roman" w:hAnsi="Times New Roman"/>
          <w:sz w:val="18"/>
          <w:szCs w:val="18"/>
          <w:color w:val="auto"/>
        </w:rPr>
        <w:t>for the corresponding pro forma adjusting entries.</w:t>
      </w:r>
    </w:p>
    <w:p>
      <w:pPr>
        <w:spacing w:after="0" w:line="85" w:lineRule="exact"/>
        <w:rPr>
          <w:rFonts w:ascii="Times New Roman" w:cs="Times New Roman" w:eastAsia="Times New Roman" w:hAnsi="Times New Roman"/>
          <w:sz w:val="18"/>
          <w:szCs w:val="18"/>
          <w:color w:val="auto"/>
        </w:rPr>
      </w:pPr>
    </w:p>
    <w:p>
      <w:pPr>
        <w:ind w:left="1540" w:right="160" w:hanging="439"/>
        <w:spacing w:after="0" w:line="266" w:lineRule="auto"/>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reversal of the $0.4 million BurTech derivative liability related to the Backstop Agreement in connection with the consummation of the Business Combination. Refer to Note 4(Q), </w:t>
      </w:r>
      <w:r>
        <w:rPr>
          <w:rFonts w:ascii="Times New Roman" w:cs="Times New Roman" w:eastAsia="Times New Roman" w:hAnsi="Times New Roman"/>
          <w:sz w:val="18"/>
          <w:szCs w:val="18"/>
          <w:i w:val="1"/>
          <w:iCs w:val="1"/>
          <w:color w:val="auto"/>
        </w:rPr>
        <w:t>Derivative liability — Backstop Subscription Agreement</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Accumulated deficit — </w:t>
      </w:r>
      <w:r>
        <w:rPr>
          <w:rFonts w:ascii="Times New Roman" w:cs="Times New Roman" w:eastAsia="Times New Roman" w:hAnsi="Times New Roman"/>
          <w:sz w:val="18"/>
          <w:szCs w:val="18"/>
          <w:color w:val="auto"/>
        </w:rPr>
        <w:t>Represents the impact of the Business Combination on accumulated deficit. The table below reflects the pro forma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as follows: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560" w:type="dxa"/>
            <w:vAlign w:val="bottom"/>
            <w:vMerge w:val="restart"/>
          </w:tcPr>
          <w:p>
            <w:pPr>
              <w:spacing w:after="0"/>
              <w:rPr>
                <w:sz w:val="12"/>
                <w:szCs w:val="12"/>
                <w:color w:val="auto"/>
              </w:rPr>
            </w:pPr>
          </w:p>
        </w:tc>
        <w:tc>
          <w:tcPr>
            <w:tcW w:w="11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6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BurTech Transaction Expenses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4(P)(i)</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Blaize Transaction Expenses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4(P)(ii)</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Blaize Convertible Notes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4(P)(iii)</w:t>
            </w:r>
          </w:p>
        </w:tc>
        <w:tc>
          <w:tcPr>
            <w:tcW w:w="10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(246,934)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Warrants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4(P)(iv)</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(90,494)</w:t>
            </w: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Recognition of stock based compensation associated with performance condition</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4(P)(v)</w:t>
            </w:r>
          </w:p>
        </w:tc>
        <w:tc>
          <w:tcPr>
            <w:tcW w:w="10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BurTech’s accumulated deficit to additional paid-in capital</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and other charges</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4(P)(vi)</w:t>
            </w: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28,976</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Accumulated deficit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(324,610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540" w:hanging="439"/>
        <w:spacing w:after="0" w:line="284"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certain transaction related expenses incurred subsequent to September 30, 2024 by BurTech prior to the Closing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65" w:lineRule="exact"/>
        <w:rPr>
          <w:rFonts w:ascii="Times New Roman" w:cs="Times New Roman" w:eastAsia="Times New Roman" w:hAnsi="Times New Roman"/>
          <w:sz w:val="18"/>
          <w:szCs w:val="18"/>
          <w:color w:val="auto"/>
        </w:rPr>
      </w:pPr>
    </w:p>
    <w:p>
      <w:pPr>
        <w:ind w:left="1540" w:right="440" w:hanging="439"/>
        <w:spacing w:after="0" w:line="266"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455"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360"/>
        <w:spacing w:after="0" w:line="258" w:lineRule="auto"/>
        <w:rPr>
          <w:sz w:val="20"/>
          <w:szCs w:val="20"/>
          <w:color w:val="auto"/>
        </w:rPr>
      </w:pPr>
      <w:r>
        <w:rPr>
          <w:rFonts w:ascii="Times New Roman" w:cs="Times New Roman" w:eastAsia="Times New Roman" w:hAnsi="Times New Roman"/>
          <w:sz w:val="18"/>
          <w:szCs w:val="18"/>
          <w:color w:val="auto"/>
        </w:rPr>
        <w:t xml:space="preserve">relative fair value allocation compared to all financial instruments issued 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for the corresponding adjusting pro forma entries.</w:t>
      </w:r>
    </w:p>
    <w:p>
      <w:pPr>
        <w:spacing w:after="0" w:line="89" w:lineRule="exact"/>
        <w:rPr>
          <w:sz w:val="20"/>
          <w:szCs w:val="20"/>
          <w:color w:val="auto"/>
        </w:rPr>
      </w:pPr>
    </w:p>
    <w:p>
      <w:pPr>
        <w:ind w:left="154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final remeasurement of Blaize convertible notes which are accounted for under the fair value option, at the time of the Blaize Security Conversion resulting in an increase to accumulated deficit of $246.9 million. Refer to Note 4(G),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final remeasurement of Blaize liability classified warrants at the time of the Warrant Event, which results in a</w:t>
      </w:r>
    </w:p>
    <w:p>
      <w:pPr>
        <w:spacing w:after="0" w:line="27" w:lineRule="exact"/>
        <w:rPr>
          <w:rFonts w:ascii="Times New Roman" w:cs="Times New Roman" w:eastAsia="Times New Roman" w:hAnsi="Times New Roman"/>
          <w:sz w:val="18"/>
          <w:szCs w:val="18"/>
          <w:color w:val="auto"/>
        </w:rPr>
      </w:pPr>
    </w:p>
    <w:p>
      <w:pPr>
        <w:ind w:left="1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$90.5 million loss on remeasurement to mark the warrants to fair value. Adjustment includes the recognition of $5.3 million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the corresponding adjusting pro forma entries.</w:t>
      </w:r>
    </w:p>
    <w:p>
      <w:pPr>
        <w:spacing w:after="0" w:line="94" w:lineRule="exact"/>
        <w:rPr>
          <w:rFonts w:ascii="Times New Roman" w:cs="Times New Roman" w:eastAsia="Times New Roman" w:hAnsi="Times New Roman"/>
          <w:sz w:val="18"/>
          <w:szCs w:val="18"/>
          <w:color w:val="auto"/>
        </w:rPr>
      </w:pPr>
    </w:p>
    <w:p>
      <w:pPr>
        <w:ind w:left="1540" w:right="16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recognition of $5.9 million of stock-based compensation expense associated with Blaize performance-based equity awards that have a portion that are immediately vested upon the successful completion of the Business Combination. Refer to Note 4(O) (viii),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81" w:lineRule="exact"/>
        <w:rPr>
          <w:rFonts w:ascii="Times New Roman" w:cs="Times New Roman" w:eastAsia="Times New Roman" w:hAnsi="Times New Roman"/>
          <w:sz w:val="18"/>
          <w:szCs w:val="18"/>
          <w:color w:val="auto"/>
        </w:rPr>
      </w:pPr>
    </w:p>
    <w:p>
      <w:pPr>
        <w:ind w:left="1540" w:right="30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reclassification of BurTech’s historical accumulated deficit to additional paid-in capital in connection with the consummation of the Business Combination, inclusive of the $9.1 million discussed in Note 4(A)(ii),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Refer to Note 4(O)ix,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for the corresponding adjusting pro forma entries.</w:t>
      </w:r>
    </w:p>
    <w:p>
      <w:pPr>
        <w:spacing w:after="0" w:line="79" w:lineRule="exact"/>
        <w:rPr>
          <w:rFonts w:ascii="Times New Roman" w:cs="Times New Roman" w:eastAsia="Times New Roman" w:hAnsi="Times New Roman"/>
          <w:sz w:val="18"/>
          <w:szCs w:val="18"/>
          <w:color w:val="auto"/>
        </w:rPr>
      </w:pPr>
    </w:p>
    <w:p>
      <w:pPr>
        <w:ind w:left="1080" w:right="120" w:hanging="532"/>
        <w:spacing w:after="0" w:line="26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 liability — Backstop Subscription Agreement </w:t>
      </w:r>
      <w:r>
        <w:rPr>
          <w:rFonts w:ascii="Times New Roman" w:cs="Times New Roman" w:eastAsia="Times New Roman" w:hAnsi="Times New Roman"/>
          <w:sz w:val="18"/>
          <w:szCs w:val="18"/>
          <w:color w:val="auto"/>
        </w:rPr>
        <w:t>— Reflects the reversal of the $0.4 million BurTech derivative liability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Backstop Agreement in connection with the consummation of the Business Combination. Refer to Note 4(O)(xi), </w:t>
      </w:r>
      <w:r>
        <w:rPr>
          <w:rFonts w:ascii="Times New Roman" w:cs="Times New Roman" w:eastAsia="Times New Roman" w:hAnsi="Times New Roman"/>
          <w:sz w:val="18"/>
          <w:szCs w:val="18"/>
          <w:i w:val="1"/>
          <w:iCs w:val="1"/>
          <w:color w:val="auto"/>
        </w:rPr>
        <w:t>Additional paid-in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for the corresponding adjusting pro forma entries.</w:t>
      </w:r>
    </w:p>
    <w:p>
      <w:pPr>
        <w:spacing w:after="0" w:line="7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Amount represents the reclassification of $33.1 million from cash and cash equivalents to restricted cash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the corresponding pro forma adjusting entries.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Adjustments to Unaudited Pro Forma Condensed Combined Statement of Operations for the Year Ended December 31, 2023</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1080" w:right="3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assuming the Closing of the Business Combination occurred on January 1, 2023, with details of the effects on the impacted financial statement line items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2"/>
                <w:szCs w:val="12"/>
                <w:color w:val="auto"/>
              </w:rPr>
            </w:pPr>
          </w:p>
        </w:tc>
        <w:tc>
          <w:tcPr>
            <w:tcW w:w="12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600" w:type="dxa"/>
            <w:vAlign w:val="bottom"/>
            <w:gridSpan w:val="4"/>
          </w:tcPr>
          <w:p>
            <w:pPr>
              <w:jc w:val="center"/>
              <w:ind w:left="479"/>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89"/>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5(A)(i)</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upon achievement of performance</w:t>
            </w: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w:t>
            </w:r>
          </w:p>
        </w:tc>
        <w:tc>
          <w:tcPr>
            <w:tcW w:w="12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5(A)(ii)</w:t>
            </w: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7,162</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right="280" w:hanging="439"/>
        <w:spacing w:after="0" w:line="261"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7) recognized stock-based compensation for the year as an increase of $5.0 million to research and development expense and $6.5 million to selling, general and administrative expense.</w:t>
      </w:r>
    </w:p>
    <w:p>
      <w:pPr>
        <w:spacing w:after="0" w:line="85"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year as an increase of $2.1 million to research and development expense and $0.2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1080" w:right="60" w:hanging="532"/>
        <w:spacing w:after="0" w:line="274"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transaction expenses incurred by both BurTech and Blaize prior to Closing. Impact is calculated as (i) $11.5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w:t>
      </w:r>
    </w:p>
    <w:p>
      <w:pPr>
        <w:spacing w:after="0" w:line="78" w:lineRule="exact"/>
        <w:rPr>
          <w:rFonts w:ascii="Times New Roman" w:cs="Times New Roman" w:eastAsia="Times New Roman" w:hAnsi="Times New Roman"/>
          <w:sz w:val="17"/>
          <w:szCs w:val="17"/>
          <w:color w:val="auto"/>
        </w:rPr>
      </w:pPr>
    </w:p>
    <w:p>
      <w:pPr>
        <w:ind w:left="1080" w:right="40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elimination of $9.5 million of loss on changes in the fair value of Blaize’s convertible notes, which were accounted for under the fair value option during the year ended December 31, 2023, offset by (ii) the reflection of a final fair value measurement associated with all convertible notes, assuming the date of the closing is January 1, 2023, resulting in a loss on remeasurement of $246.9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532"/>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impacts to the pro forma statement of operations associated of the various warrants, the details of such effect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80" w:type="dxa"/>
            <w:vAlign w:val="bottom"/>
          </w:tcPr>
          <w:p>
            <w:pPr>
              <w:spacing w:after="0"/>
              <w:rPr>
                <w:sz w:val="16"/>
                <w:szCs w:val="16"/>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loss on changes in fair value of warrants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5(E)(i)</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remeasurement of warrants at time of Warrant Event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5(E)(ii)</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(90,494)</w:t>
            </w: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Warrants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(89,549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right="240" w:hanging="439"/>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$0.9 million of loss on changes in the fair value of Blaize’s liability classified warrants during the year ended December 31, 2023.</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final fair value measurement associated with all liability classified warrants at the time of the Warrant event, assuming the date of the Closing is January 1, 2023. Such measurement results in a loss on remeasurement of $90.5 million.</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$5.8 million of BurTech’s historical interest income earned on the funds held in the Trust Account, which was dissolved and liquidated upon the Closing of the Business Combination.</w:t>
      </w:r>
    </w:p>
    <w:p>
      <w:pPr>
        <w:spacing w:after="0" w:line="26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Statement of Operations for the Nine Months Ended September 30, 2024</w:t>
      </w:r>
    </w:p>
    <w:p>
      <w:pPr>
        <w:spacing w:after="0" w:line="64" w:lineRule="exact"/>
        <w:rPr>
          <w:sz w:val="20"/>
          <w:szCs w:val="20"/>
          <w:color w:val="auto"/>
        </w:rPr>
      </w:pPr>
    </w:p>
    <w:p>
      <w:pPr>
        <w:ind w:left="1080" w:right="160" w:hanging="532"/>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stock-based compensation to be incurred for the nine months ended September 30, 2024, with details of the effects on the impacted financial statement line items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Selling,</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2"/>
                <w:szCs w:val="12"/>
                <w:color w:val="auto"/>
              </w:rPr>
            </w:pPr>
          </w:p>
        </w:tc>
        <w:tc>
          <w:tcPr>
            <w:tcW w:w="1260" w:type="dxa"/>
            <w:vAlign w:val="bottom"/>
            <w:vMerge w:val="restart"/>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1600" w:type="dxa"/>
            <w:vAlign w:val="bottom"/>
            <w:gridSpan w:val="4"/>
          </w:tcPr>
          <w:p>
            <w:pPr>
              <w:jc w:val="center"/>
              <w:ind w:left="479"/>
              <w:spacing w:after="0" w:line="160" w:lineRule="exact"/>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189"/>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(Amounts in thousands)</w:t>
            </w:r>
          </w:p>
        </w:tc>
        <w:tc>
          <w:tcPr>
            <w:tcW w:w="12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associated with Earnout shares</w:t>
            </w: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6(A)(i)</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upon achievement of performance</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w:t>
            </w:r>
          </w:p>
        </w:tc>
        <w:tc>
          <w:tcPr>
            <w:tcW w:w="12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6(A)(ii)</w:t>
            </w: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Adjustment – Stock-based compensation</w:t>
            </w:r>
          </w:p>
        </w:tc>
        <w:tc>
          <w:tcPr>
            <w:tcW w:w="1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6,862</w:t>
            </w:r>
          </w:p>
        </w:tc>
        <w:tc>
          <w:tcPr>
            <w:tcW w:w="6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540" w:hanging="439"/>
        <w:spacing w:after="0" w:line="261"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stock-based compensation measured as of the closing date for the portion of the Earnout Shares issuable to existing option holders with continuing service requirements, and assuming no forfeitures (see Note 7) resulting in recognized stock-based compensation for the nine months as an increase of $3.8 million to research and development expense and $4.9 million to selling, general and administrative expense.</w:t>
      </w:r>
    </w:p>
    <w:p>
      <w:pPr>
        <w:spacing w:after="0" w:line="85" w:lineRule="exact"/>
        <w:rPr>
          <w:rFonts w:ascii="Times New Roman" w:cs="Times New Roman" w:eastAsia="Times New Roman" w:hAnsi="Times New Roman"/>
          <w:sz w:val="18"/>
          <w:szCs w:val="18"/>
          <w:color w:val="auto"/>
        </w:rPr>
      </w:pPr>
    </w:p>
    <w:p>
      <w:pPr>
        <w:ind w:left="1540" w:right="220" w:hanging="439"/>
        <w:spacing w:after="0" w:line="256"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nine months as an increase of $3.1 million to research and development expense and $0.4 million to selling, general and administrative expense.</w:t>
      </w:r>
    </w:p>
    <w:p>
      <w:pPr>
        <w:spacing w:after="0" w:line="92"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$25.9 million of loss on changes in the fair value of Blaize’s convertible notes which were accounted for under the fair value option during the nine months ended September 30, 2024.</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$1.3 million of gain on changes in the fair value of Blaize’s liability classified warrants during the nine months ended September 30, 2024.</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$1.9 million of BurTech’s historical interest income earned during the nine months ended September 30, 2024 on the funds held in the Trust Account, which were dissolved and liquidated upon the Closing of the Business Combination.</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$0.4 million of loss on changes in the fair value of BurTech’s derivate liability associated with the Backstop Agreement during the nine months ended September 30,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Earnouts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w:t>
      </w:r>
    </w:p>
    <w:p>
      <w:pPr>
        <w:spacing w:after="0" w:line="89" w:lineRule="exact"/>
        <w:rPr>
          <w:sz w:val="20"/>
          <w:szCs w:val="20"/>
          <w:color w:val="auto"/>
        </w:rPr>
      </w:pPr>
    </w:p>
    <w:p>
      <w:pPr>
        <w:ind w:left="108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Holders of Blaize Stock Options and Blaize RSUs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preliminary estimated fair value of the Blaize Earnout Shares subject to ASC 718 was $57.7 million, assuming the service conditions were met and assuming no forfeitures. The vested amounts of $11.5 million for the year ended December 31, 2023 and $8.7 million for the nine months ended September 30, 2024 were recorded as stock- based compensation expense in the unaudited pro forma condensed combined statements of operations as it was probable the market condition would be met.</w:t>
      </w:r>
    </w:p>
    <w:p>
      <w:pPr>
        <w:spacing w:after="0" w:line="326"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Earnout Shares Issued to Blaize and Burkhan</w:t>
      </w:r>
    </w:p>
    <w:p>
      <w:pPr>
        <w:spacing w:after="0" w:line="11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 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w:t>
      </w:r>
    </w:p>
    <w:p>
      <w:pPr>
        <w:spacing w:after="0" w:line="17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has placed a value of $87.8 million on the liability. The earnout liability will be remeasured at each reporting date with changes in the fair value recorded to earnings.</w:t>
      </w:r>
    </w:p>
    <w:p>
      <w:pPr>
        <w:spacing w:after="0" w:line="308"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Earnout Shares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Blaize Earnout Consideration that was not subject to ASC 718 was determined by using the assumed stock price of Blaize of $10.00 at the grant date and multiplying it by the expected probability of achieving the market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Net Loss Per Share</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shares outstanding for basic and diluted net loss per share assumes the shares issued in connection with the Business Combination and other related events have been outstanding for the entire periods presented.</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8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(0.44)</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101,588,967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basic and diluted</w:t>
            </w:r>
          </w:p>
        </w:tc>
        <w:tc>
          <w:tcPr>
            <w:tcW w:w="150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(4.38)</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Weighted average shares outstanding for both basic and diluted was calculated as follows for the year ended December 31, 2023 and for the nine months ended September 30, 2024:</w:t>
      </w:r>
    </w:p>
    <w:p>
      <w:pPr>
        <w:spacing w:after="0" w:line="32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Blaize stockholders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55,571,107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BurTech’s public stockholders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Sponsor &amp; related parties</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14,456,132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closing lenders</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25,673,479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Weighted Average Shares Outstanding</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101,588,967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Blaize Common Stock equivalents were excluded from the computation of pro forma diluted net loss per share because including them would have had an anti-dilutive effect for the year ended December 31, 2023 and for the nine months ended September 30, 2024:</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Blaize Stock Options and RSUs</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31,679,816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17,600,000</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28,750,000</w:t>
            </w: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78,928,066</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gives effect to the net impact of 19,651,340 options that have been granted or cancelled from October 1, 2024 through the date of this filing.</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320" w:top="455" w:right="5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and nine months ended September 30, 2024 and 2023 as well as our audited consolidated financial statements for the years ended December 31, 2023 and 2022.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Blaize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to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ecosystem of hardware manufacturers and independent software vendors specializing across a variety of industry verticals and form new partnerships with them to bring innovative turn- key solutions to market.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market AI trends into the design of our next-generation SoC to further expand our total addressable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22, 2023, the Company entered into a Merger Agreement with Merger Sub, Legacy Blaize, and solely for the limited purposes of the transaction, Burkhan, pursuant to which Merger Sub would merge with and into Legacy Blaize, with Legacy Blaize surviving the merger as a wholly owned subsidiary of the Company.</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and around December 31, 2024, the Company and certain unaffiliated stockholders of the Company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Common Stock (“Non-Redeemed Shares”) and, in exchange,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Blaize and certain subscribers (each, a “Subscriber” and collectively, the “Subscribers”) entered into subscription agreements (each, a “PIPE Subscription Agreement” and collectively, the “PIPE Subscription Agreements”) pursuant to which BurTech issued and sold to the Subscribers, immediately prior to the closing of the Merger, collectively, 1,540,300, shares of Class A Stock (the “PIPE Shares”) at a price per share equal to $10.00 (the “PIPE Investment”).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and pursuant to the terms of the Merger Agreement, on January 13, 2025, BurTech, Merger Sub, Blaize and Burkhan confirmed to one another that all conditions to the Closing set forth in Article IX of the Merger Agreement have been satisfied, and expressly waived the conditions that remained unsatisfied on such date through the execution of that certain Letter Agreement (the “Letter Agreement”), dated as of January 13, 2025, by and among BurTech, Merger Sub, Blaize, Burkhan, and the Sponsor which is attached hereto as Exhibit 10.15 to this Report, and which is incorporated herein by reference. Pursuant to the Letter Agreement, Blaize waived the conditions to Closing (1) under Section 9.3(d) of the Merger Agreement that BurTech have available proceeds of not less than $125,000,000 remaining upon the consummation of the Merger, and (2) under Section 9.3(f) of the Merger Agreement that the sum of the BurTech trust account plus the amount of immediately available funds received by BurTech pursuant to purchases of shares of Class A Stock on the terms provided in the Backstop Subscription Agreement (the “Backstop Agreement”), dated as of April 22, 2024, by and among BurTech, Blaize and the Sponsor, shall be no less than $30,000,000, to allow the parties to proceed to Closing. Pursuant to the Letter Agreement, BurTech waived the obligations of the Sponsor under the Backstop Agreement and, in lieu of such obligations, Burkhan entered into a PIPE Subscription Agreement to purchase an aggregate of 1,200,000 shares of Class A Stock at a purchase price of $10.00 per share for aggregate proceeds of $12,000,000 to the Company. Pursuant to the Letter Agreement, the Company agreed to register for resale within four (4) business days of the closing of the Business Combination, pursuant to the Securities Act, certain shares of the Sponsor and the Sponsor Group (as defined in the A&amp;R Registration Rights Agreement) on the same terms and subject to the same conditions as the Registration Rights Agreement.</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agreed to pay certain of the Acquiror Transaction Expenses (as defined in the Merger Agreement) set forth in the Sponsor Note.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entry into the Sponsor Note, the Company issued 750,000 shares of Class A Stock (“Sponsor Note Shares”) to the Sponsor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the terms of the Sponsor Note (the “Sponsor Note Issuance” and together with the PIPE Investment, the “Private Placements”).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Class A Stock issued in consideration for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color w:val="auto"/>
        </w:rPr>
        <w:t>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the Sponsor, certain stockholders of Legacy Blaize and certain stockholders of BurTech entered into that certain Amended and Restated Registration Rights Agreement (the “Registration Rights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Blaize and certain stockholders of Legacy Blaize entered into that certain Registration Rights Agreement (the “Ava Registration Rights Agreement”).</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“Lock-Up Period”). At Closing, approximately 34.39% of the total issued and outstanding shares of Common Stock are subject to lock-up restrictions in connection with the Stockholder Lock-Up Agreement.</w:t>
      </w:r>
    </w:p>
    <w:p>
      <w:pPr>
        <w:spacing w:after="0" w:line="17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w:t>
      </w:r>
    </w:p>
    <w:p>
      <w:pPr>
        <w:spacing w:after="0" w:line="19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January 13, 2025, pursuant to the Merger Agreement, Merger Sub merged with and into Legacy Blaize, with Legacy Blaize surviving the merger as a wholly owned subsidiary of the Company.</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On February 10, 2025, in connection with that certain Letter Agreement, dated December 23, 2024, by and between the Company and Roth Capital Partners, LLC (“Roth”), the Company issued approximately 63,157 shares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w:t>
      </w:r>
    </w:p>
    <w:p>
      <w:pPr>
        <w:spacing w:after="0" w:line="1" w:lineRule="exact"/>
        <w:rPr>
          <w:sz w:val="20"/>
          <w:szCs w:val="20"/>
          <w:color w:val="auto"/>
        </w:rPr>
      </w:pPr>
    </w:p>
    <w:p>
      <w:pPr>
        <w:ind w:left="120" w:right="360" w:hanging="4"/>
        <w:spacing w:after="0" w:line="260" w:lineRule="auto"/>
        <w:tabs>
          <w:tab w:leader="none" w:pos="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31,792 shares of Common Stock to Craig-Hallum and (ii) warrants exercisable for up to 50,000 shares of Common Stock at a price of $11.50 per share (the “CMA Warrants”), in each case, in a private placement under the Securities Act.</w:t>
      </w:r>
    </w:p>
    <w:p>
      <w:pPr>
        <w:spacing w:after="0" w:line="18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Closing, we changed our name to Blaize Holdings, Inc. While we are the legal acquiror of Legacy Blaize in the Business Combination, Legacy Blaize is deemed to be the accounting acquiror, and the historical financial statements of Legacy Blaize became the historical financial statements of the Company upon the Closing of the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Markets Advisor Fees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BurTech engaged Jefferies as capital markets advisor. Pursuant to the engagement, Jefferies is entitled to receive a fee of $4.5 million upon the Closing of the Business Combination, with the option for the Company to defer up to $1 million of this fee for up to 12 months post-closing. As of the date of this prospectus, no fees have been paid to Jefferies under its engagement.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Since inception of Blaize and through September 30, 2024, we have funded our operations primarily with cash flows from contributions from founders or other investors and other financing activities. We have incurred recurring losses and negative cash flows since our inception, including a net loss of $54.5 million and $62.9 million for the nine months ended September 30, 2024 and 2023, respectively. As of September 30, 2024, we had cash and cash equivalents of approximately $68.6 million, a net working capital surplus of $45.3 million, and an accumulated deficit of $422.6 million. In order to achieve our growth strategies, we will need to raise additional financing. During the year ended December 31, 2023, the level of financing was not at a sufficient level to allow Blaize to execute on certain growth plans, as such, we implemented certain cost reduction and cash conservation measures. Cost reduction measures included a reduction of headcount in our research and development team, primarily in our India and UK subsidiaries. To conserve cash, we also delayed the kick-off of the development of our next generation chip, deferred investment in certain software tools necessary for the development of the next generation chip and instead focused on building our ecosystem of hardware and software manufacturers.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2023, as amended on April 22, 2024, October 24, 2024 and November 21, 2024, we entered into the Merger Agreement with BurTech, Merger Sub, and, solely for the limited purposes of the transaction, Burkhan. On January 13, 2025, upon closing of the Merger, Merger Sub merged with and into Blaize, with Blaize surviving as the surviving company as a direct, wholly owned subsidiary of BurTech. Upon consummation of the Business Combination, BurTech was renamed “Blaize Holdings, Inc.”</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Merger is accounted for as a reverse recapitalization. Under this method of accounting, Blaize is treated as the accounting acquirer and BurTech is treated as the acquired company for financial statement reporting purposes. We are deemed as the accounting acquirer and the successor SEC registrant, meaning that our financial statements for previous periods will be disclosed in the registrant’s future periodic reports filed with the SEC</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a consequence of the Merger, Blaize is the successor to an SEC-registered and Nasdaq- listed company, which requires Blaize to hire additional personnel and implement procedures and processes to address public company regulatory requirements and customary practices. We will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November 11, 2024, a total of 23 POCs have been initiated or are in progress with a potential customer.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October 25, 2024, Blaize has a total of 30 Partners.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November 11, 2024, a total of 11 Design Wins have been confirmed with a Partner or customer.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Loss on purchase commitments consists of contractual obligations to procure inventory from our third-party contract manufacturer and other suppliers that are in excess of expected demand and where the value of these purchase commitments may not be recoverable.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costs primarily consist of legal fees, consultant fees and other direct costs incurred to explore prior potential merger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results of our operations for the periods presented, as well as the changes between periods. The period-to-period comparison of financial results is not necessarily indicative of future results.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Blaize’s condensed consolidated statements of operations data for the nine months ended September 30, 2024 and 2023, respectively.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2"/>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9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(1,889)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2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14,168</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1,597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(30,640)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(25,403)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(5,237)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1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7"/>
              </w:rPr>
              <w:t>(30,637)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30,637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1,665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(25,921)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(22,375)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(23,515)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7"/>
              </w:rPr>
              <w:t>(37,546)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7"/>
              </w:rPr>
              <w:t>(54,155)</w:t>
            </w:r>
          </w:p>
        </w:tc>
        <w:tc>
          <w:tcPr>
            <w:tcW w:w="100" w:type="dxa"/>
            <w:vAlign w:val="bottom"/>
          </w:tcPr>
          <w:p>
            <w:pPr>
              <w:spacing w:after="0"/>
              <w:rPr>
                <w:sz w:val="18"/>
                <w:szCs w:val="18"/>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w w:val="97"/>
              </w:rPr>
              <w:t>(62,949)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8,794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(54,503</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(62,864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8,361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Revenue decreased by 55% or $1.9 million from a total of $3.4 million for the nine months ended September 30, 2023 compared to approximately $1.5 million for the nine months ended September 30, 2024. The decrease in revenue was primarily attributable to us reaching the end of our multi-year license and development contract with a strategic investor resulting in a $2.2 million decrease compared to the nine months ended September 30, 2023.</w:t>
      </w:r>
    </w:p>
    <w:p>
      <w:pPr>
        <w:spacing w:after="0" w:line="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Discussions are scheduled to start on a new arrangement to capitalize on the work completed in the initial phase of the prior contract. This reduction was partially offset by $0.3 million associated with a new license and development arrangement entered into with a separate strategic investor during the nine months ended September 30, 2024.</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Cost of revenue (excluding depreciation and amortization) for the nine months ended September 30, 2024 reflects a decrease of $0.4 million, or 30%, compared to the nine months ended September 30, 2023. This decrease was primarily driven by a $0.4 million decrease in charges for excess inventory and a $0.3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decrease in direct labor costs commensurate with the decrease in engineering services revenue, partially offset by a $0.3 million increase in costs for inventory carrying costs with an outside supplier.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2024 increased $1.6 million or 11% compared to the nine months ended September 30, 2023. The increase was driven by an increase in personnel costs of $2.7 million, partially offset by a $0.7 million reduction in professional services and a $0.5 million reduction in our technology infrastructure cost base. We expect research and development to increase to support the development of our next generation product portfolio in future periods.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2024 increased approximately $3.4 million or 31% compared to the nine months ended September 30, 2023. This increase was primarily due to a $1.6 million increase in personnel costs and a $1.1 million increase in legal and accounting costs, both incurred in support of public company readiness efforts, a $0.4 million increase in employee related travel, entertainment and recruiting costs, a $0.6 million increase in credit loss expense. These increases were partially offset by a $0.3 million reduction in facility costs.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nine months ended September 30, 2024 decreased $1.0 million or 60% compared to the nine months ended September 30, 2023, which is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We did not record a loss on purchase commitments for the nine months ended September 30, 2024 as compared to $0.3 million for the nine months ended September 30, 2023 as a result of not having any additional purchase commitments requiring a loss on purchase commitment accrual.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nine months ended September 30, 2024 and 2023 amounted to a net expense of $23.5 million and $37.5 million, respectively, for a decrease of net expense period over period of $14.0 million.</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Total other expense for the nine months ended September 30, 2024 was primarily comprised of the total net change in fair value of our convertible notes and warrant liabilities of $24.7 million net a few additional items including other income from investments of $1.7 million. Total other expense for the nine months ended September 30, 2023 was primarily comprised of a Pay-to-Play financing charge of $30.6 million, the total change in fair value of our convertible notes and warrant liabilities of $4.3 million, and debt financing charge on convertible notes of $2.6 million.</w:t>
      </w:r>
    </w:p>
    <w:p>
      <w:pPr>
        <w:spacing w:after="0" w:line="180"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The Pay-to-Play financing charge in the nine months ended September 30, 2023 relates to our Pay-to-Play Transaction where participating shareholders obtained the benefit of a Pull-Through Exchange of their Converted Common into shares of the class(es) of Shadow Preferred Stock identical to those previously held. The Pull-Through Exchange resulted in incremental value to the investors in the P2P Notes, measured as the difference in the fair value of the Shadow Preferred Stock shares held after the Pull-Through Exchange to the fair value of the Converted Common Stock held just prior to the Pull-Through Exchange.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19"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recognized income tax expense of $0.3 million for the nine months ended September 30, 2024 and an income tax benefit of $0.1 million for the nine months ended September 30, 2023, respectively, representing an effective tax rate of 0.6% and (0.1)%, respectively. There was no significant movement in the statutory and effective tax rate for the nine months ended September 30, 2024 and 2023.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Net loss was approximately $54.5 million for the nine months ended September 30, 2024 compared to net loss of approximately $62.9 million for the nine months ended September 30, 2023. The decrease of $8.4 million in net loss for the nine months ended September 30, 2024 compared to the nine months ended September 30, 2023 was primarily attributable to the nonrecurring Pay-to-Play financing charge of $30.6 million and the change in debt financing charge of $2.2 million, partially offset by the $5.2 million increase in loss from operations and the $20.4 million change in fair value of convertible notes and warrant liabilities as discussed above.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Blaize’s consolidated statements of operations data for the years ended December 31, 2023 and 2022, respectively.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96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72"/>
              </w:rPr>
              <w:t>   2022 </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1,118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(849)</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 – related party</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r>
      <w:tr>
        <w:trPr>
          <w:trHeight w:val="32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(6,187)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17,303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1,638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(3,878)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(3,156)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(11,673)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(38,528)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11,688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103"/>
        </w:trPr>
        <w:tc>
          <w:tcPr>
            <w:tcW w:w="5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(35,832)</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20,021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(3,145)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from the amortization of discount on convertible notes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1,183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on Paycheck Protection Program loan forgiveness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(9,032)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(3,632)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5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(49,659)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4,221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(88,187)</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15,909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(87,589)</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(104,630)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(17,041)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Revenue increased slightly by 0.4% to $3.9 million for the year ended December 31, 2023 compared to approximately $3.8 million for the year ended December 31, 2022. The increase in revenue was primarily attributable to an increase of $1.1 million in engineering services, such as the multi-year license and development contract with a strategic investor in Blaize. The increase in engineering services revenue was largely offset by a</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$0.8 million decrease in revenue generated from hardware sales. For both the year ended December 31, 2023 and 2022, the majority of our revenue was generated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for the year ended December 31, 2023 increased $0.6 million, or 20%, compared to the year ended December 31, 2022. The increase was primarily driven by a $1.4 million increase in inventory carrying costs and a charge for excess inventory, a $0.2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increase in direct labor costs associated with our license and development arrangements, partially offset by a $1.0 million decrease in direct costs from the sale of hardware products as a result of lower hardware sales volumes during the year ended December 31, 2023 as compared to the year ended December 31, 2022.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2023 decreased $6.2 million or 25% compared to the year ended December 31, 2022. The overall decrease was driven by the successful implementation and execution of a plan to rationalize and refocus our overall company cost base during 2023. This resulted in a $4.0 million reduction in our technology infrastructure cost base combined with a net $2.5 million reduction in our staff costs, offset by an increase in certain outsourced professional services.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research and development to increase to support the development of our next generation product portfolio in future years.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year ended December 31, 2023 increased $1.6 million or 10% compared to the year ended December 31, 2022. The increase was primarily due to a $2.2 million increase in legal and accounting costs incurred in support of public company readiness efforts, combined with the recognition of a credit loss provision. The cost rationalization plan as mentioned within the Research and development section also resulted in a $2.2 million saving in relation to staff costs and related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recorded a one-time $1.7 million charge, associated with the modification of a director’s RSU award to accelerate vesting.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2023 decreased $0.7 million or 26% compared to the year ended December 31, 2022. The decrease was primarily due to a decrease in depreciation costs for computer equipment and server and network equipment that were fully depreciated in the comparative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purchase commitments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Loss on purchase commitments for the year ended December 31, 2023 was $1.2 million compared to $5.0 million for the year ended December 31, 2022. The decrease in loss on purchase commitments for the year ended December 31, 2023 compared to the year ended December 31, 2022 was primarily attributable to a reduction of purchase commitments to our third party contract manufacturer.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11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Transaction costs for the year ended December 31, 2023 was $0.1 million compared to $3.3 million for the year ended December 31, 2022. The decrease in transaction costs for the year ended December 31, 2023 compared to the year ended December 31, 2022 was primarily attributable to legal and external consultant fees incurred during the year ended December 31, 2022 to explore other potential merger transactions prior to entering into the merger transaction with BurTech as discussed above.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Total other expense for the years ended December 31, 2023 and 2022 amounted to a net expense of $49.7 million and $53.9 million, respectively, for a decrease of net expense year over year of $4.2 million. Total</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 Total other expense net for the year ended December 31, 2022 was primarily comprised of the Pay-to-Play financing charge of $55.9 million and the $1.2 million interest expense from the amortization discount on convertible notes converted in the year ended December 31, 2022 but issued in the previous year, offset by the change in fair value of the convertible notes and warrant liabilities of $3.2 million and the $1.1 million gain on the Paycheck Protection Program loan forgiveness.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Pay-to-Play financing charge in each year relates to the Pay-to-Play Transaction commenced in December 2022, where participating shareholders obtained the benefit of the Pull-Through Exchange of their Converted Common Stock into shares of the class(es) of Shadow Preferred Stock identical to those previously held. Investors who did not participate, retained ownership only in Converted Common Stock. The Pull-Through Exchange resulted in incremental value to the investors in the P2P Notes, measured as the difference in the fair value of the Shadow Preferred Stock shares held after the Pull-Through Exchange to the fair value of the Converted Common Stock held just prior to the Pull-Through Exchange. The Debt financing charge on the convertible notes issued under the 2023 NPA relates to the fair value of the RSUs issued to the initial and sole lender in July 2023.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benefit from the provision for income taxes amounted to approximately $0.6 million for the year ended December 31, 2023 and our effective tax rate was approximately 0.68 %. Income tax benefit for the year ended December 31, 2023 was primarily attributable to foreign taxes payable on net income generated outside the United States. Our effective tax rate differed from the federal statutory rate of 21.0% due to the impact of the tax treatment of the Pay-to-Play equity financing charge and the valuation allowance which is driven by the deferred tax assets arising from capitalized research and experimental expenditures and the net operating losses.</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Income tax expense amounted to approximately $0.5 million for the year ended December 31, 2022 and our effective tax rate was approximately (0.51%). Income tax expense for the year ended December 31, 2022 was primarily attributable to foreign taxes payable on net income generated outside the United States. Our effective tax rate differed from the federal statutory rate of 21.0% due to the impact of the tax treatment of the Pay-to-Play equity financing charge and the valuation allowance which is driven by the deferred tax assets arising from capitalized research and experimental expenditures and the net operating losses.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Net loss was approximately $87.6 million for the year ended December 31, 2023 compared to net loss of approximately $104.6 million for the year ended December 31, 2022. The decrease in net loss for the year ended December 31, 2023 compared to the year ended December 31, 2022 was primarily attributable to the decrease in the Pay-to-Play financing charge and decrease in total costs and expenses discussed in the sections above.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Since inception of Blaize and through September 30, 2024, we have funded our operations primarily with cash flows from contributions from founders or other investors and other financing activities. We have incurred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recurring losses and negative cash flows since its inception, including a net loss of $54.5 million and $62.9 million for the nine months ended September 30, 2024 and 2023, respectively. As of September 30, 2024, we had cash and cash equivalents of approximately $68.6 million, a net working capital surplus of $45.3 million, and an accumulated deficit of $422.6 million.</w:t>
      </w:r>
    </w:p>
    <w:p>
      <w:pPr>
        <w:spacing w:after="0" w:line="176" w:lineRule="exact"/>
        <w:rPr>
          <w:sz w:val="20"/>
          <w:szCs w:val="20"/>
          <w:color w:val="auto"/>
        </w:rPr>
      </w:pPr>
    </w:p>
    <w:p>
      <w:pPr>
        <w:jc w:val="both"/>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While we are currently taking actions to both source and preserve cash through a combination of the issuance of convertible notes and a possible capital market transaction, we cannot be assured that we will be able to enter into any such contracts.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were a party to the following debt financing agreements during the nine months ended September 30, 2024 and 2023 and during the years ended December 31, 2023 and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 Under the July 2023 Note Purchase Agreement (as amended and restated, the “2023-2024 Convertible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2023-2024 Convertible Notes provides that the notes may be converted as follows:</w:t>
      </w:r>
    </w:p>
    <w:p>
      <w:pPr>
        <w:spacing w:after="0" w:line="131" w:lineRule="exact"/>
        <w:rPr>
          <w:sz w:val="20"/>
          <w:szCs w:val="20"/>
          <w:color w:val="auto"/>
        </w:rPr>
      </w:pPr>
    </w:p>
    <w:p>
      <w:pPr>
        <w:ind w:left="1080" w:right="4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therein), Maturity Conversion (as defined therein), SPAC Conversion (as defined therein) or repayment has not occurred wherein the Next Equity Financing, defined as the next sale of Company equity securities or other securities issued in connection with Senior Indebtedness, following the date of the 2023-2024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Arial" w:cs="Arial" w:eastAsia="Arial" w:hAnsi="Arial"/>
          <w:sz w:val="13"/>
          <w:szCs w:val="13"/>
          <w:color w:val="auto"/>
        </w:rPr>
      </w:pPr>
    </w:p>
    <w:p>
      <w:pPr>
        <w:ind w:left="1540" w:right="200" w:hanging="331"/>
        <w:spacing w:after="0" w:line="266"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 diluted capital.</w:t>
      </w:r>
    </w:p>
    <w:p>
      <w:pPr>
        <w:spacing w:after="0" w:line="81" w:lineRule="exact"/>
        <w:rPr>
          <w:rFonts w:ascii="Arial" w:cs="Arial" w:eastAsia="Arial" w:hAnsi="Arial"/>
          <w:sz w:val="13"/>
          <w:szCs w:val="13"/>
          <w:color w:val="auto"/>
        </w:rPr>
      </w:pPr>
    </w:p>
    <w:p>
      <w:pPr>
        <w:ind w:left="1080" w:right="140" w:hanging="424"/>
        <w:spacing w:after="0" w:line="25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w:t>
      </w:r>
    </w:p>
    <w:p>
      <w:pPr>
        <w:spacing w:after="0" w:line="92"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w:t>
      </w:r>
    </w:p>
    <w:p>
      <w:pPr>
        <w:spacing w:after="0" w:line="88" w:lineRule="exact"/>
        <w:rPr>
          <w:rFonts w:ascii="Times New Roman" w:cs="Times New Roman" w:eastAsia="Times New Roman" w:hAnsi="Times New Roman"/>
          <w:sz w:val="18"/>
          <w:szCs w:val="18"/>
          <w:color w:val="auto"/>
        </w:rPr>
      </w:pPr>
    </w:p>
    <w:p>
      <w:pPr>
        <w:ind w:left="1540" w:right="120" w:hanging="331"/>
        <w:spacing w:after="0" w:line="266"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w:t>
      </w:r>
    </w:p>
    <w:p>
      <w:pPr>
        <w:spacing w:after="0" w:line="81" w:lineRule="exact"/>
        <w:rPr>
          <w:rFonts w:ascii="Arial" w:cs="Arial" w:eastAsia="Arial" w:hAnsi="Arial"/>
          <w:sz w:val="13"/>
          <w:szCs w:val="13"/>
          <w:color w:val="auto"/>
        </w:rPr>
      </w:pPr>
    </w:p>
    <w:p>
      <w:pPr>
        <w:ind w:left="1540" w:right="40" w:hanging="331"/>
        <w:spacing w:after="0" w:line="266"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w:t>
      </w:r>
    </w:p>
    <w:p>
      <w:pPr>
        <w:spacing w:after="0" w:line="81" w:lineRule="exact"/>
        <w:rPr>
          <w:rFonts w:ascii="Arial" w:cs="Arial" w:eastAsia="Arial" w:hAnsi="Arial"/>
          <w:sz w:val="13"/>
          <w:szCs w:val="13"/>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Blaize’s existing certificate of incorporation), the 2023-</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Convertible Notes shall be repaid as follows at the closing of the Corporate Transaction:</w:t>
      </w:r>
    </w:p>
    <w:p>
      <w:pPr>
        <w:spacing w:after="0" w:line="112"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on or before July 3, 2024, an amount equal to the then accrued but unpaid interest plus three (3) times the then outstanding principal.</w:t>
      </w:r>
    </w:p>
    <w:p>
      <w:pPr>
        <w:spacing w:after="0" w:line="81" w:lineRule="exact"/>
        <w:rPr>
          <w:rFonts w:ascii="Arial" w:cs="Arial" w:eastAsia="Arial" w:hAnsi="Arial"/>
          <w:sz w:val="13"/>
          <w:szCs w:val="13"/>
          <w:color w:val="auto"/>
        </w:rPr>
      </w:pPr>
    </w:p>
    <w:p>
      <w:pPr>
        <w:ind w:left="1540" w:right="180" w:hanging="331"/>
        <w:spacing w:after="0" w:line="266"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2023-2024 Convertible Note on or before July 3, 2023, in respect of a Corporate Transaction that occurs following July 3, 2024, an amount equal to the then accrued but unpaid interest plus five (5) times the then outstanding principal.</w:t>
      </w:r>
    </w:p>
    <w:p>
      <w:pPr>
        <w:spacing w:after="0" w:line="81" w:lineRule="exact"/>
        <w:rPr>
          <w:rFonts w:ascii="Arial" w:cs="Arial" w:eastAsia="Arial" w:hAnsi="Arial"/>
          <w:sz w:val="13"/>
          <w:szCs w:val="13"/>
          <w:color w:val="auto"/>
        </w:rPr>
      </w:pPr>
    </w:p>
    <w:p>
      <w:pPr>
        <w:ind w:left="1540" w:right="160" w:hanging="331"/>
        <w:spacing w:after="0" w:line="282" w:lineRule="auto"/>
        <w:tabs>
          <w:tab w:leader="none" w:pos="1540" w:val="left"/>
        </w:tabs>
        <w:numPr>
          <w:ilvl w:val="1"/>
          <w:numId w:val="69"/>
        </w:numPr>
        <w:rPr>
          <w:rFonts w:ascii="Arial" w:cs="Arial" w:eastAsia="Arial" w:hAnsi="Arial"/>
          <w:sz w:val="13"/>
          <w:szCs w:val="13"/>
          <w:color w:val="auto"/>
        </w:rPr>
      </w:pPr>
      <w:r>
        <w:rPr>
          <w:rFonts w:ascii="Times New Roman" w:cs="Times New Roman" w:eastAsia="Times New Roman" w:hAnsi="Times New Roman"/>
          <w:sz w:val="18"/>
          <w:szCs w:val="18"/>
          <w:color w:val="auto"/>
        </w:rPr>
        <w:t>For any Lender who purchased a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amended in April 2022 from 10 years to 5 years from the original date of issuance.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Notes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P2P NPA provides that the P2P Notes may be converted as follows:</w:t>
      </w:r>
    </w:p>
    <w:p>
      <w:pPr>
        <w:spacing w:after="0" w:line="131" w:lineRule="exact"/>
        <w:rPr>
          <w:sz w:val="20"/>
          <w:szCs w:val="20"/>
          <w:color w:val="auto"/>
        </w:rPr>
      </w:pPr>
    </w:p>
    <w:p>
      <w:pPr>
        <w:ind w:left="1080" w:right="140" w:hanging="424"/>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w:t>
      </w:r>
    </w:p>
    <w:p>
      <w:pPr>
        <w:spacing w:after="0" w:line="88"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80"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 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 rata portion.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D-2 Notes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February through August 2022, we raised $30.8 million in proceeds from the issuance of the Series D-2 Notes. The Series D-2 Notes were unsecured and carried terms of interest at ten (10) percent with maturities in August 2023. The Series D-2 Notes had a number of potential settlement provisions, including automatic conversion of principal and accrued interest into the new series in the event of a Private Investment in Public Entity (PIPE) transaction, and optional conversion into Series D at $10.4425 per share upon a corporate event. The noteholders could also elect redemption at accrued interest plus three times the principal upon a corporate event. As to one Series D-2 note for $10.0 million, any unpaid principal and interest would automatically convert into shares of Series D preferred stock at $10.4425 per share. For the remaining $20.8 million in Series D-2 Notes, upon either the Next Equity Financing or at maturity, the principal and accrued interest would automatically convert into the series and at a price to be mutually agreed between we and the noteholders.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September 19, 2022, the aggregate outstanding principal and accrued interest of the Series D-2 Notes, totaling $31.9 million, was converted into 6,435,447 shares of Preferred Series D-2 at $4.9717 per share. The investors also received warrants to purchase up to a total of 756,172 shares of Series D-2 preferred stock at $4.9717 per share, expiring in September 2025. The warrants were valued at $2.1618 per share, resulting in $1.6 million allocated to Warrant Liabilities; refer to the audited consolidated financial statements as of and for the years ended December 31, 2023 and 2022 included elsewhere in this prospectus for more information.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40"/>
          </w:cols>
          <w:pgMar w:left="320" w:top="455"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were a party to the following equity financing agreements during the years ended December 31, 2023 and 2022:</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 D-1 and D-2 redeemable convertible preferred stock</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w:t>
      </w:r>
    </w:p>
    <w:p>
      <w:pPr>
        <w:spacing w:after="0" w:line="187"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we amended our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Shadow Preferred stock</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 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w:t>
      </w:r>
    </w:p>
    <w:p>
      <w:pPr>
        <w:spacing w:after="0" w:line="4" w:lineRule="exact"/>
        <w:rPr>
          <w:sz w:val="20"/>
          <w:szCs w:val="20"/>
          <w:color w:val="auto"/>
        </w:rPr>
      </w:pPr>
    </w:p>
    <w:p>
      <w:pPr>
        <w:ind w:left="120" w:hanging="4"/>
        <w:spacing w:after="0" w:line="251" w:lineRule="auto"/>
        <w:tabs>
          <w:tab w:leader="none" w:pos="4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 we had outstanding purchase orders and contractual obligations totaling $0.3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 million, respectively, to procure inventory. The majority of our outstanding inventory purchase orders and preauthorized commitments to procure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strategic components based on our expected demand are placed with our primary third-party contract manufacturer and a semiconductor supplier.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an obligation to purchase inventories that have been purchased by the contract manufacturer when components have not been consumed within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defined in the terms of our agreement. While we</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60"/>
          </w:cols>
          <w:pgMar w:left="320" w:top="455"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September 30, 2024, the liability balance of our accrued loss on accrued purchase commitments equaled $1.4 million. As of December 31, 2023 and 2022, the liability balance of our accrued losses on accrued purchase commitments equaled $3.6 million and $5.4 million, respectively. The accrued losses on accrued purchase commitments as of September 30, 2024 and December 31, 2023 are included in the purchase orders and contractual obligations amount.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September 30, 2024 and 2023</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nine months ended September 30, 2024 and 2023:</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(35,788)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(21,616)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4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9"/>
              </w:rPr>
              <w:t>102,380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$35.8 million during the nine months ended September 30, 2024 and $21.6 million for the comparable period in 2023. For the nine months ended September 30, 2024, cash used in operating activities resulted from a net loss of $54.5 million, partially offset by $27.8 million in noncash items, the largest of which related to the $24.7 million change in the fair value of our convertible notes and warrant liabilities. For the nine months ended September 30, 2023, cash used in operating activities resulted from a net loss of $62.9 million, partially offset by $40.6 million in noncash items primarily driven by the Pay-to-Play financing charge of $30.6 million and the $4.3 million change in the fair value of our convertible notes and warrant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121" w:lineRule="exact"/>
        <w:rPr>
          <w:sz w:val="20"/>
          <w:szCs w:val="20"/>
          <w:color w:val="auto"/>
        </w:rPr>
      </w:pPr>
    </w:p>
    <w:p>
      <w:pPr>
        <w:jc w:val="both"/>
        <w:ind w:left="120" w:right="80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we used $1.2 million and $0.1 million, respectively, to purchase property and equipment. The increase of $1.1 million during the nine months ended September 30, 2024 was due to the license of software of $0.9 million, $0.2 million of leasehold improvements and $0.1 million for computers and other equipment.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$102.4 million, which consisted of $110.7 million of proceeds from the issuance of secured convertible notes under the 2023 NPA, partially offset by the $4.7 million repayment of the short-term demand notes and $3.7 million payment of deferred offering costs. This compares to net cash provided by financing activities for the nine months ended September 30, 2023 of $17.7 million which was comprised of $9.3 million of the proceeds from the issuance of Pay-to-Play convertible notes and $8.4 million of proceeds from the issuance of secured convertible notes under the 2023 NPA.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years ended December 31, 2023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(27,955)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(40,222)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flows used in operating activities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$28.0 million during the year ended December 31, 2023 compared to $40.2 million for the year ended December 31, 2022. For the year ended December 31, 2023, cash used in operating activities resulted from a net loss of $87.6 million, offset by noncash items, the largest of which was the Pay-to-Play financing charge of $35.8 million and by a net cash inflow of $3.4 million from changes in our net operating assets and liabilities. For the year ended December 31, 2022, cash used in operating activities resulted from a net loss of $104.6 million, offset by noncash items, the largest of which was the Pay-to-Play financing charge of $55.9 million and by a net cash inflow of $1.9 million from changes in our net operating assets and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used $ 0.2 million and $0.5 million of cash to purchase property and equipment,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$26.5 million, which primarily consisted of $12.3 million in proceeds from the issuance of secured convertible notes under the 2023 NPA, $9.4 million in the issuance of Pay-to-Play convertible notes and</w:t>
      </w: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$4.9 million raised via the issuance of demand notes. This compares to net cash provided by financing activities for the year ended December 31, 2022 of $39.1 million, which consisted of the proceeds from Series D-2 convertible notes issuance of $30.8 million, net of related issuance costs, $5.3 million raised upon the issuance of Series D-2 preferred stock and $3.0 million raised in the issuance of Pay-to-Play convertible notes.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Currently we do not engage in off-balance sheet financing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less than 1% and 29.0% of our revenue for the years ended December 31, 2023 and 2022 respectively, from operations outside of the United States. We derived 21.8% and less than 1% of our revenue for the nine months ended September 30,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19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We are also exposed to movements in the Japanese Yen.</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nine months ended September 30, 2024 and the year ended December 31, 2023 and 2022, the gain and loss, respectively, on foreign exchange transactions was not material.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and zero as of December 31, 2023 and 2022, respectively.</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one related party customer accounted for approximately 97% of our total accounts receivable. As of December 31, 2023, one customer accounted for approximately 98% of our total accounts receivable. As of December 31, 2022, two customers accounted for approximately 58% and 41% of our total accounts receivable.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nine months ended September 30, 2024, two customers, both related parties, accounted for approximately 77% and 21% of our revenue. For the year ended December 31, 2023, one customer, a related party, accounted for nearly 100% of our revenue. For the year ended December 31, 2022, two customers accounted for approximately 71% and 20% of our revenue, one of which is a related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 of assets and liabilities, the disclosure of contingent assets and liabilities and the reported amounts of revenues and expenses during the reported periods. The more critical accounting estimates include estimates related to revenue, the valuation of accounts receivable, research and development costs, the net realizable value of inventories, impairment of long-lived assets, the fair value of convertible notes and related financing charges, the fair value of warrant liabilities, the valuation of stock-based compensation awards and the accounting for income taxes. These estimates and assumptions are based on historical experience and on various other factors which we believe to be reasonable under the circumstances. We engage, as needed, third-party valuation specialists to assist with estimates related to the valuation of our convertible notes and related financing charges, the valuation of warrant liabilities and the valuation assumptions underlying our stock-based compensation.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derive revenue from product sales, software license and development arrangements, joint marketing arrangements and cloud services. We recognize revenue under ASC Topic 606, Revenue from Contracts with Customers (ASC 606), in which it determines revenue recognition through the following steps: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1:   Identify the contract with the customer.</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consider the terms and conditions of the engagement in identifying the contracts. We determine a contract with a customer to exist when the contract is approved, each party’s rights regarding the services to be transferred can be identified, the payment terms for the services can be identified, it has been determined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the performance obligations in the contract.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we and are distinct in the context of the contract.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3:   Determine the transaction price.</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4:   Allocate the transaction price to the performance obligations in the contract.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Step 5:   Recognize revenue when we satisfy a performance obligation.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we provide services over period of time.</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we expect to receive in exchange for the hardware. We offer unspecified upgrades and support on certain products; however, the related revenue has historically not been significant. Our software license and development arrangements entail revenue from the licensing of our IP and also include nonrecurring engineering development services to configure our IP and hardware to a customer’s needs. For each contract, we consider the promise to deliver a license that grants the customer the right to use the IP, as well as any professional services provided under the contract, as distinct performance obligations. We recognize licensing revenue from such arrangements over the term of the arrangements and recognize professional services over time as the services are provided. We measure progress to completion based on actual costs incurred to date as a percentage of the estimated total cost required to complete the project.</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2022, we entered into a joint marketing arrangement with a subsidiary of a minority investor to expand hardware sales into a foreign market. The joint marketing arrangement is comprised of various performance obligations, including the providing of a dedicated engineer for customer engagement services and design activities, a stand-ready obligation to provide product support services as well as co-participation in marketing events, all of which occur over the term of the arrangement.</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timing of our revenue recognition may differ from the timing of payment by its customers. An unbilled receivable is recorded when revenue is recognized prior to invoicing and we have an unconditional right to payment. Alternatively, when payment precedes the provision of the related services, we record deferred revenue until the performance obligations are satisfied.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defer incremental costs of obtaining a customer contract and amortize the deferred costs over the period that the related revenue is recognized.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no material incremental costs to obtain customer contracts in any period presented.</w:t>
      </w:r>
    </w:p>
    <w:p>
      <w:pPr>
        <w:spacing w:after="0" w:line="20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elected to account for shipping and handling fees as fulfillment activities and not separate performance obligations. Accordingly, these fees are reflected in revenue and the related fulfillment costs are accrued as cost of goods sold as the related fulfillment costs incurred. We offer a standard assurance-type warranty to customers for hardware sales.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Costs related to our research and development (“R&amp;D”) activities are expensed as incurred. R&amp;D expense consists primarily of personnel costs for our R&amp;D activities. R&amp;D expense also includes costs associated with the design and development of our application-specific integrated circuit (“ASIC”) and IP solutions, such as third-party foundry costs, third-party computer-aided design tools and software licenses, third-party IP licenses, reference design development, and allocated costs, such as facilities and information technology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represents our estimate of the amount of probable credit losses in our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a part of cost of revenue in the consolidated statement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Long-lived assets, which primarily consist of property and equipment and operating lease right-of-use assets are reviewed for impairment whenever events or changes in circumstances indicate that the carrying amount of long-lived assets may not be recoverable. If the sum of the expected undiscounted future cash flows is less than the carrying amount of those assets, we recognize an impairment loss based on the excess of the carrying amount over the fair value of the assets. We estimate the expected undiscounted future cash flows from the use of those assets and their eventual disposition.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account for our convertible notes, some of which contain, complex conversion features or predominantly, fixed rate conversion features, whereby the outstanding principal and accrued interest may be converted by the holder, into a variable number of shares of preferred stock at a fixed discount to the market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price of the common stock at the time of conversion under ASU Debt — Debt with Conversion and Other Options (Subtopic 470-20), Derivatives and Hedging — Contracts in Entity’s Own Equity (Subtopic 815-40) and Accounting for Convertible Instruments and Contracts in an Entity’s Own Equity (ASU 2020-06). We record the convertible note liability at fair value at each period end. Changes in the fair value are recorded as change in fair value of convertible notes in the consolidated statements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have issued freestanding warrants in connection with certain convertible debt arrangements and preferred stock issuances which have been recorded as liabilities in the consolidated balance sheets at their estimated fair value. At initial recognition, the warrants are recorded at their estimated fair value calculated using the Black-Scholes-Merton (“Black-Scholes”) option pricing model wherein, depending on the terms of the warrants, certain inputs to the Black-Scholes model are required to be determined via a Monte Carlo Simulation model. The liability associated with these warrants is subject to remeasurement at each balance sheet date, with changes in fair value recorded as remeasurement of warrant liability in the consolidated statements of operations. The warrants continue to be remeasured until the earlier of the expiration or exercise of the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We use the asset- 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tax audits in various jurisdictions. We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We include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granted stock options to our employees, non-employee consultants and non-employee directors in exchange for services pursuant to the 2011 Stock Plan, which vest upon satisfaction of service-based conditions. We recognize the cost of such stock options based on the fair value of those awards at the date of grant over the requisite service period. The fair value of the stock options granted is determined using the Black-Scholes option pricing model using various inputs, including our estimates of expected stock price volatility, term, risk-free rate and future dividends. We have elected the simplified method to determine the expected term of the stock option grants.</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also granted RSUs to employees and directors in exchange for services pursuant to the 2011 Stock Plan, which vest upon the satisfaction of both a service-based condition and a liquidity event condition. The fair value of restricted stock units is determined based on our estimated fair value of common stock at the date of grant. We have not recorded any stock-based compensation expense associated with these RSUs as a liquidity event has not occurred. If a liquidity event occurs in the future, we will record cumulative stock-based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compensation using the accelerated attribution method for those RSUs for which the service condition has been satisfied prior to the liquidity event, and we will record the remaining unrecognized stock-based compensation over the remainder of the requisite service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discussion of recently issued accounting standards applicable to Blaize is described in Note 2, Summary of Significant Accounting Policies, in the notes to our audited consolidated financial statements as of and for the years ended December 31, 2023 and 2022 and the unaudited condensed consolidated financial statements for the three and nine months ended September 30, 2024 and 2023, contained elsewhere in this prospectus.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5"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Blaize is a groundbreaking semiconductor and software technology company dedicated to revolutionizing the world of AI. Today, we provide AI accelerated computing solutions that deliver transformative value optimized for vision analytics applications at the edge. This capability is very relevant for the mobility and automotive sectors where we can offer solutions for L2+ applications in the near-term and we continue to collaborate with OEMs as they develop their solutions for L4+ applications, which is enabled by our fully auto-grade compliant chip roadmap. Our mission is to empower enterprises to harness the power of AI inference at every step from the edge to the data center, delivering real-time insights and decision-making capabilities with high speed and efficiency. With our unique and innovative hardware and software solutions, we believe we help transform industries and unlock new possibilities for our customers in an increasingly connected and data-driven world and capitalize on the business and revenue opportunities brought by the growing awareness and focus on AI.</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 with a significant purchase order that has multiple use cases leveraging the full-stack capability currently being deployed.</w:t>
      </w:r>
    </w:p>
    <w:p>
      <w:pPr>
        <w:spacing w:after="0" w:line="18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can help to drive the future of AI accelerated computing at the edge.</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revenue opportunities available to us just based on the current chip are significant with a strong and growing pipeline already in place. Development of our next-generation chip is underway and expected to provide new features and capabilities, in addition to higher compute at leading edge processor node. Further, we plan to provide an intermediate hardware solution for mobility and L2 automotive customers ahead of delivering our auto-grade chip.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Historically, most edge processing solutions were built around a cloud and data center-centric infrastructure. In such solutions, data is collected at the edge and is sent back to a centralized location where the real AI processing happens. This approach is demanding on power,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avoidance of cloud and centralized infrastructure.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recent years we have witnessed AI moving from exploration and innovation to deployment phase across most industries. Business leaders and organizations have started to understand the value, benefits and ROI of AI, leading to a significant growth in adoption of AI and demand for AI accelerator technologies.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Blaize is already engaged in various industries with great potential for the widespread adoption of AI such as automotive, defense, enterprise and more. These industries are growing at a healthy rate and are poised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continue to do so in the long term, supported by strong fundamentals such as the adoption of autonomous solutions and generative AI, decentralization of data and AI for data privacy and data ownership and the drive for sustainability. Blaize is well positioned by being able to immediately access the burgeoning AI accelerator market today with software and solutions and follow up with a rich roadmap that greatly increases our SAM.</w:t>
      </w:r>
    </w:p>
    <w:p>
      <w:pPr>
        <w:spacing w:after="0" w:line="158"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We expect the AI landscape to continue evolving at a rapid pace. Key trends that will impact the future of our industries include adoption of Generative AI, Large (“LLMs”) and Small Language Models (“SLMs”), vision transformers and multi-modality. The industry will continue to seek alternatives to incumbent architectures such as the GPU and the CPU, prioritizing performance, total cost of ownership and ease of use. These characteristics are just as relevant and necessary for data center inference applications as they are for edge AI vision analytics. As the Blaize chip roadmap is enhanced, the inherent advantages of the GSP architecture and ease of programmability enable Blaize to remain relevant to market and customer evolution.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right="160" w:firstLine="440"/>
        <w:spacing w:after="0" w:line="221" w:lineRule="auto"/>
        <w:rPr>
          <w:sz w:val="20"/>
          <w:szCs w:val="20"/>
          <w:color w:val="auto"/>
        </w:rPr>
      </w:pPr>
      <w:r>
        <w:rPr>
          <w:rFonts w:ascii="Times New Roman" w:cs="Times New Roman" w:eastAsia="Times New Roman" w:hAnsi="Times New Roman"/>
          <w:sz w:val="18"/>
          <w:szCs w:val="18"/>
          <w:color w:val="auto"/>
        </w:rPr>
        <w:t>Blaize is well positioned to capitalize on the significant growth opportunity created by artificial intelligence (AI) due to its intellectual capital, innovative products and solutions and emerging position in the market. Through 2027, as much as half of enterprise generated data is forecasted to reside outside a traditional centralized data center or cloud location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It is anticipated that edge devices will generate over 80 zettabytes (“ZB”) of data by 2025</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and this will continue to increase rapidly. This provides a colossal opportunity to capture, process and extract value (monetize) using AI computation close to where the data is being generated. Due to its unique ability to efficiently enable AI at the edge without compromising computing performance, Blaize is strongly positioned to build on its success in this market.</w:t>
      </w:r>
    </w:p>
    <w:p>
      <w:pPr>
        <w:spacing w:after="0" w:line="199" w:lineRule="exact"/>
        <w:rPr>
          <w:sz w:val="20"/>
          <w:szCs w:val="20"/>
          <w:color w:val="auto"/>
        </w:rPr>
      </w:pPr>
    </w:p>
    <w:p>
      <w:pPr>
        <w:ind w:left="120" w:right="60" w:firstLine="440"/>
        <w:spacing w:after="0" w:line="244" w:lineRule="auto"/>
        <w:rPr>
          <w:sz w:val="20"/>
          <w:szCs w:val="20"/>
          <w:color w:val="auto"/>
        </w:rPr>
      </w:pPr>
      <w:r>
        <w:rPr>
          <w:rFonts w:ascii="Times New Roman" w:cs="Times New Roman" w:eastAsia="Times New Roman" w:hAnsi="Times New Roman"/>
          <w:sz w:val="18"/>
          <w:szCs w:val="18"/>
          <w:color w:val="auto"/>
        </w:rPr>
        <w:t>Blaize serves a large and rapidly growing addressable AI market. Based upon industry reports, the total addressable market (“TAM”) for AI accelerators silicon for edge applications is estimated at approximately $34.3 billion in 2024, and expected to grow to over $63.7 billion by 2030.</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Inference processing is expected to dominate the edge silicon market both in terms of unit volume and revenue. Despite the positive outlook, the AI market is subject to rapid technological changes, evolving industry standards, customer needs and preferences and developing regulations in the United States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9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current generation of Blaize products is primarily focused on video analytics applications and AI inference at the edge. This enables Blaize to address a global Serviceable Addressable Market (“SAM”)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540" w:right="440" w:hanging="424"/>
        <w:spacing w:after="0" w:line="208" w:lineRule="auto"/>
        <w:tabs>
          <w:tab w:leader="none" w:pos="540" w:val="left"/>
        </w:tabs>
        <w:numPr>
          <w:ilvl w:val="0"/>
          <w:numId w:val="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https://www.gartner.com/en/newsroom/press-releases/2023-10-30-gartner-says-50-percent-of-critical-enterprise-applications-will-reside-outside-of-centralized-public-cloud-locations-through-2027.</w:t>
      </w:r>
    </w:p>
    <w:p>
      <w:pPr>
        <w:ind w:left="540" w:hanging="424"/>
        <w:spacing w:after="0" w:line="181" w:lineRule="auto"/>
        <w:tabs>
          <w:tab w:leader="none" w:pos="540" w:val="left"/>
        </w:tabs>
        <w:numPr>
          <w:ilvl w:val="0"/>
          <w:numId w:val="7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NTD: Source: IDC plus Blaize estimation and forecast. Hojlo, J. (2021). Future of Industry Ecosystems: Shared Insights &amp; Data | IDC Blog.</w:t>
      </w:r>
    </w:p>
    <w:p>
      <w:pPr>
        <w:spacing w:after="0" w:line="2" w:lineRule="exact"/>
        <w:rPr>
          <w:rFonts w:ascii="Times New Roman" w:cs="Times New Roman" w:eastAsia="Times New Roman" w:hAnsi="Times New Roman"/>
          <w:sz w:val="25"/>
          <w:szCs w:val="25"/>
          <w:color w:val="auto"/>
          <w:vertAlign w:val="superscript"/>
        </w:rPr>
      </w:pPr>
    </w:p>
    <w:p>
      <w:pPr>
        <w:ind w:left="5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[online] blogs.idc.com. Available at: https://blogs.idc.com/2021/01/06/future-of-industry-ecosystems-shared-data-and-insights/.</w:t>
      </w:r>
    </w:p>
    <w:p>
      <w:pPr>
        <w:spacing w:after="0" w:line="7" w:lineRule="exact"/>
        <w:rPr>
          <w:sz w:val="20"/>
          <w:szCs w:val="20"/>
          <w:color w:val="auto"/>
        </w:rPr>
      </w:pPr>
    </w:p>
    <w:p>
      <w:pPr>
        <w:ind w:left="5540" w:right="4400" w:hanging="5424"/>
        <w:spacing w:after="0" w:line="313" w:lineRule="auto"/>
        <w:tabs>
          <w:tab w:leader="none" w:pos="554"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AI Processors for the Edge Forecast Report - 2023 Database, OMDIA. 90</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33" w:lineRule="auto"/>
        <w:rPr>
          <w:sz w:val="20"/>
          <w:szCs w:val="20"/>
          <w:color w:val="auto"/>
        </w:rPr>
      </w:pPr>
      <w:r>
        <w:rPr>
          <w:rFonts w:ascii="Times New Roman" w:cs="Times New Roman" w:eastAsia="Times New Roman" w:hAnsi="Times New Roman"/>
          <w:sz w:val="18"/>
          <w:szCs w:val="18"/>
          <w:color w:val="auto"/>
        </w:rPr>
        <w:t>estimated at $26.3 billion, expected to exceed $71.3 billion in 2028</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The following verticals are included in this estimation: security and monitoring, which includes tactical edge, smart city and smart retail uses (growing at a compounded average growth rate (“CAGR”) of 21.0%), enterprise edge AI, which includes smart manufacturing and healthcare uses (growing at a CAGR of 19.6%) and autonomous systems, which is further described below. The following verticals are NOT included, as they are not addressable by Blaize technology: HMD and VR headsets, smart speakers and home appliances, laptop and consumer PCs, tablets and smartphones.</w:t>
      </w:r>
    </w:p>
    <w:p>
      <w:pPr>
        <w:spacing w:after="0" w:line="202"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In addition to the AI Edge opportunities above, Blaize’s current technology can address the autonomous systems market for drones and robotics and automotives, including AI accelerators for cockpit, in-cabin and infotainment applications. This addressable market is sized at $947 million today. In the near-term, post-2026, Blaize is planning to support driver-assist features that require auto-grade and safety features. This will extend the addressable market to include L2/L3+ autonomous computing in transportation (buses, cars and trucks) applications and expand the projected addressable market to $17.5 billion by 2028</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current hardware products place Blaize in a strong position into the burgeoning AI accelerator market today. We have worked with many customers in pilots and technical evaluations across industries, such as enterprise, defense and automotive. In addition to hardware sales, we believe we are well positioned to profit from software and services through our comprehensive, pre-integrated software stack, vertically integrated solutions, AI Studio development platform, and analytics framework and toolkit. This provides a high-margin incremental opportunity to monetize from our growing customer base and ecosystem.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target markets are large, growing and sustained by strong fundamentals, which will ensure long term revenues and growth.</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drivers for this growth are mainly attributed to an adoption drive across industries for autonomous solutions, traditional and generative AI applications, the trend towards decentralization of data, data privacy and ownership, and the global appetite for sustainability.</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believe the scalable and programmable nature of our product architecture positions us well to capitalize on rapidly changing demands of AI applications, unlike established and emerging competitive alternatives that focus on raw performance for specific and narrow workloads (such as fixed function logic for computer vision, image processing, or legacy designed repurposed for ML).</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existing products will enable Blaize to capture revenue and market share for video analytics applications in verticals such as retail, defense and healthcare by embedding in devices such as surveillance and security cameras, edge servers (including edge datacenters), drones, machine vision (including industrial automation) and robotics. Once these markets are established, Blaize will be able to expand in adjacent verticals, and in future, by intruding updated hardware and software products, expand the SAM, and associated revenue sources.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 has invested over a decade in the innovation and development of groundbreaking technologies that enable faster and more efficient deployment of advanced applications such as computer vision and machine learning. With years of combined experience across our engineering organization, we have created a new and unique parallel computing architecture that has become the foundation of our products and solutions, delivering incredible value to our customers and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540" w:hanging="424"/>
        <w:spacing w:after="0" w:line="208" w:lineRule="auto"/>
        <w:tabs>
          <w:tab w:leader="none" w:pos="540" w:val="left"/>
        </w:tabs>
        <w:numPr>
          <w:ilvl w:val="0"/>
          <w:numId w:val="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AI Processors for the Edge Forecast Report-OMDIA; Gartner (Forecast AI Semiconductors, Worldwide, 2022-2028, 2Q24 Update); plus Blaize estimation and forecast.</w:t>
      </w:r>
    </w:p>
    <w:p>
      <w:pPr>
        <w:spacing w:after="0" w:line="2" w:lineRule="exact"/>
        <w:rPr>
          <w:sz w:val="20"/>
          <w:szCs w:val="20"/>
          <w:color w:val="auto"/>
        </w:rPr>
      </w:pPr>
    </w:p>
    <w:p>
      <w:pPr>
        <w:ind w:left="540" w:right="580" w:hanging="424"/>
        <w:spacing w:after="0" w:line="200" w:lineRule="auto"/>
        <w:tabs>
          <w:tab w:leader="none" w:pos="540" w:val="left"/>
        </w:tabs>
        <w:numPr>
          <w:ilvl w:val="0"/>
          <w:numId w:val="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Source: AI Processors for the Edge Forecast Report -OMDIA; Gartner (Forecast AI Semiconductors, Worldwide, 2022- 2028, 2Q24 Update); plus Blaize estimation and forecast.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Blaize has created an innovative type of AI computing accelerator, the GSP. This processor has been designed from the ground up for computer vision and machine learning applications. It is fully programmable, making it flexible and future proof.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More significantly, as the demands of edge AI inference continue to increase at a rapid pace, and customer data is evolving and changing frequently, our GSP is a key differentiator in enabling customer confidence.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Blaize’s hardware products are compute cards that incorporate the GSP and come in a comprehensive set of commonly used form factors: M.2, EDSFF, PCIe and SOM (system on module).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Blaize that meet the demands of a wide range of customer use cases.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support industry standard APIs and frameworks, enabling customers to execute current models and develop new applications on our hardware. We also provide a comprehensive software suite, Blaize AI Studio. This is an intuitive and visual non-code environment intended to simplify the creation and deployment of AI models, with the goal of empowering developers and data scientists to build and optimize AI applications more efficiently. AI Studio features a robust set of tools and libraries, and is designed to streamline the development lifecycle, allowing organizations to bring AI-powered solutions to market more quickly.</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Collaborating with system integrators, software vendors, and hardware manufacturers, we are continuously expanding our ecosystem to ensure seamless integration and interoperability with existing infrastructure and AI frameworks. This approach enables organizations to leverage their existing investments while adopting cutting-edge AI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Target Markets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product targets two of AI’s highest-impact verticals that require AI accelerated computing at the edge: short cycle industrial and long cycle automotive.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applications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address the needs of enterprise, commercial, industrial and defense customers. We have a leading role to develop and deliver a range of complete security solutions for a defense entity that harnesses the full-stack benefits of the Blaize technology.</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Furthermore, current solutions in the market are fragmented, with multiple vendor platforms, leaving customers with the complexity and cost associated with making the pieces work together.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uniquely positioned to win because of the following:</w:t>
      </w:r>
    </w:p>
    <w:p>
      <w:pPr>
        <w:spacing w:after="0" w:line="131" w:lineRule="exact"/>
        <w:rPr>
          <w:sz w:val="20"/>
          <w:szCs w:val="20"/>
          <w:color w:val="auto"/>
        </w:rPr>
      </w:pPr>
    </w:p>
    <w:p>
      <w:pPr>
        <w:ind w:left="1080" w:right="1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programmable hardware and AI Studio software platform enables customers to fully and easily integrate their solutions and deploy to market faster and more efficiently.</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Blaize GSP provides a more efficient way to run standard and customized neural networks in automobiles and other transportation vehicles. We expect to use our Blaize GSP-based platforms to replace power-consuming GPU and FPGA chips, improving system efficiency advantage and a single scalable architecture across various use cases. In addition, we provide full programmability for a range of platforms, dynamic workloads, and updates. By combining low latency with low power consumption, Blaize GSP is ideal for efficiently processing AI workloads at the automotive edge, either as an embedded or accelerator solution.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consider our technology to be uniquely positioned to win in this market. The automotive value chain is quickly evolving with profits coming from the ability of automotive OEMs and Tier-1 suppliers to offer software upgrades and new features in the field. The Blaize technology can bring considerable advantages in these applications due to the programmability of the hardware, the support for industry standards and the overall advantage in total cost of ownership.</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understand our roadmap to be robust and able to meet the ever-growing complexity and size of models required to meet the current and future demands of autonomous driving.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Roadmap</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Silicon &amp; Hardware Roadmap</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hardware roadmap includes:</w:t>
      </w:r>
    </w:p>
    <w:p>
      <w:pPr>
        <w:spacing w:after="0" w:line="131"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system-on-chip (“SoC”) AI accelerators, in the form of integrated circuits;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expansion cards and modules that incorporate these AI accelerators;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systems solutions using these cards or modules.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Blaize architecture was designed from the ground-up to allow the targeting of several markets and applications with a single AI accelerator, which allows for a more cost-effective product development and deployment process.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current generation of hardware enables Blaize to access markets such as enterprise, commercial and industrial.</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for our next generation of hardware to deliver architectural and performance enhancements to:</w:t>
      </w:r>
    </w:p>
    <w:p>
      <w:pPr>
        <w:spacing w:after="0" w:line="13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applications from the edge to the data center;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automotive and chiplet-based designs;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customer value through new and future AI technologies and innovations.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&amp; Solutions Roadmap</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Unlike alternative AI hardware vendors, Blaize provides a complete vertically integrated solution of hardware and software that focuses on the developer and customer experience. This makes Blaize compute accelerator platforms easier to use, integrate and deploy. Our customers save valuable development time and are able to get to revenue and scale faster. Non-coders and non-engineers can easily access our platforms and port and deploy their applications with minimal effort. Thus, Blaize’s unique software and solutions approach unlocks new revenue opportunities and simplifies adoption of AI.</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software roadmap targets two fundamental needs in the marketplace: AI optimized solutions and AI development and deployment.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For AI optimized solutions, our SDK roadmap focuses on library optimization for solutions development and infrastructure optimization for overall solution performance. This includes new enhanced AI, analytics, and high-performance computing libraries that can be directly used by customers while building and deploying their applications and end-uses. The infrastructure optimization includes innovative techniques, which allows for AI model optimization and compilation, and runtime/driver updates to support a variety of new hardware hosts in the market, including but not limited to x64 and ARM-based hosts.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AI development and deployment needs, our AI Studio solution provides marketplace packaged analytics modules that customers can directly deploy in their applications.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primary and secondary research to identify key markets and sales opportunities across all target verticals. Marketing activities focus on elevating brand, product and value proposition awareness across the broader industry, with prospects in selected target verticals. This includes participation at trade events, demonstration of Blaize technology, collaborations and co-promotions with ecosystem partners, social campaigns, competitive positioning and other marketing activities.</w:t>
      </w:r>
    </w:p>
    <w:p>
      <w:pPr>
        <w:spacing w:after="0" w:line="180"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focus our marketing and sales efforts on four areas:</w:t>
      </w:r>
    </w:p>
    <w:p>
      <w:pPr>
        <w:spacing w:after="0" w:line="12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Hardware powered by Blaize</w:t>
      </w:r>
      <w:r>
        <w:rPr>
          <w:rFonts w:ascii="Times New Roman" w:cs="Times New Roman" w:eastAsia="Times New Roman" w:hAnsi="Times New Roman"/>
          <w:sz w:val="18"/>
          <w:szCs w:val="18"/>
          <w:color w:val="auto"/>
        </w:rPr>
        <w:t xml:space="preserve"> - we build, qualify, and quantify market ready hardware solutions with a large number of OEMs;</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unique full stack approach</w:t>
      </w:r>
      <w:r>
        <w:rPr>
          <w:rFonts w:ascii="Times New Roman" w:cs="Times New Roman" w:eastAsia="Times New Roman" w:hAnsi="Times New Roman"/>
          <w:sz w:val="18"/>
          <w:szCs w:val="18"/>
          <w:color w:val="auto"/>
        </w:rPr>
        <w:t xml:space="preserve"> - we are well positioned to deliver a fully integrated software and hardware solutions which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81"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Applications powered by Blaize</w:t>
      </w:r>
      <w:r>
        <w:rPr>
          <w:rFonts w:ascii="Times New Roman" w:cs="Times New Roman" w:eastAsia="Times New Roman" w:hAnsi="Times New Roman"/>
          <w:sz w:val="18"/>
          <w:szCs w:val="18"/>
          <w:color w:val="auto"/>
        </w:rPr>
        <w:t xml:space="preserve"> - our team concentrates on qualifying with application partners that deliver customer-facing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our focused verticals;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480" w:hanging="532"/>
        <w:spacing w:after="0" w:line="28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Ecosystem channel delivery</w:t>
      </w:r>
      <w:r>
        <w:rPr>
          <w:rFonts w:ascii="Times New Roman" w:cs="Times New Roman" w:eastAsia="Times New Roman" w:hAnsi="Times New Roman"/>
          <w:sz w:val="18"/>
          <w:szCs w:val="18"/>
          <w:color w:val="auto"/>
        </w:rPr>
        <w:t xml:space="preserve"> - we contract with cloud, distribution, integration, and value-add resellers already supporting our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w:t>
      </w:r>
    </w:p>
    <w:p>
      <w:pPr>
        <w:spacing w:after="0" w:line="60" w:lineRule="exact"/>
        <w:rPr>
          <w:rFonts w:ascii="Times New Roman" w:cs="Times New Roman" w:eastAsia="Times New Roman" w:hAnsi="Times New Roman"/>
          <w:sz w:val="18"/>
          <w:szCs w:val="18"/>
          <w:color w:val="auto"/>
        </w:rPr>
      </w:pPr>
    </w:p>
    <w:p>
      <w:pPr>
        <w:ind w:left="1080" w:right="420" w:hanging="532"/>
        <w:spacing w:after="0" w:line="28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Enterprise adoption</w:t>
      </w:r>
      <w:r>
        <w:rPr>
          <w:rFonts w:ascii="Times New Roman" w:cs="Times New Roman" w:eastAsia="Times New Roman" w:hAnsi="Times New Roman"/>
          <w:sz w:val="18"/>
          <w:szCs w:val="18"/>
          <w:color w:val="auto"/>
        </w:rPr>
        <w:t xml:space="preserve"> - we promote market ready solutions powered by Blaize and present use cases that meet our customers’ varying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deployment requirements.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 and Prospective Customers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w:t>
      </w:r>
    </w:p>
    <w:p>
      <w:pPr>
        <w:spacing w:after="0" w:line="18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POCA establish a timeline for each of the projects, including deadlines for the deliverables that TSP will require, beginning in the third quarter of 2024 through the fourth quarter of 2025. The POCA will continue to be in full force and effect unless terminated earlier by TSP.</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Performance of the parties’ obligations under the POCA have been delayed and, as of September 30, 2024, Blaize has not shipped any products nor received any payments from the POCA Counterparty. Under the terms of the POCA, Blaize must receive advance payment by the POCA Counterparty before the shipment of any product.</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Though no revenues have been realized under the terms of the POCA to date, Blaize management believes that, if Blaize successfully delivers the updated proof of concept by April 2025, the POCA and the relationship with TSP and TSP’s clients has the potential to generate significant revenues for the company in the future.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further believe that the solutions that Blaize is currently developing for TSP and TSP’s clients demonstrate Blaize’s capability to create a full-stack solution for the defense industry, which we believe can be marketed for other defense solutions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strengths will help us maintain our unique product solutions and continue our growth trajectory moving forward:</w:t>
      </w:r>
    </w:p>
    <w:p>
      <w:pPr>
        <w:spacing w:after="0" w:line="127" w:lineRule="exact"/>
        <w:rPr>
          <w:sz w:val="20"/>
          <w:szCs w:val="20"/>
          <w:color w:val="auto"/>
        </w:rPr>
      </w:pPr>
    </w:p>
    <w:p>
      <w:pPr>
        <w:ind w:left="1080" w:right="20" w:hanging="424"/>
        <w:spacing w:after="0" w:line="257"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Revolutionary Architecture</w:t>
      </w:r>
      <w:r>
        <w:rPr>
          <w:rFonts w:ascii="Times New Roman" w:cs="Times New Roman" w:eastAsia="Times New Roman" w:hAnsi="Times New Roman"/>
          <w:sz w:val="18"/>
          <w:szCs w:val="18"/>
          <w:color w:val="auto"/>
        </w:rPr>
        <w:t>. We believe our innovative full-stack solution, incorporating and bundling silicon, hardware, and software,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87"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Efficient and Programmable Graph Streaming Processor</w:t>
      </w:r>
      <w:r>
        <w:rPr>
          <w:rFonts w:ascii="Times New Roman" w:cs="Times New Roman" w:eastAsia="Times New Roman" w:hAnsi="Times New Roman"/>
          <w:sz w:val="17"/>
          <w:szCs w:val="17"/>
          <w:color w:val="auto"/>
        </w:rPr>
        <w:t>.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4"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fully programmable.</w:t>
      </w:r>
    </w:p>
    <w:p>
      <w:pPr>
        <w:spacing w:after="0" w:line="108" w:lineRule="exact"/>
        <w:rPr>
          <w:rFonts w:ascii="Times New Roman" w:cs="Times New Roman" w:eastAsia="Times New Roman" w:hAnsi="Times New Roman"/>
          <w:sz w:val="17"/>
          <w:szCs w:val="17"/>
          <w:color w:val="auto"/>
        </w:rPr>
      </w:pPr>
    </w:p>
    <w:p>
      <w:pPr>
        <w:ind w:left="1080" w:hanging="424"/>
        <w:spacing w:after="0" w:line="268"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Task-Level Parallelism through Highly Efficient Streaming of Neural Network Graphs</w:t>
      </w:r>
      <w:r>
        <w:rPr>
          <w:rFonts w:ascii="Times New Roman" w:cs="Times New Roman" w:eastAsia="Times New Roman" w:hAnsi="Times New Roman"/>
          <w:sz w:val="18"/>
          <w:szCs w:val="18"/>
          <w:color w:val="auto"/>
        </w:rPr>
        <w:t>. Neural network processing lends itself well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different levels of parallelism: instruction- level, data-level, thread level, and task-level. Our GSP architecture is the only one in the industry to provide all four levels of parallelism:</w:t>
      </w:r>
    </w:p>
    <w:p>
      <w:pPr>
        <w:spacing w:after="0" w:line="80" w:lineRule="exact"/>
        <w:rPr>
          <w:sz w:val="20"/>
          <w:szCs w:val="20"/>
          <w:color w:val="auto"/>
        </w:rPr>
      </w:pPr>
    </w:p>
    <w:p>
      <w:pPr>
        <w:ind w:left="1540" w:right="360" w:hanging="331"/>
        <w:spacing w:after="0" w:line="282" w:lineRule="auto"/>
        <w:tabs>
          <w:tab w:leader="none" w:pos="1540" w:val="left"/>
        </w:tabs>
        <w:numPr>
          <w:ilvl w:val="1"/>
          <w:numId w:val="85"/>
        </w:numPr>
        <w:rPr>
          <w:rFonts w:ascii="Arial" w:cs="Arial" w:eastAsia="Arial" w:hAnsi="Arial"/>
          <w:sz w:val="13"/>
          <w:szCs w:val="13"/>
          <w:color w:val="auto"/>
        </w:rPr>
      </w:pPr>
      <w:r>
        <w:rPr>
          <w:rFonts w:ascii="Times New Roman" w:cs="Times New Roman" w:eastAsia="Times New Roman" w:hAnsi="Times New Roman"/>
          <w:sz w:val="18"/>
          <w:szCs w:val="18"/>
          <w:color w:val="auto"/>
        </w:rPr>
        <w:t>GSPs offer instruction-level parallelism by scheduling instructions as soon as their dependencies have been met. Each processor executes its instructions independently of any other processor.</w:t>
      </w:r>
    </w:p>
    <w:p>
      <w:pPr>
        <w:spacing w:after="0" w:line="67" w:lineRule="exact"/>
        <w:rPr>
          <w:rFonts w:ascii="Arial" w:cs="Arial" w:eastAsia="Arial" w:hAnsi="Arial"/>
          <w:sz w:val="13"/>
          <w:szCs w:val="13"/>
          <w:color w:val="auto"/>
        </w:rPr>
      </w:pPr>
    </w:p>
    <w:p>
      <w:pPr>
        <w:ind w:left="1540" w:right="160" w:hanging="331"/>
        <w:spacing w:after="0" w:line="282" w:lineRule="auto"/>
        <w:tabs>
          <w:tab w:leader="none" w:pos="1540" w:val="left"/>
        </w:tabs>
        <w:numPr>
          <w:ilvl w:val="1"/>
          <w:numId w:val="85"/>
        </w:numPr>
        <w:rPr>
          <w:rFonts w:ascii="Arial" w:cs="Arial" w:eastAsia="Arial" w:hAnsi="Arial"/>
          <w:sz w:val="13"/>
          <w:szCs w:val="13"/>
          <w:color w:val="auto"/>
        </w:rPr>
      </w:pPr>
      <w:r>
        <w:rPr>
          <w:rFonts w:ascii="Times New Roman" w:cs="Times New Roman" w:eastAsia="Times New Roman" w:hAnsi="Times New Roman"/>
          <w:sz w:val="18"/>
          <w:szCs w:val="18"/>
          <w:color w:val="auto"/>
        </w:rPr>
        <w:t>GSPs offer thread parallelism, with multiple hardware threads per processor. Within a single clock cycle, our processor can change context either by switching threads or by dispatching a new thread.</w:t>
      </w:r>
    </w:p>
    <w:p>
      <w:pPr>
        <w:spacing w:after="0" w:line="67" w:lineRule="exact"/>
        <w:rPr>
          <w:rFonts w:ascii="Arial" w:cs="Arial" w:eastAsia="Arial" w:hAnsi="Arial"/>
          <w:sz w:val="13"/>
          <w:szCs w:val="13"/>
          <w:color w:val="auto"/>
        </w:rPr>
      </w:pPr>
    </w:p>
    <w:p>
      <w:pPr>
        <w:jc w:val="both"/>
        <w:ind w:left="1540" w:right="60" w:hanging="331"/>
        <w:spacing w:after="0" w:line="312" w:lineRule="auto"/>
        <w:tabs>
          <w:tab w:leader="none" w:pos="1540" w:val="left"/>
        </w:tabs>
        <w:numPr>
          <w:ilvl w:val="1"/>
          <w:numId w:val="85"/>
        </w:numPr>
        <w:rPr>
          <w:rFonts w:ascii="Arial" w:cs="Arial" w:eastAsia="Arial" w:hAnsi="Arial"/>
          <w:sz w:val="12"/>
          <w:szCs w:val="12"/>
          <w:color w:val="auto"/>
        </w:rPr>
      </w:pPr>
      <w:r>
        <w:rPr>
          <w:rFonts w:ascii="Times New Roman" w:cs="Times New Roman" w:eastAsia="Times New Roman" w:hAnsi="Times New Roman"/>
          <w:sz w:val="17"/>
          <w:szCs w:val="17"/>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45" w:lineRule="exact"/>
        <w:rPr>
          <w:rFonts w:ascii="Arial" w:cs="Arial" w:eastAsia="Arial" w:hAnsi="Arial"/>
          <w:sz w:val="12"/>
          <w:szCs w:val="12"/>
          <w:color w:val="auto"/>
        </w:rPr>
      </w:pPr>
    </w:p>
    <w:p>
      <w:pPr>
        <w:jc w:val="both"/>
        <w:ind w:left="1540" w:right="40" w:hanging="331"/>
        <w:spacing w:after="0" w:line="261" w:lineRule="auto"/>
        <w:tabs>
          <w:tab w:leader="none" w:pos="1540" w:val="left"/>
        </w:tabs>
        <w:numPr>
          <w:ilvl w:val="1"/>
          <w:numId w:val="85"/>
        </w:numPr>
        <w:rPr>
          <w:rFonts w:ascii="Arial" w:cs="Arial" w:eastAsia="Arial" w:hAnsi="Arial"/>
          <w:sz w:val="13"/>
          <w:szCs w:val="13"/>
          <w:color w:val="auto"/>
        </w:rPr>
      </w:pPr>
      <w:r>
        <w:rPr>
          <w:rFonts w:ascii="Times New Roman" w:cs="Times New Roman" w:eastAsia="Times New Roman" w:hAnsi="Times New Roman"/>
          <w:sz w:val="18"/>
          <w:szCs w:val="18"/>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81" w:lineRule="exact"/>
        <w:rPr>
          <w:rFonts w:ascii="Arial" w:cs="Arial" w:eastAsia="Arial" w:hAnsi="Arial"/>
          <w:sz w:val="13"/>
          <w:szCs w:val="13"/>
          <w:color w:val="auto"/>
        </w:rPr>
      </w:pPr>
    </w:p>
    <w:p>
      <w:pPr>
        <w:ind w:left="1080" w:right="40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Fully Programmable Architecture with Efficient End-to-end Applications</w:t>
      </w:r>
      <w:r>
        <w:rPr>
          <w:rFonts w:ascii="Times New Roman" w:cs="Times New Roman" w:eastAsia="Times New Roman" w:hAnsi="Times New Roman"/>
          <w:sz w:val="18"/>
          <w:szCs w:val="18"/>
          <w:color w:val="auto"/>
        </w:rPr>
        <w:t>. AI developers today face three major challenges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deploying AI applications in the real-world:</w:t>
      </w:r>
    </w:p>
    <w:p>
      <w:pPr>
        <w:spacing w:after="0" w:line="60" w:lineRule="exact"/>
        <w:rPr>
          <w:rFonts w:ascii="Times New Roman" w:cs="Times New Roman" w:eastAsia="Times New Roman" w:hAnsi="Times New Roman"/>
          <w:sz w:val="18"/>
          <w:szCs w:val="18"/>
          <w:color w:val="auto"/>
        </w:rPr>
      </w:pPr>
    </w:p>
    <w:p>
      <w:pPr>
        <w:ind w:left="2080" w:right="360" w:hanging="533"/>
        <w:spacing w:after="0" w:line="286" w:lineRule="auto"/>
        <w:tabs>
          <w:tab w:leader="none" w:pos="2080"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Neural network functions are usually part of an overall application; therefore, developers need to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easily and efficiently integrate both the neural network and non-neural network functions;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right="40" w:hanging="533"/>
        <w:spacing w:after="0" w:line="286" w:lineRule="auto"/>
        <w:tabs>
          <w:tab w:leader="none" w:pos="2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entire AI application must run efficiently on the hardware deployed, with high performance, low latency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power; and</w:t>
      </w:r>
    </w:p>
    <w:p>
      <w:pPr>
        <w:spacing w:after="0" w:line="60" w:lineRule="exact"/>
        <w:rPr>
          <w:rFonts w:ascii="Times New Roman" w:cs="Times New Roman" w:eastAsia="Times New Roman" w:hAnsi="Times New Roman"/>
          <w:sz w:val="18"/>
          <w:szCs w:val="18"/>
          <w:color w:val="auto"/>
        </w:rPr>
      </w:pPr>
    </w:p>
    <w:p>
      <w:pPr>
        <w:ind w:left="2080" w:hanging="533"/>
        <w:spacing w:after="0" w:line="286" w:lineRule="auto"/>
        <w:tabs>
          <w:tab w:leader="none" w:pos="2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It is crucial to be able to update applications and neural networks as more data is collected in the field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neural network innovations rapidly evolve.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GSP solves these three major challenges in the following ways:</w:t>
      </w:r>
    </w:p>
    <w:p>
      <w:pPr>
        <w:spacing w:after="0" w:line="127" w:lineRule="exact"/>
        <w:rPr>
          <w:sz w:val="20"/>
          <w:szCs w:val="20"/>
          <w:color w:val="auto"/>
        </w:rPr>
      </w:pPr>
    </w:p>
    <w:p>
      <w:pPr>
        <w:ind w:left="2080" w:right="120" w:hanging="533"/>
        <w:spacing w:after="0" w:line="268" w:lineRule="auto"/>
        <w:tabs>
          <w:tab w:leader="none" w:pos="2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Integration</w:t>
      </w:r>
      <w:r>
        <w:rPr>
          <w:rFonts w:ascii="Times New Roman" w:cs="Times New Roman" w:eastAsia="Times New Roman" w:hAnsi="Times New Roman"/>
          <w:sz w:val="18"/>
          <w:szCs w:val="18"/>
          <w:color w:val="auto"/>
        </w:rPr>
        <w:t>. The GSP architecture is fully programmable, which enables developers to build end-to-end AI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 non-neural network functions (such as Image Signal Processing) and neural network functions that are built in any Machine Learning framework, and execute these on the same hardware.</w:t>
      </w:r>
    </w:p>
    <w:p>
      <w:pPr>
        <w:spacing w:after="0" w:line="76" w:lineRule="exact"/>
        <w:rPr>
          <w:rFonts w:ascii="Times New Roman" w:cs="Times New Roman" w:eastAsia="Times New Roman" w:hAnsi="Times New Roman"/>
          <w:sz w:val="18"/>
          <w:szCs w:val="18"/>
          <w:color w:val="auto"/>
        </w:rPr>
      </w:pPr>
    </w:p>
    <w:p>
      <w:pPr>
        <w:ind w:left="2080" w:right="160" w:hanging="533"/>
        <w:spacing w:after="0" w:line="286" w:lineRule="auto"/>
        <w:tabs>
          <w:tab w:leader="none" w:pos="2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Efficiency</w:t>
      </w:r>
      <w:r>
        <w:rPr>
          <w:rFonts w:ascii="Times New Roman" w:cs="Times New Roman" w:eastAsia="Times New Roman" w:hAnsi="Times New Roman"/>
          <w:sz w:val="18"/>
          <w:szCs w:val="18"/>
          <w:color w:val="auto"/>
        </w:rPr>
        <w:t>. The fully integrated Picasso software development platform and graph framework take care of translating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end-to-end AI applications into graphs that run efficiently and performantly on the underlying hardware.</w:t>
      </w:r>
    </w:p>
    <w:p>
      <w:pPr>
        <w:spacing w:after="0" w:line="60" w:lineRule="exact"/>
        <w:rPr>
          <w:rFonts w:ascii="Times New Roman" w:cs="Times New Roman" w:eastAsia="Times New Roman" w:hAnsi="Times New Roman"/>
          <w:sz w:val="18"/>
          <w:szCs w:val="18"/>
          <w:color w:val="auto"/>
        </w:rPr>
      </w:pPr>
    </w:p>
    <w:p>
      <w:pPr>
        <w:ind w:left="2080" w:right="700" w:hanging="533"/>
        <w:spacing w:after="0" w:line="286" w:lineRule="auto"/>
        <w:tabs>
          <w:tab w:leader="none" w:pos="20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Periodic updates</w:t>
      </w:r>
      <w:r>
        <w:rPr>
          <w:rFonts w:ascii="Times New Roman" w:cs="Times New Roman" w:eastAsia="Times New Roman" w:hAnsi="Times New Roman"/>
          <w:sz w:val="18"/>
          <w:szCs w:val="18"/>
          <w:color w:val="auto"/>
        </w:rPr>
        <w:t>. As the neural network and workflow evolves, and as new data is collected, the AI models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re-trained and re-deployed with ease and speed, using the integrated Picasso toolkit.</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 Capex and De-Risked Business Model</w:t>
      </w:r>
      <w:r>
        <w:rPr>
          <w:rFonts w:ascii="Times New Roman" w:cs="Times New Roman" w:eastAsia="Times New Roman" w:hAnsi="Times New Roman"/>
          <w:sz w:val="18"/>
          <w:szCs w:val="18"/>
          <w:color w:val="auto"/>
        </w:rPr>
        <w:t>. While we design and sell our hardware and semiconductor chips, we do not manufacture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 wafers or chips used in our products. Instead, we outsource the fabrication of these products to a manufacturing plant.</w:t>
      </w:r>
    </w:p>
    <w:p>
      <w:pPr>
        <w:spacing w:after="0" w:line="6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Efficiency</w:t>
      </w:r>
      <w:r>
        <w:rPr>
          <w:rFonts w:ascii="Times New Roman" w:cs="Times New Roman" w:eastAsia="Times New Roman" w:hAnsi="Times New Roman"/>
          <w:sz w:val="18"/>
          <w:szCs w:val="18"/>
          <w:color w:val="auto"/>
        </w:rPr>
        <w:t>. As a fabless manufacturing company, we avoid potentially high capital investments that would be required to build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Flexibility and Scalability</w:t>
      </w:r>
      <w:r>
        <w:rPr>
          <w:rFonts w:ascii="Times New Roman" w:cs="Times New Roman" w:eastAsia="Times New Roman" w:hAnsi="Times New Roman"/>
          <w:sz w:val="18"/>
          <w:szCs w:val="18"/>
          <w:color w:val="auto"/>
        </w:rPr>
        <w:t>. We can scale production quickly without having to invest in additional manufacturing facilities.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respond to market demand fluctuations by leveraging the capacity and capabilities of external foundries. We believe this flexibility allows us to adapt to market conditions and rapidly bring new products to market.</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Technological Expertise</w:t>
      </w:r>
      <w:r>
        <w:rPr>
          <w:rFonts w:ascii="Times New Roman" w:cs="Times New Roman" w:eastAsia="Times New Roman" w:hAnsi="Times New Roman"/>
          <w:sz w:val="18"/>
          <w:szCs w:val="18"/>
          <w:color w:val="auto"/>
        </w:rPr>
        <w:t>. We have a relentless focus to concentrate all efforts on research, development, and innovation, without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burdened by the complexities of semiconductor manufacturing. Our teams of experts are solely focused on designing advanced chips and pushing technological boundaries. We believe this specialization has enabled our development of more cutting-edge products and faster time-to-market.</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Advanced Processes</w:t>
      </w:r>
      <w:r>
        <w:rPr>
          <w:rFonts w:ascii="Times New Roman" w:cs="Times New Roman" w:eastAsia="Times New Roman" w:hAnsi="Times New Roman"/>
          <w:sz w:val="18"/>
          <w:szCs w:val="18"/>
          <w:color w:val="auto"/>
        </w:rPr>
        <w:t>.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Supply Chain</w:t>
      </w:r>
      <w:r>
        <w:rPr>
          <w:rFonts w:ascii="Times New Roman" w:cs="Times New Roman" w:eastAsia="Times New Roman" w:hAnsi="Times New Roman"/>
          <w:sz w:val="18"/>
          <w:szCs w:val="18"/>
          <w:color w:val="auto"/>
        </w:rPr>
        <w:t>. Our fabless approach gives us the ability to tap into a global network of foundries, enabling our selection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76"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Focus on Differentiation</w:t>
      </w:r>
      <w:r>
        <w:rPr>
          <w:rFonts w:ascii="Times New Roman" w:cs="Times New Roman" w:eastAsia="Times New Roman" w:hAnsi="Times New Roman"/>
          <w:sz w:val="18"/>
          <w:szCs w:val="18"/>
          <w:color w:val="auto"/>
        </w:rPr>
        <w:t>. With manufacturing outsourced, we have the capacity to heavily focus on developing unique features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(“IP”). We are investing in specialized design teams, software development, and system integration to create products that stand out in the market and provide a competitive advantage.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240" w:hanging="424"/>
        <w:spacing w:after="0" w:line="268"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Time-to-Market</w:t>
      </w:r>
      <w:r>
        <w:rPr>
          <w:rFonts w:ascii="Times New Roman" w:cs="Times New Roman" w:eastAsia="Times New Roman" w:hAnsi="Times New Roman"/>
          <w:sz w:val="18"/>
          <w:szCs w:val="18"/>
          <w:color w:val="auto"/>
        </w:rPr>
        <w:t>. We believe the fabless manufacturing model allows us to expedite our product development cycles.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partnering with external foundries, we parallelize design and fabrication processes, reducing time-consuming steps and accelerating the overall time-to-market.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elements of our strategy for growth include focusing on the following areas:</w:t>
      </w:r>
    </w:p>
    <w:p>
      <w:pPr>
        <w:spacing w:after="0" w:line="13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through expansion of our current products reach deeper into our own industry’s verticals and expanding into adjacent verticals.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ecosystem of hardware manufacturers and independent software vendors specializing across a variety of industry verticals and form new partnerships with them to bring innovative turn-key solutions to market.</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enhance the features available in AI Studio in order to target a wider community of developers, including universities and other institutes of higher education.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market AI trends into the design of our next-generation SoC to further expand our addressable TAM.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outsource all of our manufacturing and leverage partnerships with several global manufacturing and assembly providers.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6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segment.</w:t>
      </w:r>
    </w:p>
    <w:p>
      <w:pPr>
        <w:spacing w:after="0" w:line="63" w:lineRule="exact"/>
        <w:rPr>
          <w:sz w:val="20"/>
          <w:szCs w:val="20"/>
          <w:color w:val="auto"/>
        </w:rPr>
      </w:pPr>
    </w:p>
    <w:p>
      <w:pPr>
        <w:ind w:left="1080" w:right="100" w:hanging="424"/>
        <w:spacing w:after="0" w:line="268"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Center and Edge</w:t>
      </w:r>
      <w:r>
        <w:rPr>
          <w:rFonts w:ascii="Times New Roman" w:cs="Times New Roman" w:eastAsia="Times New Roman" w:hAnsi="Times New Roman"/>
          <w:sz w:val="18"/>
          <w:szCs w:val="18"/>
          <w:color w:val="auto"/>
        </w:rPr>
        <w:t>. We believe our main competitors come from producers of graphics processing units (“GPUs”), such as NVIDIA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(“NVIDIA”), and GPU-derived application-specific-standard products (“ASSPs”). As we continue to grow, we predict additional competition will come from in-CPU acceleration provided by established vendors, including Intel and AMD.</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220" w:hanging="424"/>
        <w:spacing w:after="0" w:line="259"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Surveillance and Security</w:t>
      </w:r>
      <w:r>
        <w:rPr>
          <w:rFonts w:ascii="Times New Roman" w:cs="Times New Roman" w:eastAsia="Times New Roman" w:hAnsi="Times New Roman"/>
          <w:sz w:val="18"/>
          <w:szCs w:val="18"/>
          <w:color w:val="auto"/>
        </w:rPr>
        <w:t>. We consider companies with in-house application-specific integrated circuits (“ASICs”) that are either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84"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Machine Vision</w:t>
      </w:r>
      <w:r>
        <w:rPr>
          <w:rFonts w:ascii="Times New Roman" w:cs="Times New Roman" w:eastAsia="Times New Roman" w:hAnsi="Times New Roman"/>
          <w:sz w:val="18"/>
          <w:szCs w:val="18"/>
          <w:color w:val="auto"/>
        </w:rPr>
        <w:t>. We compete with industrial autonomation, quality control, and other machine vision utilization industries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81"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Drones, Robotics and Other Embedded Applications</w:t>
      </w:r>
      <w:r>
        <w:rPr>
          <w:rFonts w:ascii="Times New Roman" w:cs="Times New Roman" w:eastAsia="Times New Roman" w:hAnsi="Times New Roman"/>
          <w:sz w:val="18"/>
          <w:szCs w:val="18"/>
          <w:color w:val="auto"/>
        </w:rPr>
        <w:t>. We believe competition in this category is primarily from in-house designs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81" w:lineRule="exact"/>
        <w:rPr>
          <w:rFonts w:ascii="Times New Roman" w:cs="Times New Roman" w:eastAsia="Times New Roman" w:hAnsi="Times New Roman"/>
          <w:sz w:val="18"/>
          <w:szCs w:val="18"/>
          <w:color w:val="auto"/>
        </w:rPr>
      </w:pPr>
    </w:p>
    <w:p>
      <w:pPr>
        <w:ind w:left="1080" w:right="520" w:hanging="424"/>
        <w:spacing w:after="0" w:line="26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Automotive</w:t>
      </w:r>
      <w:r>
        <w:rPr>
          <w:rFonts w:ascii="Times New Roman" w:cs="Times New Roman" w:eastAsia="Times New Roman" w:hAnsi="Times New Roman"/>
          <w:sz w:val="18"/>
          <w:szCs w:val="18"/>
          <w:color w:val="auto"/>
        </w:rPr>
        <w:t>. We believe competition in this category comes from programmable AI-based computer vision developed in-house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OEMs and by solutions merchants, such as NVIDIA, Qualcomm, Mobileye Global Inc., and emerging start-ups, such as Tenstorrent Inc.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invested a significant amount of time and expense into Research and Development (“R&amp;D”) to develop our AI and Machine Learning (“ML”) solutions. Our R&amp;D activities currently include focusing in the following areas: processor architecture, design and implementation, AI and ML and other computing algorithms, device driver, middleware software, application software, AI and ML solutions throughout their lifecycle from development, to deployment, to MLOps, and more. Our R&amp;D team consists of technical operators and professionals with experience from a wide variety of leading technology, business, and research organizations. Our R&amp;D activities are largely conducted in (i) the United States in California and North Carolina; (ii) Kuala Lumpur, Malaysia; (iii) Leeds, United Kingdom; and (iv) Hyderabad, India. As of October 31, 2024, we had approximately 160 employees engaged in R&amp;D activities.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VeriSilicon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October 12, 2018, Blaize entered into a Master ASIC Design, Manufacturing and Product Sales Agreement (the “VeriSilicon Agreement”) with VeriSilicon, pursuant to which VeriSilicon agreed to provide Blaize with design expertise, support and assistance, and certain deliverables, prototypes, products and services under individual statements of work (each, a “Statement of Work”). Pursuant to a Statement of Work effective as of October 12, 2018, Blaize agreed to pay for VeriSilicon’s performance of certain design services in accordance with the pricing terms (including potential milestone payments and cancellation fees) set forth therein.</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term of the VeriSilicon Agreement will be automatically renewed for consecutive one-year renewal terms unless and until a party notifies the other of its intent not to renew at least thirty days (or in the case of VeriSilicon, one year) prior to the expiration of the then-current term. Either party may terminate the VeriSilicon Agreement if (i) the other party has materially breached the VeriSilicon Agreement without cure within ninety days of written notice, (ii) the other party files a petition in bankruptcy (which is not discharged within fourteen days), undergoes a reorganization in connection therewith, is adjudicated bankrupt or insolvent, becomes dissolved or liquidated, files a petition for dissolution or liquidation, makes an assignment for benefit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creditors, has a receiver appointed for its business, is subject to property attachment or court injunction or is otherwise subject to a similar court order or</w:t>
      </w:r>
    </w:p>
    <w:p>
      <w:pPr>
        <w:spacing w:after="0" w:line="27" w:lineRule="exact"/>
        <w:rPr>
          <w:sz w:val="20"/>
          <w:szCs w:val="20"/>
          <w:color w:val="auto"/>
        </w:rPr>
      </w:pPr>
    </w:p>
    <w:p>
      <w:pPr>
        <w:ind w:left="120" w:right="700" w:hanging="4"/>
        <w:spacing w:after="0" w:line="290" w:lineRule="auto"/>
        <w:tabs>
          <w:tab w:leader="none" w:pos="43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provides a one-year prior written notice to the other party, with or without cause. Additionally, VeriSilicon may terminate the VeriSilicon Agreement if it has a specific and reasonable basis to believe that there is an infringement of a third party’s intellectual property rights.</w:t>
      </w:r>
    </w:p>
    <w:p>
      <w:pPr>
        <w:spacing w:after="0" w:line="15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VeriSilicon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Plexus Agreement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March 29, 2021, Blaize entered into a Letter Agreement (the “Plexus Agreement”) with Plexus Corp. and its controlled affiliates (collectively, “Plexus”), pursuant to which Plexus agreed to provide Blaize with certain deliverables, products and platforms specified therein or under individual purchase orders.</w:t>
      </w:r>
    </w:p>
    <w:p>
      <w:pPr>
        <w:spacing w:after="0" w:line="17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term of the Plexus Agreement will continue until (i) the Plexus Agreement is superseded and replaced by a comprehensive manufacturing services agreement or (ii) a party, for any reason, notifies the other of its intent to terminate at least one hundred and eighty days in advance. Upon termination, Blaize shall pay Plexus for all finished deliverables and products; work in progress deliverables and products at the finished goods price as if manufactured to completion; and component inventory on hand or on order that was procured by Plexus in accordance with the Plexus Agreement.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Plexus Agreement includes customary terms relating to, among others, indemnification, confidentiality, remedies and warranties.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privacy</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All states have adopted laws requiring notice to consumers of a security breach involving their personal information. In the event of a security breach, these laws may subject us to incident response, notice and remediation costs. Failure to safeguard data adequately or to destroy data securely could subject us to regulatory investigations or enforcement actions under federal or state data security, unfair practices, or consumer protection laws. The scope and interpretation of these laws could change, and the associated burdens and compliance costs could increase in the future.</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these privacy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result in the imposition of monetary liability or demanding injunctive relief, divert management’s time and attention, increase our costs of doing business, and materially adversely affect our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Anti-corruption and sanctions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that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We have built a portfolio of intellectual property, including issued patents and registered trademarks, copyrights, confidential technical information, and expertise in the AI and ML at the edge sectors.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October 25,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162"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actions, claims, suits and other legal proceedings arising in the ordinary course of our business, including assertions by third parties relating to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El Dorado Hills, California where we lease approximately 1,753 square feet of office space pursuant to a lease that expires on June 15, 2025. Our El Dorado Hills premises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contains administrative functions of the company. We also lease approximately 4,192 square feet of office space pursuant to a lease that expires on September 1, 2026. Our San Jose premises contains engineering and research and development functions of the company.</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lease approximately 35,000 square feet of office space in Hyderabad, India pursuant to leases that expire on September 30, 2028. Our India premises contains engineering, research and development, and administrative functions of the company.</w:t>
      </w:r>
    </w:p>
    <w:p>
      <w:pPr>
        <w:spacing w:after="0" w:line="162"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expires on July 15, 2025, which contains engineering and R&amp;D functions for Blaize.</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office and other space is adequate for our current needs and, should we need additional space, we believe we will be able to obtain additional space on commercially reasonable terms.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00"/>
          </w:cols>
          <w:pgMar w:left="320" w:top="455" w:right="6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sets forth certain information, as of January 16, 2025, concerning the persons who serve as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3"/>
              </w:rPr>
              <w:t>  Age </w:t>
            </w:r>
          </w:p>
        </w:tc>
        <w:tc>
          <w:tcPr>
            <w:tcW w:w="320" w:type="dxa"/>
            <w:vAlign w:val="bottom"/>
          </w:tcPr>
          <w:p>
            <w:pPr>
              <w:spacing w:after="0"/>
              <w:rPr>
                <w:sz w:val="16"/>
                <w:szCs w:val="16"/>
                <w:color w:val="auto"/>
              </w:rPr>
            </w:pPr>
          </w:p>
        </w:tc>
        <w:tc>
          <w:tcPr>
            <w:tcW w:w="650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M. Bess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6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6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and Director</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Dinakar Munagala is a co-founder of Blaize and has served as our Chief Executive Officer and a member of our board of directors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Harminder Sehmi has served as our Chief Financial Officer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w:t>
      </w:r>
    </w:p>
    <w:p>
      <w:pPr>
        <w:spacing w:after="0" w:line="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Sehmi served in a variety of operational, group and global roles with Vodafone Group PLC. 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Lane M. Bess, Director</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Lane Bess has served as a member of our board of directors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Tony Cannestra,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Tony Cannestra has served as a member of our board of directors since October 2016. Since April 2014,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nonamaterial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Edward (Ed) H. Frank, Director</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Dr. Edward H. Frank has served as a member of our board of directors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Jüergen Hambrecht, Director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Dr. Jüergen Hambrecht has served as a member of our board of directors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George de Urioste, Director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George de Urioste joined as a member of our board of directors following the closing of the Business Combination. From August 2023 to present, he has served as a director of the board of Roambee Corporation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was previously a Certified Public Accountant.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Yoshiaki Fujimori, Director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Yoshiaki Fujimori, age 74, joined as a member of our board of directors following the closing of the Business Combination. He is currently an outside director for Takeda Pharmaceutical Company Limited since June 2016. He is also an outside director for Boston Scientific Corporation since July 2016, and also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Dinakar Munagala, Chief Executive Officer Director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Harminder Sehmi, Chief Financial Officer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biographical information above in the Directors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structure our corporate governance in a manner we believe closely aligns our interests with those of our stockholders. Notable features of this corporate governance include:</w:t>
      </w:r>
    </w:p>
    <w:p>
      <w:pPr>
        <w:spacing w:after="0" w:line="67" w:lineRule="exact"/>
        <w:rPr>
          <w:sz w:val="20"/>
          <w:szCs w:val="20"/>
          <w:color w:val="auto"/>
        </w:rPr>
      </w:pPr>
    </w:p>
    <w:p>
      <w:pPr>
        <w:ind w:left="1080" w:right="1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qualifies as an “audit committee financial expert” as defined by the SEC;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and will continue to implement a range of other corporate governance best practices, including implementing a robust director education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the directors are “independent directors” as defined in the Nasdaq listing standards and applicable SEC rules, other than Dinakar Munagala and Lane Bess. Our independent directors will have regularly scheduled meetings at which only independent directors are present.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(662/3%)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directs the management of our business and affairs, as provided by Delaware law, and conducts its business through meetings of the board of directors and standing committees. We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31" w:lineRule="exact"/>
        <w:rPr>
          <w:sz w:val="20"/>
          <w:szCs w:val="20"/>
          <w:color w:val="auto"/>
        </w:rPr>
      </w:pPr>
    </w:p>
    <w:p>
      <w:pPr>
        <w:ind w:left="1080" w:right="7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hiring policies for employees or former employees of our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any earnings announcements, disclosures and other financial information and guidance;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review, retention and investigation of complaints received by us regarding financial controls, accounting, auditing or other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67"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legal and regulatory compliance and any material current, pending or threatened legal matters;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consists of George de Urioste, Edward Frank and Tony Cannestra, with George de Urioste serving as chair. Rule 10A-3 of the Exchange Act and Nasdaq rules require that our audit committee must be composed entirely of independent members. Our board of directors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of directors has determined that George de Urioste qualifies as an “audit committee financial expert,” as such term is defined in Item 407(d)(5) of Regulation S-K. Our board of directors adopted a written charter for the audit committee, which is available on our corporate website at www.blaize.com. The information on any of our websites is deemed not to be incorporated in this prospectus or to be part of this prospectus.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our overall compensation strategy and policies;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compensation and other terms of employment of our executive officers and other members of senior management, in the compensation committee’s discretion;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our non-employee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plans;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appropriate insurance coverage for our directors and officers;</w:t>
      </w:r>
    </w:p>
    <w:p>
      <w:pPr>
        <w:spacing w:after="0" w:line="128" w:lineRule="exact"/>
        <w:rPr>
          <w:rFonts w:ascii="Times New Roman" w:cs="Times New Roman" w:eastAsia="Times New Roman" w:hAnsi="Times New Roman"/>
          <w:sz w:val="18"/>
          <w:szCs w:val="18"/>
          <w:color w:val="auto"/>
        </w:rPr>
      </w:pPr>
    </w:p>
    <w:p>
      <w:pPr>
        <w:ind w:left="1080" w:right="340" w:hanging="424"/>
        <w:spacing w:after="0" w:line="315" w:lineRule="auto"/>
        <w:tabs>
          <w:tab w:leader="none" w:pos="10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our disclosures under the caption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in our periodic reports or proxy statements to be filed with the SEC, to the extent such caption is included in any such report or proxy statement;</w:t>
      </w:r>
    </w:p>
    <w:p>
      <w:pPr>
        <w:spacing w:after="0" w:line="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our directors and executive officers, if and as determined to be necessary or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on compensation-related proposals to be considered at our annual meeting of stockholders;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discussing with management our human capital management practices with respect to its employees and, where applicable, independent contractors;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modifying, as needed, clawback policies allowing us to recoup improper compensation paid to employees;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Edward Frank, George de Urioste and Tony Cannestra, with Edward Frank serving as chair. Our board of directors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of directors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of Directors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Effective as of the Closing, the Company will not have a nominating and corporate governance committee of the Company’s Board. Pursuant to Nasdaq Rule 5605-6(e)(1), the nomination of directors shall be made, or recommended to the board of directors, by a Nominating Committee of the board of directors consisting solely of independent directors, or by a majority of independent directors. Effective as of the Closing, the Company will not have a nominating and corporate governance committee of the Company’s Board; rather, the nomination of directors shall be made, or recommended to the board of directors by a majority of our independent directors. The Company may in the future establish a nominating and corporate governance committee for the nomination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our Board in Risk Oversight/Risk Committee</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1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740"/>
          </w:cols>
          <w:pgMar w:left="320" w:top="455" w:right="8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BLAIZE’S EXECUTIVE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Throughout this section, unless otherwise noted, “the company,” “we,” “us,” “our” and similar terms refer to Blaize prior to the Closing.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Blaize’s executive officers who are named in the “Summary Compensation Table” below. In 2024, Blaize’s “named executive officers” and their positions were as follows:</w:t>
      </w:r>
    </w:p>
    <w:p>
      <w:pPr>
        <w:spacing w:after="0" w:line="67"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 Cook, Chief Software Architect;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Santiago Fernandez-Gomez, Vice President of Platform Engineering.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named executive officers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620" w:type="dxa"/>
            <w:vAlign w:val="bottom"/>
            <w:vMerge w:val="restart"/>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(1)</w:t>
            </w:r>
          </w:p>
        </w:tc>
        <w:tc>
          <w:tcPr>
            <w:tcW w:w="26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(2)</w:t>
            </w:r>
          </w:p>
        </w:tc>
        <w:tc>
          <w:tcPr>
            <w:tcW w:w="2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595,833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3,798,428</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4,394,285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1,337,142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1,637,167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 Cook</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397,570</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781,714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1,179,308</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Software Architect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476,724</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701,749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447,917</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730,817</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1,178,758</w:t>
            </w:r>
          </w:p>
        </w:tc>
        <w:tc>
          <w:tcPr>
            <w:tcW w:w="0" w:type="dxa"/>
            <w:vAlign w:val="bottom"/>
          </w:tcPr>
          <w:p>
            <w:pPr>
              <w:spacing w:after="0"/>
              <w:rPr>
                <w:sz w:val="1"/>
                <w:szCs w:val="1"/>
                <w:color w:val="auto"/>
              </w:rPr>
            </w:pPr>
          </w:p>
        </w:tc>
      </w:tr>
      <w:tr>
        <w:trPr>
          <w:trHeight w:val="23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Vice President of Platform Engineering</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6" w:lineRule="exact"/>
        <w:rPr>
          <w:sz w:val="20"/>
          <w:szCs w:val="20"/>
          <w:color w:val="auto"/>
        </w:rPr>
      </w:pPr>
    </w:p>
    <w:p>
      <w:pPr>
        <w:jc w:val="both"/>
        <w:ind w:left="540" w:right="80" w:hanging="424"/>
        <w:spacing w:after="0" w:line="229" w:lineRule="auto"/>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ind w:left="540" w:hanging="424"/>
        <w:spacing w:after="0"/>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dollar value of life insurance premiums paid by Blaize with respect to each named executive officer during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21" w:lineRule="exact"/>
        <w:rPr>
          <w:sz w:val="20"/>
          <w:szCs w:val="20"/>
          <w:color w:val="auto"/>
        </w:rPr>
      </w:pPr>
    </w:p>
    <w:p>
      <w:pPr>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Mr. Fernandez-Gomez: $450,000. The Summary Compensation Table above shows the actual base salaries paid to each named executive officer in fiscal year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176" w:lineRule="exact"/>
        <w:rPr>
          <w:sz w:val="20"/>
          <w:szCs w:val="20"/>
          <w:color w:val="auto"/>
        </w:rPr>
      </w:pPr>
    </w:p>
    <w:p>
      <w:pPr>
        <w:ind w:left="120" w:right="140" w:firstLine="440"/>
        <w:spacing w:after="0" w:line="213" w:lineRule="auto"/>
        <w:rPr>
          <w:sz w:val="20"/>
          <w:szCs w:val="20"/>
          <w:color w:val="auto"/>
        </w:rPr>
      </w:pPr>
      <w:r>
        <w:rPr>
          <w:rFonts w:ascii="Times New Roman" w:cs="Times New Roman" w:eastAsia="Times New Roman" w:hAnsi="Times New Roman"/>
          <w:sz w:val="18"/>
          <w:szCs w:val="18"/>
          <w:color w:val="auto"/>
        </w:rPr>
        <w:t>The options granted to the named executive officers in 2024 vest and become exercisable with respect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of the shares subject to the option on the first anniversary of the vesting commencement date and</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35" w:lineRule="auto"/>
        <w:rPr>
          <w:sz w:val="20"/>
          <w:szCs w:val="20"/>
          <w:color w:val="auto"/>
        </w:rPr>
      </w:pPr>
      <w:r>
        <w:rPr>
          <w:rFonts w:ascii="Times New Roman" w:cs="Times New Roman" w:eastAsia="Times New Roman" w:hAnsi="Times New Roman"/>
          <w:sz w:val="17"/>
          <w:szCs w:val="17"/>
          <w:color w:val="auto"/>
        </w:rPr>
        <w:t>with respect to one-thirty-sixth (1/36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cs="Times New Roman" w:eastAsia="Times New Roman" w:hAnsi="Times New Roman"/>
          <w:sz w:val="17"/>
          <w:szCs w:val="17"/>
          <w:i w:val="1"/>
          <w:iCs w:val="1"/>
          <w:color w:val="auto"/>
        </w:rPr>
        <w:t>Offer Letters</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131" w:lineRule="exact"/>
        <w:rPr>
          <w:sz w:val="20"/>
          <w:szCs w:val="20"/>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accidental death and dismemberment insurance.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Blaize does not make gross-up payments to cover our named executive officers’ personal income taxes that may pertain to any of the compensation or perquisites paid or provided by our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60"/>
          </w:cols>
          <w:pgMar w:left="320" w:top="455"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00" w:type="dxa"/>
            <w:vAlign w:val="bottom"/>
            <w:gridSpan w:val="2"/>
            <w:vMerge w:val="continue"/>
          </w:tcPr>
          <w:p>
            <w:pPr>
              <w:spacing w:after="0"/>
              <w:rPr>
                <w:sz w:val="12"/>
                <w:szCs w:val="12"/>
                <w:color w:val="auto"/>
              </w:rPr>
            </w:pP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40" w:type="dxa"/>
            <w:vAlign w:val="bottom"/>
            <w:gridSpan w:val="2"/>
          </w:tcPr>
          <w:p>
            <w:pPr>
              <w:jc w:val="center"/>
              <w:ind w:right="35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40" w:type="dxa"/>
            <w:vAlign w:val="bottom"/>
            <w:gridSpan w:val="2"/>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tcPr>
          <w:p>
            <w:pPr>
              <w:jc w:val="center"/>
              <w:ind w:right="353"/>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340" w:type="dxa"/>
            <w:vAlign w:val="bottom"/>
            <w:gridSpan w:val="2"/>
          </w:tcPr>
          <w:p>
            <w:pPr>
              <w:jc w:val="center"/>
              <w:ind w:right="368"/>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Dinakar Munagala</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3/15/2017</w:t>
            </w: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1/1/2017</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147,000</w:t>
            </w:r>
          </w:p>
        </w:tc>
        <w:tc>
          <w:tcPr>
            <w:tcW w:w="42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2"/>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3/14/2027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11/12/2018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9/1/2018</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226,305</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2,197,372</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3,124,027</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10/24/2024</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tcPr>
          <w:p>
            <w:pPr>
              <w:jc w:val="right"/>
              <w:ind w:right="41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208"/>
              <w:spacing w:after="0" w:line="216" w:lineRule="exact"/>
              <w:rPr>
                <w:sz w:val="20"/>
                <w:szCs w:val="20"/>
                <w:color w:val="auto"/>
              </w:rPr>
            </w:pPr>
            <w:r>
              <w:rPr>
                <w:rFonts w:ascii="Times New Roman" w:cs="Times New Roman" w:eastAsia="Times New Roman" w:hAnsi="Times New Roman"/>
                <w:sz w:val="17"/>
                <w:szCs w:val="17"/>
                <w:color w:val="auto"/>
              </w:rPr>
              <w:t>7,379,065</w:t>
            </w:r>
            <w:r>
              <w:rPr>
                <w:rFonts w:ascii="Times New Roman" w:cs="Times New Roman" w:eastAsia="Times New Roman" w:hAnsi="Times New Roman"/>
                <w:sz w:val="25"/>
                <w:szCs w:val="25"/>
                <w:color w:val="auto"/>
                <w:vertAlign w:val="superscript"/>
              </w:rPr>
              <w:t>(3)</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 Cook</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3/15/2017</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1/1/2017</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40,038</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11/12/2018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9/1/2018</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113,152</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794,866</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1,112,814</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10/24/2024</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tcPr>
          <w:p>
            <w:pPr>
              <w:jc w:val="right"/>
              <w:ind w:right="41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208"/>
              <w:spacing w:after="0" w:line="216" w:lineRule="exact"/>
              <w:rPr>
                <w:sz w:val="20"/>
                <w:szCs w:val="20"/>
                <w:color w:val="auto"/>
              </w:rPr>
            </w:pPr>
            <w:r>
              <w:rPr>
                <w:rFonts w:ascii="Times New Roman" w:cs="Times New Roman" w:eastAsia="Times New Roman" w:hAnsi="Times New Roman"/>
                <w:sz w:val="17"/>
                <w:szCs w:val="17"/>
                <w:color w:val="auto"/>
              </w:rPr>
              <w:t>1,517,044</w:t>
            </w:r>
            <w:r>
              <w:rPr>
                <w:rFonts w:ascii="Times New Roman" w:cs="Times New Roman" w:eastAsia="Times New Roman" w:hAnsi="Times New Roman"/>
                <w:sz w:val="25"/>
                <w:szCs w:val="25"/>
                <w:color w:val="auto"/>
                <w:vertAlign w:val="superscript"/>
              </w:rPr>
              <w:t>(3)</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Santiago Fernandez-Gomez</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1/2/2017</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7/8/2015</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5,000</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8/27/2018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7/9/2018</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67,935</w:t>
            </w:r>
            <w:r>
              <w:rPr>
                <w:rFonts w:ascii="Times New Roman" w:cs="Times New Roman" w:eastAsia="Times New Roman" w:hAnsi="Times New Roman"/>
                <w:sz w:val="25"/>
                <w:szCs w:val="25"/>
                <w:color w:val="auto"/>
                <w:vertAlign w:val="superscript"/>
              </w:rPr>
              <w:t>(4)</w:t>
            </w:r>
          </w:p>
        </w:tc>
        <w:tc>
          <w:tcPr>
            <w:tcW w:w="13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8/26/2028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11/17/2021</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1/1/2021</w:t>
            </w:r>
          </w:p>
        </w:tc>
        <w:tc>
          <w:tcPr>
            <w:tcW w:w="1240" w:type="dxa"/>
            <w:vAlign w:val="bottom"/>
            <w:gridSpan w:val="2"/>
            <w:shd w:val="clear" w:color="auto" w:fill="CCEEFF"/>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4,896</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11/16/2031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9/19/2023</w:t>
            </w:r>
          </w:p>
        </w:tc>
        <w:tc>
          <w:tcPr>
            <w:tcW w:w="1240" w:type="dxa"/>
            <w:vAlign w:val="bottom"/>
            <w:gridSpan w:val="2"/>
          </w:tcPr>
          <w:p>
            <w:pPr>
              <w:jc w:val="right"/>
              <w:ind w:right="193"/>
              <w:spacing w:after="0" w:line="216" w:lineRule="exact"/>
              <w:rPr>
                <w:sz w:val="20"/>
                <w:szCs w:val="20"/>
                <w:color w:val="auto"/>
              </w:rPr>
            </w:pPr>
            <w:r>
              <w:rPr>
                <w:rFonts w:ascii="Times New Roman" w:cs="Times New Roman" w:eastAsia="Times New Roman" w:hAnsi="Times New Roman"/>
                <w:sz w:val="17"/>
                <w:szCs w:val="17"/>
                <w:color w:val="auto"/>
              </w:rPr>
              <w:t>654,484</w:t>
            </w:r>
            <w:r>
              <w:rPr>
                <w:rFonts w:ascii="Times New Roman" w:cs="Times New Roman" w:eastAsia="Times New Roman" w:hAnsi="Times New Roman"/>
                <w:sz w:val="25"/>
                <w:szCs w:val="25"/>
                <w:color w:val="auto"/>
                <w:vertAlign w:val="superscript"/>
              </w:rPr>
              <w:t>(2)</w:t>
            </w:r>
          </w:p>
        </w:tc>
        <w:tc>
          <w:tcPr>
            <w:tcW w:w="13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916,278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9/18/2033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10/24/2024</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7/1/2024</w:t>
            </w:r>
          </w:p>
        </w:tc>
        <w:tc>
          <w:tcPr>
            <w:tcW w:w="1240" w:type="dxa"/>
            <w:vAlign w:val="bottom"/>
            <w:gridSpan w:val="2"/>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jc w:val="right"/>
              <w:ind w:right="208"/>
              <w:spacing w:after="0" w:line="216" w:lineRule="exact"/>
              <w:rPr>
                <w:sz w:val="20"/>
                <w:szCs w:val="20"/>
                <w:color w:val="auto"/>
              </w:rPr>
            </w:pPr>
            <w:r>
              <w:rPr>
                <w:rFonts w:ascii="Times New Roman" w:cs="Times New Roman" w:eastAsia="Times New Roman" w:hAnsi="Times New Roman"/>
                <w:sz w:val="17"/>
                <w:szCs w:val="17"/>
                <w:color w:val="auto"/>
              </w:rPr>
              <w:t>1,418,448</w:t>
            </w:r>
            <w:r>
              <w:rPr>
                <w:rFonts w:ascii="Times New Roman" w:cs="Times New Roman" w:eastAsia="Times New Roman" w:hAnsi="Times New Roman"/>
                <w:sz w:val="25"/>
                <w:szCs w:val="25"/>
                <w:color w:val="auto"/>
                <w:vertAlign w:val="superscript"/>
              </w:rPr>
              <w:t>(3)</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33" w:lineRule="auto"/>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w:t>
      </w:r>
    </w:p>
    <w:p>
      <w:pPr>
        <w:ind w:left="540" w:right="500" w:hanging="424"/>
        <w:spacing w:after="0" w:line="221" w:lineRule="auto"/>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ind w:left="540" w:right="160" w:hanging="424"/>
        <w:spacing w:after="0" w:line="221" w:lineRule="auto"/>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ind w:left="540" w:right="460" w:hanging="424"/>
        <w:spacing w:after="0" w:line="233" w:lineRule="auto"/>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Munagala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18, 2018 (as amended, the “Munagala Offer Letter”) with Mr. Munagala, pursuant to which,</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8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6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Mr. Munagala’s receipt of any severance payments and benefits is subject to his execution and non-revocation of a general release in favor of Blaize.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Cook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party to an offer letter, dated June 20, 2018 (as amended, the “Cook Offer Letter”) with Mr. Cook, pursuant to which, Mr. Cook serves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Chief Software Architect. Pursuant to the Cook Offer Letter, Mr. Cook is entitled to receive a base salary which, as of January 1, 2024,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 and is eligible to be considered for annual incentive bonuses. The Cook Offer Letter provides that Mr. Cook is also eligible to participate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Blaize-sponsored benefit plans and for paid vacation in accordance with Blaize policy.</w:t>
      </w:r>
    </w:p>
    <w:p>
      <w:pPr>
        <w:spacing w:after="0" w:line="20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80" w:lineRule="exact"/>
        <w:rPr>
          <w:sz w:val="20"/>
          <w:szCs w:val="20"/>
          <w:color w:val="auto"/>
        </w:rPr>
      </w:pPr>
    </w:p>
    <w:p>
      <w:pPr>
        <w:jc w:val="center"/>
        <w:ind w:left="700" w:right="180"/>
        <w:spacing w:after="0" w:line="454" w:lineRule="auto"/>
        <w:rPr>
          <w:sz w:val="20"/>
          <w:szCs w:val="20"/>
          <w:color w:val="auto"/>
        </w:rPr>
      </w:pPr>
      <w:r>
        <w:rPr>
          <w:rFonts w:ascii="Times New Roman" w:cs="Times New Roman" w:eastAsia="Times New Roman" w:hAnsi="Times New Roman"/>
          <w:sz w:val="18"/>
          <w:szCs w:val="18"/>
          <w:color w:val="auto"/>
        </w:rPr>
        <w:t>Mr. Cook’s receipt of any severance payments and benefits is subject to his execution and non-revocation of a general release in favor of Blaize. 115</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Letter for Mr. Fernandez-Gomez</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BLAIZE’S DIRECTOR COMPENSATION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Director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Blaize’s non-employee directors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vMerge w:val="restart"/>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940" w:type="dxa"/>
            <w:vAlign w:val="bottom"/>
          </w:tcPr>
          <w:p>
            <w:pPr>
              <w:jc w:val="right"/>
              <w:ind w:right="238"/>
              <w:spacing w:after="0" w:line="160"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318,472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318,472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318,472</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318,472</w:t>
            </w: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242,571</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242,571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40" w:hanging="424"/>
        <w:spacing w:after="0" w:line="241" w:lineRule="auto"/>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8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held as of December 31, 2024 by each non-employee director who served during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 Fiscal Year</w:t>
            </w:r>
          </w:p>
        </w:tc>
        <w:tc>
          <w:tcPr>
            <w:tcW w:w="0" w:type="dxa"/>
            <w:vAlign w:val="bottom"/>
          </w:tcPr>
          <w:p>
            <w:pPr>
              <w:spacing w:after="0"/>
              <w:rPr>
                <w:sz w:val="1"/>
                <w:szCs w:val="1"/>
                <w:color w:val="auto"/>
              </w:rPr>
            </w:pPr>
          </w:p>
        </w:tc>
      </w:tr>
      <w:tr>
        <w:trPr>
          <w:trHeight w:val="160"/>
        </w:trPr>
        <w:tc>
          <w:tcPr>
            <w:tcW w:w="6600" w:type="dxa"/>
            <w:vAlign w:val="bottom"/>
            <w:gridSpan w:val="2"/>
            <w:vMerge w:val="continue"/>
          </w:tcPr>
          <w:p>
            <w:pPr>
              <w:spacing w:after="0"/>
              <w:rPr>
                <w:sz w:val="13"/>
                <w:szCs w:val="13"/>
                <w:color w:val="auto"/>
              </w:rPr>
            </w:pPr>
          </w:p>
        </w:tc>
        <w:tc>
          <w:tcPr>
            <w:tcW w:w="8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End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Edward Frank</w:t>
            </w:r>
          </w:p>
        </w:tc>
        <w:tc>
          <w:tcPr>
            <w:tcW w:w="8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95"/>
              </w:rPr>
              <w:t>909,535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920,850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909,535</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477,750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non-employee directors serving on the Board are entitled to cash compensation in the following amounts:</w:t>
      </w:r>
    </w:p>
    <w:p>
      <w:pPr>
        <w:spacing w:after="0" w:line="67"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$80,000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Retainer for Non-Executive Chair: $40,000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Committee Chair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$24,000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$20,000</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Non-Chair Committee Member Retainers: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$16,000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$14,000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cash retainers will be paid in quarterly installments in arrears and will be pro-rated for any partial calendar quarter of service.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7"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Initial Awards. </w:t>
      </w:r>
      <w:r>
        <w:rPr>
          <w:rFonts w:ascii="Times New Roman" w:cs="Times New Roman" w:eastAsia="Times New Roman" w:hAnsi="Times New Roman"/>
          <w:sz w:val="18"/>
          <w:szCs w:val="18"/>
          <w:color w:val="auto"/>
        </w:rPr>
        <w:t>Under the Director Compensation Program, each non-employee director who is initially elected or appointed to serve on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closing of the Business Combination will be granted an award of restricted stock units at the time of the election or appointment with a grant-date value of approximately $600,000, which will vest with respect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200"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Annual Awards. </w:t>
      </w:r>
      <w:r>
        <w:rPr>
          <w:rFonts w:ascii="Times New Roman" w:cs="Times New Roman" w:eastAsia="Times New Roman" w:hAnsi="Times New Roman"/>
          <w:sz w:val="17"/>
          <w:szCs w:val="17"/>
          <w:color w:val="auto"/>
        </w:rPr>
        <w:t>Under the Director Compensation Program, each non-employee director who is serving on the Board as of the date of each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w:t>
      </w:r>
    </w:p>
    <w:p>
      <w:pPr>
        <w:spacing w:after="0" w:line="1" w:lineRule="exact"/>
        <w:rPr>
          <w:sz w:val="20"/>
          <w:szCs w:val="20"/>
          <w:color w:val="auto"/>
        </w:rPr>
      </w:pPr>
    </w:p>
    <w:p>
      <w:pPr>
        <w:ind w:left="120" w:right="320" w:hanging="4"/>
        <w:spacing w:after="0" w:line="260" w:lineRule="auto"/>
        <w:tabs>
          <w:tab w:leader="none" w:pos="3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one-year anniversary of the applicable grant date and (ii) the date of the next annual meeting following the grant date, subject to the director’s continued service on the Board through the applicable vesting date.</w:t>
      </w:r>
    </w:p>
    <w:p>
      <w:pPr>
        <w:spacing w:after="0" w:line="18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Compensation under the Director Compensation Program is subject to the annual limits on non-employee director compensation set forth in the Incentive Award Plan (or any successor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jc w:val="both"/>
        <w:ind w:left="120" w:right="1080" w:firstLine="440"/>
        <w:spacing w:after="0" w:line="315" w:lineRule="auto"/>
        <w:rPr>
          <w:sz w:val="20"/>
          <w:szCs w:val="20"/>
          <w:color w:val="auto"/>
        </w:rPr>
      </w:pPr>
      <w:r>
        <w:rPr>
          <w:rFonts w:ascii="Times New Roman" w:cs="Times New Roman" w:eastAsia="Times New Roman" w:hAnsi="Times New Roman"/>
          <w:sz w:val="17"/>
          <w:szCs w:val="17"/>
          <w:color w:val="auto"/>
        </w:rPr>
        <w:t>In addition to the compensation arrangements with directors and executive officers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 the following is a description of each transaction since January 1, 2022 and each currently proposed transaction in which:</w:t>
      </w:r>
    </w:p>
    <w:p>
      <w:pPr>
        <w:spacing w:after="0" w:line="42"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$120,000;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 Registration Rights Agreement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Bess Ventures Secured Promissory Notes and Related Transactions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Transactions—Legacy Blaize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Preferred Stock Conversion and ExchangeLegacy Blaize was a party to the P2P NPA, pursuant to which Legacy Blaize issued, in accordance with the exchange formula therein and the subsequent rights offering completed in November 2023 (the “Rights Offering”), the following shadow preferred shares: (i) an aggregate of 2,020,309 shares of Legacy Blaize Series Seed Shadow Preferred Stock in exchange for Legacy Blaize’s common stock acquired upon conversion of Blaize Series Seed Preferred Stock; (ii) an aggregate of 4,573,935 shares of Legacy Blaize Series A Shadow Preferred Stock in exchange for Legacy Blaize’s common stock acquired upon conversion of Legacy Blaize Series A Preferred Stock; (iii) an aggregate of 12,234,661 shares of Legacy Blaize Series B Shadow Preferred Stock in exchange for Legacy Blaize’s common stock acquired upon conversion of Legacy Blaize Series B Preferred Stock; (iv) an aggregate of 10,211,548 shares of Legacy Blaize Series C Shadow Preferred Stock in exchange for Legacy Blaize’s common stock acquired upon conversion of Legacy Blaize Series C Preferred Stock; (v) an aggregate of 239,405 shares of Legacy Blaize Series D Exchange Shadow Preferred Stock in exchange for Legacy Blaize’s common stock acquired upon conversion of Legacy Blaize Series D Exchange Preferred Stock; (vi) an aggregate of 3,990,707 shares of Legacy Blaize Series D Shadow Preferred Stock in exchange for Legacy Blaize’s common stock acquired upon conversion of Legacy Blaize Series D Preferred Stock; (vii) an aggregate of 3,662,318 shares of Legacy Blaize Series D-1 Shadow Preferred Stock in exchange for Legacy Blaize’s common stock acquired upon conversion of Legacy Blaize Series D-1 Preferred Stock; and</w:t>
      </w:r>
    </w:p>
    <w:p>
      <w:pPr>
        <w:spacing w:after="0" w:line="2" w:lineRule="exact"/>
        <w:rPr>
          <w:sz w:val="20"/>
          <w:szCs w:val="20"/>
          <w:color w:val="auto"/>
        </w:rPr>
      </w:pPr>
    </w:p>
    <w:p>
      <w:pPr>
        <w:jc w:val="both"/>
        <w:ind w:left="120" w:right="200" w:hanging="4"/>
        <w:spacing w:after="0" w:line="255" w:lineRule="auto"/>
        <w:tabs>
          <w:tab w:leader="none" w:pos="52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7,561,820 shares of Legacy Blaize Series D-2 Shadow Preferred Stock in exchange for Legacy Blaize’s common stock acquired upon conversion of Legacy Blaize Series D-2 Preferred Stock (collectively, the “Conversion and Exchange”). Collectively, Legacy Blaize issued P2P Notes in connection with the Conversion and Exchange in the aggregate principal amount of $12.2 million, plus interest.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Rights Offering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P2P NPA, Legacy Blaize completed the Rights Offering in November 2023, whereby any common stockholder of Legacy Blaize that held shares of common stock as of immediately prior to the 10:1 reverse stock split completed in November 2022 had the opportunity to purchase a pro-rata portion of the P2P Notes and partially or fully undo the effects of the reverse stock split. The P2P Notes bore simple interest at a rate of ten percent (10%) and, unless converted earlier into shares pursuant to the P2P NPA, was payable on the earlier of (i) immediately prior to Legacy Blaize’s consummation of a transaction defined as a “Liquidation Event” in the Certificate of Incorporation of Legacy Blaize or (ii) an event of default with respect to the P2P Notes. Proceeds received under the Rights Offering totaled $0.1 million. Under the Rights Offering, Satyaki Koneru, the Chief Technical Officer of Blaize, purchased a P2P Note in the aggregate principal amount of $28,924.76; Ke Yin, the Vice President of Engineering of Legacy Blaize purchased a P2P Note in the aggregate principal amount of $28,924.76; and Dinakar Munagala, Chief Executive Officer and a member of the Legacy Blaize board of directors, purchased two P2P Notes in the aggregate principal amounts of $19,637.14 and $7,797.04, respectively. Since January 1, 2023, the largest aggregate amount of principal outstanding under the P2P Notes was approximately $12.4 million, and no amount of principal or interest has been paid under the P2P Notes. As of June 24, 2024, Legacy Blaize had approximately $12.4 million in borrowings outstanding under the P2P Notes, inclusive of P2P Notes issued under the Rights Offering.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Legacy Blaize was a party to the Amended and Restated Investors’ Rights Agreement, dated September 19, 2022, as amended by that certain Omnibus Amendment and Agreement, dated December 8, 2022, which provided, among other things, that certain holders of its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a member of the Legacy Blaize board of directors, had the right to demand that Legacy Blaize file a registration statement or request that their shares of Legacy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Blaize capital stock be covered by a registration statement that Blaize is otherwise filing. This agreement was terminated upon completion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Refusal and Co-Sale Agreement</w:t>
      </w:r>
    </w:p>
    <w:p>
      <w:pPr>
        <w:spacing w:after="0" w:line="121"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Pursuant to certain agreements with its stockholders, including the Amended and Restated First Refusal and Co-sale Agreement, dated September 19, 2022, as amended by that certain Omnibus Amendment and Agreement, dated December 8, 2022 (the “ROFR Agreement”), Legacy Blaize or its assignees had the right to (i) purchase shares of Legacy Blaize capital stock which certain stockholders propose to sell to other parties and</w:t>
      </w:r>
    </w:p>
    <w:p>
      <w:pPr>
        <w:spacing w:after="0" w:line="2" w:lineRule="exact"/>
        <w:rPr>
          <w:sz w:val="20"/>
          <w:szCs w:val="20"/>
          <w:color w:val="auto"/>
        </w:rPr>
      </w:pPr>
    </w:p>
    <w:p>
      <w:pPr>
        <w:ind w:left="120" w:right="20" w:hanging="4"/>
        <w:spacing w:after="0" w:line="252" w:lineRule="auto"/>
        <w:tabs>
          <w:tab w:leader="none" w:pos="3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sale of shares of Legacy Blaize capital stock alongside certain stockholders. Certain holders of Legacy Blaize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Director of Legacy Blaize, had rights of first refusal and co-sale under the ROFR Agreement. The ROFR Agreement was terminated upon completion of the Business Combination.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Legacy Blaize was a party to the Amended and Restated Voting Agreement, dated September 19, 2022, as amended by that certain Omnibus Amendment and Agreement, dated December 8, 2022, and as further amended by that certain Amendment, dated July 3, 2023, pursuant to which certain holders of its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a member of the Legacy Blaize board of directors, agreed to vote their shares of our capital stock on certain matters, including with respect to the board size and the election of directors. This agreement was terminated upon completion of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Support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Legacy Blaize was a party to the Stockholder Support Agreement, dated December 22, 2023 (the “Company Support Agreement”), pursuant to which certain holders of its capital stock, including Dinakar Munagala, Chief Executive Officer and a member of the Legacy Blaize board of directors, and entities affiliated with NSITEXE and DENSO, which are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agreed to, among other things: (i) support and vote in favor of (a) the approval and adoption of the Merger Agreement and the Business Combination, (b) the conversion of each issued and outstanding share of Legacy Blaize Preferred Stock into one share of Legacy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Legacy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Legacy Blaize Capital Stock, subject to certain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exceptions, and termination of certain stockholder agreements and other affiliate agreements of Legacy Blaize. This agreement was terminated upon completion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Side Letters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Bess Note (as defined below), pursuant to which Legacy Blaize borrowed an aggregate principal amount of $5,000,000 from Bess Ventures, Legacy Blaize and Bess Ventures, which is affiliated with a member of the Legacy Blaize board of directors, Lane Bess, and currently holds more than 5% of Legacy Blaize’s outstanding capital stock, entered into a Management and Board Observer Rights Agreement, dated as of July 3, 2023 (the “Bess Side Letter”), pursuant to which Legacy Blaize agreed to grant certain management consultation rights, access to books and records rights, inspection rights and board observer rights to Bess Ventures. The Bess Side Letter was terminated upon completion of the Business Combination.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Note Purchase and Exchange Agreement, pursuant to which Legacy Blaize has borrowed an aggregate principal amount of $634,489.56 in aggregate from Franklin Funds, Legacy Blaize and Franklin Advisers, Inc., as the investment manager on behalf of Franklin Funds, which held within Legacy Blaize’s last fiscal year more than 5% of Legacy Blaize’s outstanding capital stock (collectively, the “Franklin Parties”), entered into a Side Letter, dated as of January 19, 2023 (the “Franklin P2P Side Letter”), pursuant to which Legacy Blaize agreed to waive the lock-up provisions applicable to Legacy Blaize’s common stock or its convertible securities acquired by the Franklin Parties following the effective date of the first firm commitment underwritten public offering of Legacy Blaize’s securities. The Franklin P2P Side Letter was terminated upon completion of the Business Combination.</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Note Purchase Agreement, dated as of July 3, 2023 (as amended and restated on April 22, 2024, the “Amended and Restated Note Purchase Agreement”), pursuant to which Legacy Blaize borrowed an aggregate principal amount of $2,000,000 in aggregate from Franklin Funds, Legacy Blaize and the Franklin Parties, entered into a Side Letter, dated as of August 23, 2023 (the “Franklin 2023 Side Letter”), pursuant to which Legacy Blaize has agreed to the satisfaction of certain investment obligations of the Franklin Parties, and to waive the lock-up provisions applicable to Legacy Blaize’s common stock or its convertible securities acquired by the Franklin Parties following the effective date of the first firm commitment underwritten public offering of Legacy Blaize’s securities. The Franklin 2023 Side Letter was terminated upon completion of the Business Combination.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Legacy Blaize was a party to the Notice of Restricted Stock Unit Award, dated as of July 3, 2023 (the “Bess RSU Agreement”), pursuant to which Legacy Blaize granted under the 2011 Stock Plan an award of 6,000,000 restricted stock units representing common stock of Legacy Blaize (the “Bess RSUs”), with a deemed grant date value of $2.6 million and an additional value of $1.7 million associated with a subsequent acceleration of vesting, to Bess Ventures, which is affiliated with a member of the Legacy Blaize board of directors, Lane Bess, and currently holds more than 5% of Legacy Blaize’s outstanding capital stock. The Bess RSUs are subject to various anti-dilution protections, and under their original terms vested upon the earlier to occur of (i) July 3, 2024, provided that Bess Ventures remained in continuous service as an employee, consultant or outside director through such date or (ii) Blaize’s completion of an initial public offering, a SPAC IPO (as defined in the Bess RSU Agreement), direct listing or sale event. On December 20, 2023, the Legacy Blaize Board unanimously approved a modification to the Bess RSU terms to immediately accelerate the vesting of the 6.0 million awards outstanding and issue 6.0 million shares of common stock, which were otherwise set to fully vest on July 3, 2024 on the terms of the Bess RSU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and Operating Agreements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Legacy Blaize was a party to a Long-Term Joint Development Agreement with an affiliate of a certain related party, dated as of February 15, 2022, pursuant to which Legacy Blaize and an affiliate of a certain related party, which held more than 5% of Legacy Blaize’s outstanding capital stock within Legacy Blaize’s last fiscal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year and is affiliated with a member of the Legacy Blaize board of directors, Tony Cannestra, agreed to jointly develop AI solutions based on one or more Blaize Products and market and sell the AI solutions to customers in various automotive market segments until the end of December 2029. Legacy Blaize has not recognized any revenue to date associated with the Long-Term Joint Development Agreement as it has yet to be commercialized. Legacy Blaize expected commercialization of the Long-Term Joint Development Agreement to begin in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Intercompany Transactions, Accounts Payable and Account Receivable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an Intercompany Service Agreement, dated February 25, 2020, by and between Legacy Blaize and Blaize New Computing Technologies India Private Limited, a subsidiary of Legacy Blaize (“Blaize India”), Blaize India agreed to provide software development services to Legacy Blaize in exchange for a fee equal to Blaize India’s costs plus a markup of approximately 15%. The Intercompany Service Agreement remains in effect and the amounts paid by Blaize to Blaize India under this agreement were approximately $10.2 million, $11.5 million, $15.8 million and $15.9 million for the nine months ended September 30, 2024 and the fiscal years ended December 31, 2023, 2022 and 2021, respectively.</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Legacy Blaize is a party to the Research and Development Services Agreement, dated as of June 15, 2019, pursuant to which Blaize U.K. Limited f/k/a ThinCI Limited, a subsidiary of Legacy Blaize (“Blaize UK”), has agreed to perform certain research and development services for Legacy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amounts paid by Legacy Blaize to Blaize UK under this agreement were approximately $5.0 million, $6.1 million, $7.7 million and $8.6 million for the nine months ended September 30, 2024 and the fiscal years ended December 31, 2023, 2022 and 2021,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Licensing and Trademark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Legacy Blaize was a party to the Blaize-DENSO Compiler Project Statement of Work, dated as of February 4, 2024, pursuant to which DENSO Corporation, an affiliate of Legacy Blaize which beneficially owns more than 5% of Blaize’s outstanding capital stock through its subsidiary, DENSO, and is affiliated with a member of the Legacy Blaize board of directors, Tony Cannestra, agreed to jointly develop certain AI projects with Legacy Blaize. The approximate dollar value of the amount involved in the transaction is $326,658.60.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Legacy Blaize is a party to that certain intercompany Loan Agreement, dated June 14, 2019, between Blaize, Inc. (formerly known as M/s ThinCI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 as lender, and Blaize New Computing Technologies India Private Limited (formerly known as M/s ThinCI Semiconductor Technologies India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Limited), as borrower, in the initial principal amount of $4,462,416 (the “Blaize India Loan”). The Blaize India Loan bore simple interest at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 of 7.99 percent (7.99%) and was payable within seven (7) working days from the expiry of interest period of six consecutive months. Since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January 1, 2023, the largest aggregate amount of principal outstanding under the Blaize India Loan was $3,569,932. The amount of principal and interest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paid under the Blaize India Loan since the inception of loan to date amounts to $1,784,969 and $505,190, respectively. As of September 30,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Blaize India had $2,677,448 of borrowings outstanding under the Blaize India Loan.</w:t>
      </w:r>
    </w:p>
    <w:p>
      <w:pPr>
        <w:spacing w:after="0" w:line="207"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Legacy Blaize was a party to the Note Purchase and Exchange Agreement, pursuant to which Legacy Blaize borrowed an aggregate principal amount of $12,244,033.56 from certain holders of its capital stock, including the following related persons and their affiliated entities: (i) $2,312,010.00 from Anderson Investments (the related note, the “Anderson Note”), which currently holds more than 5% of Legacy Blaize’s outstanding capital stock,</w:t>
      </w:r>
    </w:p>
    <w:p>
      <w:pPr>
        <w:spacing w:after="0" w:line="2" w:lineRule="exact"/>
        <w:rPr>
          <w:sz w:val="20"/>
          <w:szCs w:val="20"/>
          <w:color w:val="auto"/>
        </w:rPr>
      </w:pPr>
    </w:p>
    <w:p>
      <w:pPr>
        <w:ind w:left="380" w:hanging="264"/>
        <w:spacing w:after="0"/>
        <w:tabs>
          <w:tab w:leader="none" w:pos="3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$3,280,853.00 from DENSO Corporation (the related note, the “DENSO Note”), an affiliate of Legacy Blaize which beneficially owns more than</w:t>
      </w:r>
    </w:p>
    <w:p>
      <w:pPr>
        <w:spacing w:after="0" w:line="9" w:lineRule="exact"/>
        <w:rPr>
          <w:rFonts w:ascii="Times New Roman" w:cs="Times New Roman" w:eastAsia="Times New Roman" w:hAnsi="Times New Roman"/>
          <w:sz w:val="18"/>
          <w:szCs w:val="18"/>
          <w:color w:val="auto"/>
        </w:rPr>
      </w:pPr>
    </w:p>
    <w:p>
      <w:pPr>
        <w:ind w:left="12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of Legacy Blaize’s outstanding capital stock together with its subsidiary, DENSO, and is affiliated with a member of the Legacy Blaize board of directors, Tony Cannestra,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hanging="4"/>
        <w:spacing w:after="0" w:line="253" w:lineRule="auto"/>
        <w:tabs>
          <w:tab w:leader="none" w:pos="4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$634,489.56 in aggregate from Franklin Funds (the related notes, the “Franklin 2022 Notes”), which held within Legacy Blaize’s last fiscal year more than 5% of Legacy Blaize’s outstanding capital stock. The notes issued pursuant to such Note Purchase and Exchange Agreement are convertible, bear simple interest at a rate of ten percent (10%) and are payable on the earlier of (i) Legacy Blaize’s consummation of a transaction defined as a “Liquidation Event” in the Certificate of Incorporation of Blaize or (ii) an event of default with respect to the notes. Since January 1, 2023, the largest aggregate amount of principal outstanding under the Anderson Note was $2,312,010.00, and no amount of principal or interest has been paid under the Anderson Note. As of September 30, 2024, Legacy Blaize had $2,312,010.00 of borrowings outstanding under the Anderson Note. Since January 1, 2023, the largest aggregate amount of principal outstanding under the DENSO Note was $3,280,853.00, and no amount of principal or interest has been paid under the DENSO Note. As of September 30, 2024, Legacy Blaize had $3,280,853.00 of borrowings outstanding under the DENSO Note. Since January 1, 2023, the largest aggregate amount of principal outstanding under the Franklin 2022 Notes was $634,489.56, and no amount of principal or interest has been paid under the Franklin 2022 Notes. As of September 30, 2024, Legacy Blaize had $634,489.56 of borrowings outstanding under the Franklin 2022 Notes.</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Note Purchase and Exchange Agreement, warrants previously granted on September 19, 2022 to purchase Legacy Blaize Series D-2 preferred stock were amended to be exercisable into Legacy Blaize Series D-2 Shadow Preferred Stock. Of these warrants, Bess Ventures held a warrant exercisable into 416,769 shares of Legacy Blaize Series D-2 Shadow Preferred Stock and the Franklin Funds held four warrants exercisable into 155,040 Legacy Blaize Series D-2 Shadow Preferred Stock. In connection the Note Purchase and Exchange Agreement, warrants previously granted on February 28, 2021 and November 9, 2021 to purchase Legacy Blaize Series D preferred stock were amended to be exercisable into Legacy Blaize Series D Shadow Preferred Stock. Of these warrants, the Franklin Funds held four warrants exercisable for an aggregate of 287,289 shares of Series D Shadow Preferred Stock (the “Series D Warrants”). These Series D Warrants expired on February 28, 2024 in accordance with their terms.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Legacy Blaize was a party to the Amended and Restated Note Purchase Agreement pursuant to which Legacy Blaize borrowed an aggregate principal amount of approximately $122.9 million from certain holders of its capital stock, including the following related persons and their affiliated entities: (i) $99.4 million from the RT Parties, (ii) $5,000,000 from Bess Ventures (the related note, the “Bess Note”), which is affiliated with a member of the Legacy Blaize board of directors, Lane Bess, and currently holds more than 5% of Legacy Blaize’s outstanding capital stock, (iii) $2,000,000 in aggregate from Franklin Funds (the related notes, the “Franklin Notes”), which held within Legacy Blaize’s last fiscal year more than 5% of Legacy Blaize’s outstanding capital stock and (iv) $16,500,000 from the Sponsor (the related notes, the “Sponsor Notes”), which currently holds more than 5% of Legacy Blaize’s outstanding capital stock. The notes issued pursuant to such Amended and Restated Note Purchase Agreement are convertible, bear interest at a rate of ten percent (10%) compounded annually and are payable on the earlier of (i) Legacy Blaize’s consummation of a transaction defined as a “Liquidation Event” in the Certificate of Incorporation of Legacy Blaize, (ii) an event of default with respect to the note or (iii) January 3, 2025. Since January 1, 2023, the largest aggregate amount of principal outstanding under the Bess Note was $5,000,000, and no amount of principal or interest has been paid under the Bess Note. As of September 30, 2024, Legacy Blaize had $5,000,000 of borrowings outstanding under the Bess Note. Since January 1, 2023, the largest aggregate amount of principal outstanding under the Franklin Notes was $2,000,000, and no amount of principal or interest has been paid under the Franklin Notes. As of September 30, 2024, Legacy Blaize had $2,000,000 of borrowings outstanding under the Franklin Notes. Since January 1, 2023, the largest aggregate amount of principal outstanding under the Sponsor Notes was $16,500,000, and no amount of principal or interest has been paid under the Sponsor Notes. As of September 30, 2024, Legacy Blaize had $16,500,000 of borrowings outstanding under the Sponsor Notes.</w:t>
      </w:r>
    </w:p>
    <w:p>
      <w:pPr>
        <w:spacing w:after="0" w:line="195"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Amended and Restated Note Purchase Agreement, the noteholders were also granted warrants to purchase shares of Blaize preferred stock, with Bess Ventures receiving a warrant to purchase shares of Legacy Blaize preferred stock, dated September 19, 2022, exercisable for an aggregate of 416,769 shares of Legacy Blaize Series D-2 Preferred Stock, and the Franklin Funds receiving four (4) warrants to purchase shares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of Legacy Blaize preferred stock, with two (2) dated February 28, 2021 and two (2) dated November 9, 2021, exercisable for an aggregate of 287,289 shares of Legacy Blaize Series D Preferred Stock (the “Franklin Warrants”). The Franklin Warrants expired on February 28, 2024 in accordance with their terms.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obligations due under the Amended and Restated Note Purchase Agreement and the Bess Note are secured by the Amended and Restated Security Agreement, dated as of April 22, 2024 (the “A&amp;R Security Agreement”) and the Intellectual Property Security Agreement, dated as of July 3, 2023 (the “IP Security Agreement”), pursuant to which Legacy Blaize granted, respectively, (i) a continuing security interest in and lien on all of Legacy Blaize’s property described therein and (ii) a security interest in all of Legacy Blaize’s right, title and interest in, to and under its intellectual property, to certain holders of its capital stock, including the following related persons and their affiliated entities: (a) Bess Ventures, which is affiliated with a member of the Blaize board of directors, Lane Bess, and currently holds more than 5% of Legacy Blaize’s outstanding capital stock, and (b) Franklin Funds, which held within Blaize’s last fiscal year more than 5% of Legacy Blaize’s outstanding capital stock.</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November 22, 2023, pursuant to which Legacy Blaize borrowed an aggregate principal amount of $750,000 from Juergen Hambrecht, a member of the board of directors of Legacy Blaize.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$750,000, the amount of principal paid under the note was $750,000 and the amount of interest paid under the note was $38,466. As of September 30, 2024, Legacy Blaize had no borrowings outstanding under the note.</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June 12, 2023, pursuant to which Legacy Blaize borrowed an aggregate principal amount of $175,000 from Juergen Hambrecht, a member of the Legacy Blaize board of directors. The note bore simple interest at a rate of five percent (5%) and was payable on the earlier of (i) immediately following the initial closing of Legacy Blaize’s next convertible note or equity financing with aggregate proceeds of at least $5,000,000 or (ii) June 12, 2024. Since January 1, 2023, the largest aggregate amount of principal outstanding under the note was $175,000, the amount of principal paid under the note was $175,000 and the amount of interest paid under the note was $719. As of September 30, 2024, Legacy Blaize had no borrowings outstanding under the note.</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November 22, 2023, pursuant to which Legacy Blaize borrowed an aggregate principal amount of $4,000,000 from Bess Ventures, which is affiliated with a member of the Legacy Blaize board of directors, Lane Bess, and currently holds more than 5% of Legacy Blaize’s outstanding capital stock.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$4,000,000, the amount of principal paid under the note was $4,000,000 and the amount of interest paid under the note was $206,466. As of September 30, 2024, Legacy Blaize had no borrowings outstanding under the note.</w:t>
      </w:r>
    </w:p>
    <w:p>
      <w:pPr>
        <w:spacing w:after="0" w:line="18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Legacy Blaize was a party to the Promissory Note, dated as of June 5, 2023, pursuant to which Legacy Blaize borrowed an aggregate principal amount of $175,000 from Bess Ventures, which is affiliated with a member of the Legacy Blaize board of directors, Lane Bess, and currently holds more than 5% of Legacy Blaize’s outstanding capital stock. The note bore simple interest at a rate of five percent (5%) and was payable on the earlier of</w:t>
      </w:r>
    </w:p>
    <w:p>
      <w:pPr>
        <w:spacing w:after="0" w:line="1" w:lineRule="exact"/>
        <w:rPr>
          <w:sz w:val="20"/>
          <w:szCs w:val="20"/>
          <w:color w:val="auto"/>
        </w:rPr>
      </w:pPr>
    </w:p>
    <w:p>
      <w:pPr>
        <w:jc w:val="both"/>
        <w:ind w:left="120" w:right="80" w:hanging="4"/>
        <w:spacing w:after="0" w:line="255" w:lineRule="auto"/>
        <w:tabs>
          <w:tab w:leader="none" w:pos="3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initial closing of Legacy Blaize’s next convertible note or equity financing with aggregate proceeds of at least $5,000,000 or (ii) June 5, 2024. Since January 1, 2023, the largest aggregate amount of principal outstanding under the note was $175,000, the amount of principal paid under the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note was $175,000 and the amount of interest paid under the note was $2,062. As of September 30, 2024, Legacy Blaize had no borrowings outstanding under the note.</w:t>
      </w:r>
    </w:p>
    <w:p>
      <w:pPr>
        <w:spacing w:after="0" w:line="16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Legacy Blaize was a party to the Convertible Promissory Note, dated as of January 19, 2023, pursuant to which Legacy Blaize borrowed an aggregate principal amount of $415,000 from JIH, which is affiliated with a member of the Legacy Blaize board of directors, Juergen Hambrecht. The note bore simple interest at a rate of ten percent (10%) and, unless converted earlier into shares pursuant to the Note Purchase and Exchange Agreement, was payable on the earlier of (i) immediately prior to Legacy Blaize’s consummation of a transaction defined as a “Liquidation Event” in the Certificate of Incorporation of Legacy Blaize or (ii) an event of default with respect to the notes. Since January 1, 2023, the largest aggregate amount of principal outstanding under the note was $415,000, and no amount of principal or interest has been paid under the note. As of September 30, 2024, Legacy Blaize had $415,000 in borrowings outstanding under the note. Bess Ventures, which held within Legacy Blaize’s last fiscal year more than 5% of Legacy Blaize’s outstanding capital stock and is affiliated with a member of the Legacy Blaize board of directors, Lane Bess, is a party to the Promissory Note Agreement, dated as of January 19, 2024 (the “Bess 2024 Note”), pursuant to which the Sponsor, which currently holds more than 5% of Legacy Blaize’s outstanding capital stock, borrowed an aggregate principal amount of $13,000,000 from Bess Ventures, which is affiliated with a member of the Legacy Blaize board of directors, Lane Bess, and currently holds more than 5% of Legacy Blaize’s outstanding capital stock, in exchange for 500,000 shares of BurTech Class A Common Stock. The Bess 2024 Note bore simple interest at a rate of ten percent (10%) and was payable on the earlier of</w:t>
      </w:r>
    </w:p>
    <w:p>
      <w:pPr>
        <w:spacing w:after="0" w:line="1" w:lineRule="exact"/>
        <w:rPr>
          <w:sz w:val="20"/>
          <w:szCs w:val="20"/>
          <w:color w:val="auto"/>
        </w:rPr>
      </w:pPr>
    </w:p>
    <w:p>
      <w:pPr>
        <w:ind w:left="120" w:right="40" w:hanging="4"/>
        <w:spacing w:after="0" w:line="250" w:lineRule="auto"/>
        <w:tabs>
          <w:tab w:leader="none" w:pos="3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As of October 1, 2024, the aggregate amount outstanding under the Bess 2024 Note is approximately $14.2 million, and no payments or interest or principal on the loan have been paid. Further, pursuant to an agreement between the Sponsor and Bess Ventures, the Sponsor shall transfer 500,000 shares of Common Stock following the six (6) month anniversary of the closing of the Business Combination and in connection with the termination of the post-closing lock-up obligations of each of the Sponsor and Bess Ventures.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its P2P Note pursuant to the Note Purchase Agreement, in an aggregate principal amount up to $13.0 million, (ii) any securities issued upon the conversion thereof, (iii) all of Sponsor’s rights, title and interests under the Note Purchase Agreement, the A&amp;R Security Agreement, the IP Security Agreement, and all other financing statements, agreements, instruments and documents granting, perfecting or protecting a security interest in Legacy Blaize’s assets to secure the P2P Notes and</w:t>
      </w:r>
    </w:p>
    <w:p>
      <w:pPr>
        <w:spacing w:after="0" w:line="4"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each of the foregoing.</w:t>
      </w:r>
    </w:p>
    <w:p>
      <w:pPr>
        <w:spacing w:after="0" w:line="20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w:t>
      </w:r>
    </w:p>
    <w:p>
      <w:pPr>
        <w:ind w:left="5480" w:right="3180" w:hanging="5364"/>
        <w:spacing w:after="0" w:line="433" w:lineRule="auto"/>
        <w:tabs>
          <w:tab w:leader="none" w:pos="32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6, 2025 or (ii) the date that is 45 days following the consummation of the Business Combination. 128</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60"/>
          </w:cols>
          <w:pgMar w:left="320" w:top="455"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immediately following consummation of the Transactions by:</w:t>
      </w:r>
    </w:p>
    <w:p>
      <w:pPr>
        <w:spacing w:after="0" w:line="67"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our Common Stock is based on 101,588,967 shares of Common Stock issued and outstanding immediately following consummation of the Transactions, including the redemption of Initial Shares as described above and the consummation of the NRA Financing and Private Placements.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80" w:type="dxa"/>
            <w:vAlign w:val="bottom"/>
            <w:gridSpan w:val="3"/>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620" w:type="dxa"/>
            <w:vAlign w:val="bottom"/>
            <w:gridSpan w:val="2"/>
          </w:tcPr>
          <w:p>
            <w:pPr>
              <w:jc w:val="center"/>
              <w:ind w:left="552"/>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49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9,574,251</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Rizvi Traverse CI Manager, LLC</w:t>
            </w:r>
            <w:r>
              <w:rPr>
                <w:rFonts w:ascii="Times New Roman" w:cs="Times New Roman" w:eastAsia="Times New Roman" w:hAnsi="Times New Roman"/>
                <w:sz w:val="25"/>
                <w:szCs w:val="25"/>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7,439,433</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Ava Investors SA</w:t>
            </w:r>
            <w:r>
              <w:rPr>
                <w:rFonts w:ascii="Times New Roman" w:cs="Times New Roman" w:eastAsia="Times New Roman" w:hAnsi="Times New Roman"/>
                <w:sz w:val="25"/>
                <w:szCs w:val="25"/>
                <w:color w:val="auto"/>
                <w:vertAlign w:val="superscript"/>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17,716,892</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Sponsor and related parties</w:t>
            </w:r>
            <w:r>
              <w:rPr>
                <w:rFonts w:ascii="Times New Roman" w:cs="Times New Roman" w:eastAsia="Times New Roman" w:hAnsi="Times New Roman"/>
                <w:sz w:val="25"/>
                <w:szCs w:val="25"/>
                <w:color w:val="auto"/>
                <w:vertAlign w:val="superscript"/>
              </w:rPr>
              <w:t>(4)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12,345,767</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9,195,111</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Anderson Investments Pte. Ltd.</w:t>
            </w:r>
            <w:r>
              <w:rPr>
                <w:rFonts w:ascii="Times New Roman" w:cs="Times New Roman" w:eastAsia="Times New Roman" w:hAnsi="Times New Roman"/>
                <w:sz w:val="25"/>
                <w:szCs w:val="25"/>
                <w:color w:val="auto"/>
                <w:vertAlign w:val="superscript"/>
              </w:rPr>
              <w:t>(6)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6,353,023</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Lane M. Bess</w:t>
            </w:r>
            <w:r>
              <w:rPr>
                <w:rFonts w:ascii="Times New Roman" w:cs="Times New Roman" w:eastAsia="Times New Roman" w:hAnsi="Times New Roman"/>
                <w:sz w:val="25"/>
                <w:szCs w:val="25"/>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9,574,251</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Tony Cannestra</w:t>
            </w:r>
            <w:r>
              <w:rPr>
                <w:rFonts w:ascii="Times New Roman" w:cs="Times New Roman" w:eastAsia="Times New Roman" w:hAnsi="Times New Roman"/>
                <w:sz w:val="25"/>
                <w:szCs w:val="25"/>
                <w:color w:val="auto"/>
                <w:vertAlign w:val="superscript"/>
              </w:rPr>
              <w:t>(7)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733,350</w:t>
            </w:r>
          </w:p>
        </w:tc>
        <w:tc>
          <w:tcPr>
            <w:tcW w:w="6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Frank</w:t>
            </w:r>
            <w:r>
              <w:rPr>
                <w:rFonts w:ascii="Times New Roman" w:cs="Times New Roman" w:eastAsia="Times New Roman" w:hAnsi="Times New Roman"/>
                <w:sz w:val="25"/>
                <w:szCs w:val="25"/>
                <w:color w:val="auto"/>
                <w:vertAlign w:val="superscript"/>
              </w:rPr>
              <w:t>(8)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722,035</w:t>
            </w:r>
          </w:p>
        </w:tc>
        <w:tc>
          <w:tcPr>
            <w:tcW w:w="6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Juergen Hambrecht</w:t>
            </w:r>
            <w:r>
              <w:rPr>
                <w:rFonts w:ascii="Times New Roman" w:cs="Times New Roman" w:eastAsia="Times New Roman" w:hAnsi="Times New Roman"/>
                <w:sz w:val="25"/>
                <w:szCs w:val="25"/>
                <w:color w:val="auto"/>
                <w:vertAlign w:val="superscript"/>
              </w:rPr>
              <w:t>(9)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722,035</w:t>
            </w:r>
          </w:p>
        </w:tc>
        <w:tc>
          <w:tcPr>
            <w:tcW w:w="6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Dinakar Munagala</w:t>
            </w:r>
            <w:r>
              <w:rPr>
                <w:rFonts w:ascii="Times New Roman" w:cs="Times New Roman" w:eastAsia="Times New Roman" w:hAnsi="Times New Roman"/>
                <w:sz w:val="25"/>
                <w:szCs w:val="25"/>
                <w:color w:val="auto"/>
                <w:vertAlign w:val="superscript"/>
              </w:rPr>
              <w:t>(10)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3,421,625</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Harminder Sehmi</w:t>
            </w:r>
            <w:r>
              <w:rPr>
                <w:rFonts w:ascii="Times New Roman" w:cs="Times New Roman" w:eastAsia="Times New Roman" w:hAnsi="Times New Roman"/>
                <w:sz w:val="25"/>
                <w:szCs w:val="25"/>
                <w:color w:val="auto"/>
                <w:vertAlign w:val="superscript"/>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506,514</w:t>
            </w:r>
          </w:p>
        </w:tc>
        <w:tc>
          <w:tcPr>
            <w:tcW w:w="66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Santiago Fernandez-Gomez</w:t>
            </w:r>
            <w:r>
              <w:rPr>
                <w:rFonts w:ascii="Times New Roman" w:cs="Times New Roman" w:eastAsia="Times New Roman" w:hAnsi="Times New Roman"/>
                <w:sz w:val="25"/>
                <w:szCs w:val="25"/>
                <w:color w:val="auto"/>
                <w:vertAlign w:val="superscript"/>
              </w:rPr>
              <w:t>(12)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819,683</w:t>
            </w:r>
          </w:p>
        </w:tc>
        <w:tc>
          <w:tcPr>
            <w:tcW w:w="6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Val Cook</w:t>
            </w:r>
            <w:r>
              <w:rPr>
                <w:rFonts w:ascii="Times New Roman" w:cs="Times New Roman" w:eastAsia="Times New Roman" w:hAnsi="Times New Roman"/>
                <w:sz w:val="25"/>
                <w:szCs w:val="25"/>
                <w:color w:val="auto"/>
                <w:vertAlign w:val="superscript"/>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1,054,038</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 as a group (10 individuals)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17,553,531</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20" w:hanging="424"/>
        <w:spacing w:after="0" w:line="255"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8,946,783 shares of Common Stock held by Bess Ventures, (b) 389,968 shares of Common Stock held by the Trust and (c) 237,500 shares of Common Stock underlying options exercisable within 60 days of the Closing. Lane M. Bess is the (i) managing member and owner of Bess Ventures and (ii) the Investment Fiduciary of the Trust. Lane M. Bess may be deemed to be the beneficial owner of the shares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80"/>
        <w:spacing w:after="0" w:line="261" w:lineRule="auto"/>
        <w:rPr>
          <w:sz w:val="20"/>
          <w:szCs w:val="20"/>
          <w:color w:val="auto"/>
        </w:rPr>
      </w:pPr>
      <w:r>
        <w:rPr>
          <w:rFonts w:ascii="Times New Roman" w:cs="Times New Roman" w:eastAsia="Times New Roman" w:hAnsi="Times New Roman"/>
          <w:sz w:val="18"/>
          <w:szCs w:val="18"/>
          <w:color w:val="auto"/>
        </w:rPr>
        <w:t>Blaize capital stock beneficially owned by Bess Ventures and the Trust. The address of Bess Ventures is c/o Lane M. Bess, 1928 Sunset Harbor Drive, Miami Beach, FL 33139. The address of the Trust is 255 Alhambra Circle, Ste 333, Coral Gables, FL 33134.</w:t>
      </w:r>
    </w:p>
    <w:p>
      <w:pPr>
        <w:ind w:left="540" w:right="100" w:hanging="424"/>
        <w:spacing w:after="0" w:line="25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12,345,767 shares of Common Stock held by the Sponsor and related parties. BurTech LP LLC, the Sponsor, is the record holder of the securities reported herein. Shahal Khan, Patrick Orlando and Roman Livson are the managing members of our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Acquisition Corp., 1300 Pennsylvania Ave NW, Suite 700, Washington, DC 20004.</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4"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committee disclaims beneficial ownership of such shares. The address for Anderson, Thomson, Tembusu and Temasek is 60B Orchard Road, #06-18, The Atrium@Orchard, Singapore 238891.</w:t>
      </w: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733,350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722,035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722,035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553,422 shares of Common Stock held directly by Dinakar Munagala and (b) 2,868,203 shares of Common Stock underlying options exercisable within 60 days of the Closing.</w:t>
      </w: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506,514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819,683 shares of Common Stock underlying options exercisable within 60 days of the Closing.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1,054,038 shares of Common Stock underlying options exercisable within 60 days of the Closing.</w:t>
      </w:r>
    </w:p>
    <w:p>
      <w:pPr>
        <w:spacing w:after="0" w:line="13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720"/>
          </w:cols>
          <w:pgMar w:left="320" w:top="455" w:right="8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This prospectus relates to (i) the resale of 54,536,826 shares of Common Stock issued in connection with the Business Combination by certain of the Selling Securityholders, (ii) the resale of 1,540,300 shares of Common Stock issued in the PIPE Investment by certain of the Selling Securityholders,</w:t>
      </w:r>
    </w:p>
    <w:p>
      <w:pPr>
        <w:spacing w:after="0" w:line="1" w:lineRule="exact"/>
        <w:rPr>
          <w:sz w:val="20"/>
          <w:szCs w:val="20"/>
          <w:color w:val="auto"/>
        </w:rPr>
      </w:pPr>
    </w:p>
    <w:p>
      <w:pPr>
        <w:ind w:left="120" w:right="20" w:hanging="4"/>
        <w:spacing w:after="0" w:line="251" w:lineRule="auto"/>
        <w:tabs>
          <w:tab w:leader="none" w:pos="43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750,000 shares of Common Stock issued in connection with the Sponsor Note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(vi) the resale of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 (vii) the resale of 82,166 shares of Common Stock issued to certain capital markets advisors as deferred compensation in satisfaction of transaction fees for acting as a financial advisor by certain of the Selling Securityholders and (viii) the resale of up to 50,000 shares of Common Stock that are issuable upon the exercise of the CMA Warrants at an exercise price of $11.50 per share by a certain selling securityholder named in this prospectus.</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also relates to the issuance by us of an aggregate of up to 29,698,250 shares of our Common Stock, which consists of (i) up to 898,250 shares of Common Stock that are issuable upon the exercise of 898,250 Private Placement Warrants originally issued in a private placement in connection with the BurTech IPO, by the holders thereof, (ii) up to 28,750,000 shares of Common Stock that are issuable upon the exercise of 28,750,000 Public Warrants originally issued in the BurTech IPO, by the holders thereof and (iii) up to 50,000 shares of Common Stock that are issuable upon the exercise of the CMA Warrants at an exercise price of $11.50 per share by the holder thereof.</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Securityholders, and the aggregate number of shares of common stock and warrants that the Selling Securityholders may offer pursuant to this prospectus. The table does not include (i) the issuance by us and resale of 28,049,416 shares of common stock reserved for issuance upon the exercise of options to purchase common stock or (ii) the issuance by us and resale of 3,630,400 shares of common stock reserved for issuance upon the settlement of restricted stock units, each of which is also covered by this prospectus.</w:t>
      </w:r>
    </w:p>
    <w:p>
      <w:pPr>
        <w:spacing w:after="0" w:line="1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noted, the address of each Selling Securityholder is c/o Blaize Holdings, Inc., 4659 Golden Foothill Parkway, Suite 206, El Dorado Hills, CA 95762. Percentage ownership is based on 101,588,967 shares of Common Stock and 29,698,250 Warrants outstanding as of January 16, 2025.</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20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360" w:type="dxa"/>
            <w:vAlign w:val="bottom"/>
            <w:gridSpan w:val="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2000" w:type="dxa"/>
            <w:vAlign w:val="bottom"/>
            <w:gridSpan w:val="4"/>
            <w:vMerge w:val="continue"/>
          </w:tcPr>
          <w:p>
            <w:pPr>
              <w:spacing w:after="0"/>
              <w:rPr>
                <w:sz w:val="12"/>
                <w:szCs w:val="12"/>
                <w:color w:val="auto"/>
              </w:rPr>
            </w:pPr>
          </w:p>
        </w:tc>
        <w:tc>
          <w:tcPr>
            <w:tcW w:w="33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0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10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300" w:type="dxa"/>
            <w:vAlign w:val="bottom"/>
            <w:vMerge w:val="restart"/>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Warrants</w:t>
            </w:r>
            <w:r>
              <w:rPr>
                <w:rFonts w:ascii="Times New Roman" w:cs="Times New Roman" w:eastAsia="Times New Roman" w:hAnsi="Times New Roman"/>
                <w:sz w:val="10"/>
                <w:szCs w:val="10"/>
                <w:b w:val="1"/>
                <w:bCs w:val="1"/>
                <w:color w:val="auto"/>
                <w:w w:val="99"/>
              </w:rPr>
              <w:t>(2)</w:t>
            </w: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3"/>
            <w:vMerge w:val="continue"/>
          </w:tcPr>
          <w:p>
            <w:pPr>
              <w:spacing w:after="0"/>
              <w:rPr>
                <w:sz w:val="15"/>
                <w:szCs w:val="15"/>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60" w:type="dxa"/>
            <w:vAlign w:val="bottom"/>
            <w:gridSpan w:val="2"/>
            <w:vMerge w:val="continue"/>
          </w:tcPr>
          <w:p>
            <w:pPr>
              <w:spacing w:after="0"/>
              <w:rPr>
                <w:sz w:val="15"/>
                <w:szCs w:val="15"/>
                <w:color w:val="auto"/>
              </w:rPr>
            </w:pP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Anderson Investments Pte. Ltd.</w:t>
            </w:r>
            <w:r>
              <w:rPr>
                <w:rFonts w:ascii="Times New Roman" w:cs="Times New Roman" w:eastAsia="Times New Roman" w:hAnsi="Times New Roman"/>
                <w:sz w:val="23"/>
                <w:szCs w:val="23"/>
                <w:color w:val="auto"/>
                <w:vertAlign w:val="superscript"/>
              </w:rPr>
              <w:t>(3)</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6,353,023</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6,353,023</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Ava Investors SA and affiliates</w:t>
            </w:r>
            <w:r>
              <w:rPr>
                <w:rFonts w:ascii="Times New Roman" w:cs="Times New Roman" w:eastAsia="Times New Roman" w:hAnsi="Times New Roman"/>
                <w:sz w:val="25"/>
                <w:szCs w:val="25"/>
                <w:color w:val="auto"/>
                <w:vertAlign w:val="superscript"/>
              </w:rPr>
              <w:t>(4)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17,716,892</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17,716,892</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Bess Ventures and Advisory, LLC</w:t>
            </w:r>
            <w:r>
              <w:rPr>
                <w:rFonts w:ascii="Times New Roman" w:cs="Times New Roman" w:eastAsia="Times New Roman" w:hAnsi="Times New Roman"/>
                <w:sz w:val="25"/>
                <w:szCs w:val="25"/>
                <w:color w:val="auto"/>
                <w:vertAlign w:val="superscript"/>
              </w:rPr>
              <w:t>(5)</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9,336,751</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9,336,751</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BurTech LP LLC</w:t>
            </w:r>
            <w:r>
              <w:rPr>
                <w:rFonts w:ascii="Times New Roman" w:cs="Times New Roman" w:eastAsia="Times New Roman" w:hAnsi="Times New Roman"/>
                <w:sz w:val="25"/>
                <w:szCs w:val="25"/>
                <w:color w:val="auto"/>
                <w:vertAlign w:val="superscript"/>
              </w:rPr>
              <w:t>(6)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8,229,379</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242,875</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8,229,379</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242,875</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Funds affiliated with DENSO</w:t>
            </w:r>
            <w:r>
              <w:rPr>
                <w:rFonts w:ascii="Times New Roman" w:cs="Times New Roman" w:eastAsia="Times New Roman" w:hAnsi="Times New Roman"/>
                <w:sz w:val="25"/>
                <w:szCs w:val="25"/>
                <w:color w:val="auto"/>
                <w:vertAlign w:val="superscript"/>
              </w:rPr>
              <w:t>(7)</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9,195,111</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9,195,111</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Keep a Child Alive, Inc.</w:t>
            </w:r>
            <w:r>
              <w:rPr>
                <w:rFonts w:ascii="Times New Roman" w:cs="Times New Roman" w:eastAsia="Times New Roman" w:hAnsi="Times New Roman"/>
                <w:sz w:val="25"/>
                <w:szCs w:val="25"/>
                <w:color w:val="auto"/>
                <w:vertAlign w:val="superscript"/>
              </w:rPr>
              <w:t>(8)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319,125</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319,125</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F&amp;M Star Alliance, Inc.</w:t>
            </w:r>
            <w:r>
              <w:rPr>
                <w:rFonts w:ascii="Times New Roman" w:cs="Times New Roman" w:eastAsia="Times New Roman" w:hAnsi="Times New Roman"/>
                <w:sz w:val="25"/>
                <w:szCs w:val="25"/>
                <w:color w:val="auto"/>
                <w:vertAlign w:val="superscript"/>
              </w:rPr>
              <w:t>(9)</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448,393</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448,393</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Dinakar Munagala</w:t>
            </w:r>
            <w:r>
              <w:rPr>
                <w:rFonts w:ascii="Times New Roman" w:cs="Times New Roman" w:eastAsia="Times New Roman" w:hAnsi="Times New Roman"/>
                <w:sz w:val="26"/>
                <w:szCs w:val="26"/>
                <w:color w:val="auto"/>
                <w:vertAlign w:val="superscript"/>
              </w:rPr>
              <w:t>(10)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553,422</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553,422</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133</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8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44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880" w:type="dxa"/>
            <w:vAlign w:val="bottom"/>
            <w:gridSpan w:val="4"/>
            <w:vMerge w:val="continue"/>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600" w:type="dxa"/>
            <w:vAlign w:val="bottom"/>
            <w:vMerge w:val="restart"/>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0"/>
                <w:szCs w:val="10"/>
                <w:b w:val="1"/>
                <w:bCs w:val="1"/>
                <w:color w:val="auto"/>
              </w:rPr>
              <w:t>(2)</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9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continue"/>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8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U&amp;L Holdings, LLC</w:t>
            </w:r>
            <w:r>
              <w:rPr>
                <w:rFonts w:ascii="Times New Roman" w:cs="Times New Roman" w:eastAsia="Times New Roman" w:hAnsi="Times New Roman"/>
                <w:sz w:val="23"/>
                <w:szCs w:val="23"/>
                <w:color w:val="auto"/>
                <w:vertAlign w:val="superscript"/>
              </w:rPr>
              <w:t>(11)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306,217</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306,217</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James G. Horian Living Trust, established</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September 16, 2014</w:t>
            </w:r>
            <w:r>
              <w:rPr>
                <w:rFonts w:ascii="Times New Roman" w:cs="Times New Roman" w:eastAsia="Times New Roman" w:hAnsi="Times New Roman"/>
                <w:sz w:val="26"/>
                <w:szCs w:val="26"/>
                <w:color w:val="auto"/>
                <w:vertAlign w:val="superscript"/>
              </w:rPr>
              <w:t>(12)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Fred Ezra Revocable Trust</w:t>
            </w:r>
            <w:r>
              <w:rPr>
                <w:rFonts w:ascii="Times New Roman" w:cs="Times New Roman" w:eastAsia="Times New Roman" w:hAnsi="Times New Roman"/>
                <w:sz w:val="25"/>
                <w:szCs w:val="25"/>
                <w:color w:val="auto"/>
                <w:vertAlign w:val="superscript"/>
              </w:rPr>
              <w:t>(13)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Hari Mukkala</w:t>
            </w:r>
            <w:r>
              <w:rPr>
                <w:rFonts w:ascii="Times New Roman" w:cs="Times New Roman" w:eastAsia="Times New Roman" w:hAnsi="Times New Roman"/>
                <w:sz w:val="25"/>
                <w:szCs w:val="25"/>
                <w:color w:val="auto"/>
                <w:vertAlign w:val="superscript"/>
              </w:rPr>
              <w:t>(14)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Madderla Kumar</w:t>
            </w:r>
            <w:r>
              <w:rPr>
                <w:rFonts w:ascii="Times New Roman" w:cs="Times New Roman" w:eastAsia="Times New Roman" w:hAnsi="Times New Roman"/>
                <w:sz w:val="25"/>
                <w:szCs w:val="25"/>
                <w:color w:val="auto"/>
                <w:vertAlign w:val="superscript"/>
              </w:rPr>
              <w:t>(15)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Venkata Srirama</w:t>
            </w:r>
            <w:r>
              <w:rPr>
                <w:rFonts w:ascii="Times New Roman" w:cs="Times New Roman" w:eastAsia="Times New Roman" w:hAnsi="Times New Roman"/>
                <w:sz w:val="25"/>
                <w:szCs w:val="25"/>
                <w:color w:val="auto"/>
                <w:vertAlign w:val="superscript"/>
              </w:rPr>
              <w:t>(16)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Kiran Vemuri</w:t>
            </w:r>
            <w:r>
              <w:rPr>
                <w:rFonts w:ascii="Times New Roman" w:cs="Times New Roman" w:eastAsia="Times New Roman" w:hAnsi="Times New Roman"/>
                <w:sz w:val="25"/>
                <w:szCs w:val="25"/>
                <w:color w:val="auto"/>
                <w:vertAlign w:val="superscript"/>
              </w:rPr>
              <w:t>(17)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Satheesh Bommakanti</w:t>
            </w:r>
            <w:r>
              <w:rPr>
                <w:rFonts w:ascii="Times New Roman" w:cs="Times New Roman" w:eastAsia="Times New Roman" w:hAnsi="Times New Roman"/>
                <w:sz w:val="25"/>
                <w:szCs w:val="25"/>
                <w:color w:val="auto"/>
                <w:vertAlign w:val="superscript"/>
              </w:rPr>
              <w:t>(18)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Vikram Nagulakonda</w:t>
            </w:r>
            <w:r>
              <w:rPr>
                <w:rFonts w:ascii="Times New Roman" w:cs="Times New Roman" w:eastAsia="Times New Roman" w:hAnsi="Times New Roman"/>
                <w:sz w:val="25"/>
                <w:szCs w:val="25"/>
                <w:color w:val="auto"/>
                <w:vertAlign w:val="superscript"/>
              </w:rPr>
              <w:t>(19)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Venkatesh Ganga</w:t>
            </w:r>
            <w:r>
              <w:rPr>
                <w:rFonts w:ascii="Times New Roman" w:cs="Times New Roman" w:eastAsia="Times New Roman" w:hAnsi="Times New Roman"/>
                <w:sz w:val="25"/>
                <w:szCs w:val="25"/>
                <w:color w:val="auto"/>
                <w:vertAlign w:val="superscript"/>
              </w:rPr>
              <w:t>(20)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Pradeep Kowkutla</w:t>
            </w:r>
            <w:r>
              <w:rPr>
                <w:rFonts w:ascii="Times New Roman" w:cs="Times New Roman" w:eastAsia="Times New Roman" w:hAnsi="Times New Roman"/>
                <w:sz w:val="25"/>
                <w:szCs w:val="25"/>
                <w:color w:val="auto"/>
                <w:vertAlign w:val="superscript"/>
              </w:rPr>
              <w:t>(21)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Nagaraja Krovi</w:t>
            </w:r>
            <w:r>
              <w:rPr>
                <w:rFonts w:ascii="Times New Roman" w:cs="Times New Roman" w:eastAsia="Times New Roman" w:hAnsi="Times New Roman"/>
                <w:sz w:val="25"/>
                <w:szCs w:val="25"/>
                <w:color w:val="auto"/>
                <w:vertAlign w:val="superscript"/>
              </w:rPr>
              <w:t>(22)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Reema Gupta</w:t>
            </w:r>
            <w:r>
              <w:rPr>
                <w:rFonts w:ascii="Times New Roman" w:cs="Times New Roman" w:eastAsia="Times New Roman" w:hAnsi="Times New Roman"/>
                <w:sz w:val="25"/>
                <w:szCs w:val="25"/>
                <w:color w:val="auto"/>
                <w:vertAlign w:val="superscript"/>
              </w:rPr>
              <w:t>(23)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Khailee Ng</w:t>
            </w:r>
            <w:r>
              <w:rPr>
                <w:rFonts w:ascii="Times New Roman" w:cs="Times New Roman" w:eastAsia="Times New Roman" w:hAnsi="Times New Roman"/>
                <w:sz w:val="25"/>
                <w:szCs w:val="25"/>
                <w:color w:val="auto"/>
                <w:vertAlign w:val="superscript"/>
              </w:rPr>
              <w:t>(24)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Shravan Parag Kodimela</w:t>
            </w:r>
            <w:r>
              <w:rPr>
                <w:rFonts w:ascii="Times New Roman" w:cs="Times New Roman" w:eastAsia="Times New Roman" w:hAnsi="Times New Roman"/>
                <w:sz w:val="25"/>
                <w:szCs w:val="25"/>
                <w:color w:val="auto"/>
                <w:vertAlign w:val="superscript"/>
              </w:rPr>
              <w:t>(25)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Nachiketa Sawrikar</w:t>
            </w:r>
            <w:r>
              <w:rPr>
                <w:rFonts w:ascii="Times New Roman" w:cs="Times New Roman" w:eastAsia="Times New Roman" w:hAnsi="Times New Roman"/>
                <w:sz w:val="25"/>
                <w:szCs w:val="25"/>
                <w:color w:val="auto"/>
                <w:vertAlign w:val="superscript"/>
              </w:rPr>
              <w:t>(26)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Ashwin Thirunahari</w:t>
            </w:r>
            <w:r>
              <w:rPr>
                <w:rFonts w:ascii="Times New Roman" w:cs="Times New Roman" w:eastAsia="Times New Roman" w:hAnsi="Times New Roman"/>
                <w:sz w:val="25"/>
                <w:szCs w:val="25"/>
                <w:color w:val="auto"/>
                <w:vertAlign w:val="superscript"/>
              </w:rPr>
              <w:t>(27)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Vijay Sar-Dessai</w:t>
            </w:r>
            <w:r>
              <w:rPr>
                <w:rFonts w:ascii="Times New Roman" w:cs="Times New Roman" w:eastAsia="Times New Roman" w:hAnsi="Times New Roman"/>
                <w:sz w:val="25"/>
                <w:szCs w:val="25"/>
                <w:color w:val="auto"/>
                <w:vertAlign w:val="superscript"/>
              </w:rPr>
              <w:t>(28)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Vipin Boyanapalli</w:t>
            </w:r>
            <w:r>
              <w:rPr>
                <w:rFonts w:ascii="Times New Roman" w:cs="Times New Roman" w:eastAsia="Times New Roman" w:hAnsi="Times New Roman"/>
                <w:sz w:val="25"/>
                <w:szCs w:val="25"/>
                <w:color w:val="auto"/>
                <w:vertAlign w:val="superscript"/>
              </w:rPr>
              <w:t>(29)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Mohit Sabharwal</w:t>
            </w:r>
            <w:r>
              <w:rPr>
                <w:rFonts w:ascii="Times New Roman" w:cs="Times New Roman" w:eastAsia="Times New Roman" w:hAnsi="Times New Roman"/>
                <w:sz w:val="25"/>
                <w:szCs w:val="25"/>
                <w:color w:val="auto"/>
                <w:vertAlign w:val="superscript"/>
              </w:rPr>
              <w:t>(30)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Srinivas Pratapa</w:t>
            </w:r>
            <w:r>
              <w:rPr>
                <w:rFonts w:ascii="Times New Roman" w:cs="Times New Roman" w:eastAsia="Times New Roman" w:hAnsi="Times New Roman"/>
                <w:sz w:val="25"/>
                <w:szCs w:val="25"/>
                <w:color w:val="auto"/>
                <w:vertAlign w:val="superscript"/>
              </w:rPr>
              <w:t>(31)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Jayalakshmi Badiga</w:t>
            </w:r>
            <w:r>
              <w:rPr>
                <w:rFonts w:ascii="Times New Roman" w:cs="Times New Roman" w:eastAsia="Times New Roman" w:hAnsi="Times New Roman"/>
                <w:sz w:val="25"/>
                <w:szCs w:val="25"/>
                <w:color w:val="auto"/>
                <w:vertAlign w:val="superscript"/>
              </w:rPr>
              <w:t>(32)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Swapna Yasarapu</w:t>
            </w:r>
            <w:r>
              <w:rPr>
                <w:rFonts w:ascii="Times New Roman" w:cs="Times New Roman" w:eastAsia="Times New Roman" w:hAnsi="Times New Roman"/>
                <w:sz w:val="25"/>
                <w:szCs w:val="25"/>
                <w:color w:val="auto"/>
                <w:vertAlign w:val="superscript"/>
              </w:rPr>
              <w:t>(33)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Arun Kalluri</w:t>
            </w:r>
            <w:r>
              <w:rPr>
                <w:rFonts w:ascii="Times New Roman" w:cs="Times New Roman" w:eastAsia="Times New Roman" w:hAnsi="Times New Roman"/>
                <w:sz w:val="25"/>
                <w:szCs w:val="25"/>
                <w:color w:val="auto"/>
                <w:vertAlign w:val="superscript"/>
              </w:rPr>
              <w:t>(34)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Shiloh Produce, Inc.</w:t>
            </w:r>
            <w:r>
              <w:rPr>
                <w:rFonts w:ascii="Times New Roman" w:cs="Times New Roman" w:eastAsia="Times New Roman" w:hAnsi="Times New Roman"/>
                <w:sz w:val="25"/>
                <w:szCs w:val="25"/>
                <w:color w:val="auto"/>
                <w:vertAlign w:val="superscript"/>
              </w:rPr>
              <w:t>(35)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9,632</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E. Lowy &amp; Laura Lowy</w:t>
            </w:r>
            <w:r>
              <w:rPr>
                <w:rFonts w:ascii="Times New Roman" w:cs="Times New Roman" w:eastAsia="Times New Roman" w:hAnsi="Times New Roman"/>
                <w:sz w:val="25"/>
                <w:szCs w:val="25"/>
                <w:color w:val="auto"/>
                <w:vertAlign w:val="superscript"/>
              </w:rPr>
              <w:t>(36)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13,773</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Laura Lowy IRA</w:t>
            </w:r>
            <w:r>
              <w:rPr>
                <w:rFonts w:ascii="Times New Roman" w:cs="Times New Roman" w:eastAsia="Times New Roman" w:hAnsi="Times New Roman"/>
                <w:sz w:val="25"/>
                <w:szCs w:val="25"/>
                <w:color w:val="auto"/>
                <w:vertAlign w:val="superscript"/>
              </w:rPr>
              <w:t>(37)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4,142</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Lowy SEP IRA</w:t>
            </w:r>
            <w:r>
              <w:rPr>
                <w:rFonts w:ascii="Times New Roman" w:cs="Times New Roman" w:eastAsia="Times New Roman" w:hAnsi="Times New Roman"/>
                <w:sz w:val="25"/>
                <w:szCs w:val="25"/>
                <w:color w:val="auto"/>
                <w:vertAlign w:val="superscript"/>
              </w:rPr>
              <w:t>(38)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Turner</w:t>
            </w:r>
            <w:r>
              <w:rPr>
                <w:rFonts w:ascii="Times New Roman" w:cs="Times New Roman" w:eastAsia="Times New Roman" w:hAnsi="Times New Roman"/>
                <w:sz w:val="25"/>
                <w:szCs w:val="25"/>
                <w:color w:val="auto"/>
                <w:vertAlign w:val="superscript"/>
              </w:rPr>
              <w:t>(39)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Harbor City Investments LLC</w:t>
            </w:r>
            <w:r>
              <w:rPr>
                <w:rFonts w:ascii="Times New Roman" w:cs="Times New Roman" w:eastAsia="Times New Roman" w:hAnsi="Times New Roman"/>
                <w:sz w:val="25"/>
                <w:szCs w:val="25"/>
                <w:color w:val="auto"/>
                <w:vertAlign w:val="superscript"/>
              </w:rPr>
              <w:t>(40)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Adam Siper</w:t>
            </w:r>
            <w:r>
              <w:rPr>
                <w:rFonts w:ascii="Times New Roman" w:cs="Times New Roman" w:eastAsia="Times New Roman" w:hAnsi="Times New Roman"/>
                <w:sz w:val="25"/>
                <w:szCs w:val="25"/>
                <w:color w:val="auto"/>
                <w:vertAlign w:val="superscript"/>
              </w:rPr>
              <w:t>(41)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Anthony Piccola</w:t>
            </w:r>
            <w:r>
              <w:rPr>
                <w:rFonts w:ascii="Times New Roman" w:cs="Times New Roman" w:eastAsia="Times New Roman" w:hAnsi="Times New Roman"/>
                <w:sz w:val="25"/>
                <w:szCs w:val="25"/>
                <w:color w:val="auto"/>
                <w:vertAlign w:val="superscript"/>
              </w:rPr>
              <w:t>(42)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Ide</w:t>
            </w:r>
            <w:r>
              <w:rPr>
                <w:rFonts w:ascii="Times New Roman" w:cs="Times New Roman" w:eastAsia="Times New Roman" w:hAnsi="Times New Roman"/>
                <w:sz w:val="25"/>
                <w:szCs w:val="25"/>
                <w:color w:val="auto"/>
                <w:vertAlign w:val="superscript"/>
              </w:rPr>
              <w:t>(43)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4,793</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4,793</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Thomas Nelson</w:t>
            </w:r>
            <w:r>
              <w:rPr>
                <w:rFonts w:ascii="Times New Roman" w:cs="Times New Roman" w:eastAsia="Times New Roman" w:hAnsi="Times New Roman"/>
                <w:sz w:val="25"/>
                <w:szCs w:val="25"/>
                <w:color w:val="auto"/>
                <w:vertAlign w:val="superscript"/>
              </w:rPr>
              <w:t>(44)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Melissa Boos</w:t>
            </w:r>
            <w:r>
              <w:rPr>
                <w:rFonts w:ascii="Times New Roman" w:cs="Times New Roman" w:eastAsia="Times New Roman" w:hAnsi="Times New Roman"/>
                <w:sz w:val="25"/>
                <w:szCs w:val="25"/>
                <w:color w:val="auto"/>
                <w:vertAlign w:val="superscript"/>
              </w:rPr>
              <w:t>(45)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193</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Michael Thomas</w:t>
            </w:r>
            <w:r>
              <w:rPr>
                <w:rFonts w:ascii="Times New Roman" w:cs="Times New Roman" w:eastAsia="Times New Roman" w:hAnsi="Times New Roman"/>
                <w:sz w:val="25"/>
                <w:szCs w:val="25"/>
                <w:color w:val="auto"/>
                <w:vertAlign w:val="superscript"/>
              </w:rPr>
              <w:t>(46)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Rick Genderson</w:t>
            </w:r>
            <w:r>
              <w:rPr>
                <w:rFonts w:ascii="Times New Roman" w:cs="Times New Roman" w:eastAsia="Times New Roman" w:hAnsi="Times New Roman"/>
                <w:sz w:val="25"/>
                <w:szCs w:val="25"/>
                <w:color w:val="auto"/>
                <w:vertAlign w:val="superscript"/>
              </w:rPr>
              <w:t>(47)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674</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674</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674</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Brian Kelley</w:t>
            </w:r>
            <w:r>
              <w:rPr>
                <w:rFonts w:ascii="Times New Roman" w:cs="Times New Roman" w:eastAsia="Times New Roman" w:hAnsi="Times New Roman"/>
                <w:sz w:val="25"/>
                <w:szCs w:val="25"/>
                <w:color w:val="auto"/>
                <w:vertAlign w:val="superscript"/>
              </w:rPr>
              <w:t>(48)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J. Mazur Revocable Trust</w:t>
            </w:r>
            <w:r>
              <w:rPr>
                <w:rFonts w:ascii="Times New Roman" w:cs="Times New Roman" w:eastAsia="Times New Roman" w:hAnsi="Times New Roman"/>
                <w:sz w:val="25"/>
                <w:szCs w:val="25"/>
                <w:color w:val="auto"/>
                <w:vertAlign w:val="superscript"/>
              </w:rPr>
              <w:t>(49)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963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Mazur IRA</w:t>
            </w:r>
            <w:r>
              <w:rPr>
                <w:rFonts w:ascii="Times New Roman" w:cs="Times New Roman" w:eastAsia="Times New Roman" w:hAnsi="Times New Roman"/>
                <w:sz w:val="26"/>
                <w:szCs w:val="26"/>
                <w:color w:val="auto"/>
                <w:vertAlign w:val="superscript"/>
              </w:rPr>
              <w:t>(50)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8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44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820" w:type="dxa"/>
            <w:vAlign w:val="bottom"/>
            <w:gridSpan w:val="4"/>
            <w:vMerge w:val="continue"/>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740" w:type="dxa"/>
            <w:vAlign w:val="bottom"/>
            <w:vMerge w:val="restart"/>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Warrants</w:t>
            </w:r>
            <w:r>
              <w:rPr>
                <w:rFonts w:ascii="Times New Roman" w:cs="Times New Roman" w:eastAsia="Times New Roman" w:hAnsi="Times New Roman"/>
                <w:sz w:val="10"/>
                <w:szCs w:val="10"/>
                <w:b w:val="1"/>
                <w:bCs w:val="1"/>
                <w:color w:val="auto"/>
                <w:w w:val="99"/>
              </w:rPr>
              <w:t>(2)</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8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Avi Suriel</w:t>
            </w:r>
            <w:r>
              <w:rPr>
                <w:rFonts w:ascii="Times New Roman" w:cs="Times New Roman" w:eastAsia="Times New Roman" w:hAnsi="Times New Roman"/>
                <w:sz w:val="23"/>
                <w:szCs w:val="23"/>
                <w:color w:val="auto"/>
                <w:vertAlign w:val="superscript"/>
              </w:rPr>
              <w:t>(51)</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5,963</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5,963</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5,963</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5,963</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Carlos Hoz De Vila</w:t>
            </w:r>
            <w:r>
              <w:rPr>
                <w:rFonts w:ascii="Times New Roman" w:cs="Times New Roman" w:eastAsia="Times New Roman" w:hAnsi="Times New Roman"/>
                <w:sz w:val="25"/>
                <w:szCs w:val="25"/>
                <w:color w:val="auto"/>
                <w:vertAlign w:val="superscript"/>
              </w:rPr>
              <w:t>(52)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28,895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28,895</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28,895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28,895</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Stephen Rouleau</w:t>
            </w:r>
            <w:r>
              <w:rPr>
                <w:rFonts w:ascii="Times New Roman" w:cs="Times New Roman" w:eastAsia="Times New Roman" w:hAnsi="Times New Roman"/>
                <w:sz w:val="25"/>
                <w:szCs w:val="25"/>
                <w:color w:val="auto"/>
                <w:vertAlign w:val="superscript"/>
              </w:rPr>
              <w:t>(53)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Schwartz</w:t>
            </w:r>
            <w:r>
              <w:rPr>
                <w:rFonts w:ascii="Times New Roman" w:cs="Times New Roman" w:eastAsia="Times New Roman" w:hAnsi="Times New Roman"/>
                <w:sz w:val="25"/>
                <w:szCs w:val="25"/>
                <w:color w:val="auto"/>
                <w:vertAlign w:val="superscript"/>
              </w:rPr>
              <w:t>(54)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Philippe Oga</w:t>
            </w:r>
            <w:r>
              <w:rPr>
                <w:rFonts w:ascii="Times New Roman" w:cs="Times New Roman" w:eastAsia="Times New Roman" w:hAnsi="Times New Roman"/>
                <w:sz w:val="25"/>
                <w:szCs w:val="25"/>
                <w:color w:val="auto"/>
                <w:vertAlign w:val="superscript"/>
              </w:rPr>
              <w:t>(55)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E. Hosford, IRA</w:t>
            </w:r>
            <w:r>
              <w:rPr>
                <w:rFonts w:ascii="Times New Roman" w:cs="Times New Roman" w:eastAsia="Times New Roman" w:hAnsi="Times New Roman"/>
                <w:sz w:val="25"/>
                <w:szCs w:val="25"/>
                <w:color w:val="auto"/>
                <w:vertAlign w:val="superscript"/>
              </w:rPr>
              <w:t>(56)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2,695</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2,695</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Ricci Roth IRA</w:t>
            </w:r>
            <w:r>
              <w:rPr>
                <w:rFonts w:ascii="Times New Roman" w:cs="Times New Roman" w:eastAsia="Times New Roman" w:hAnsi="Times New Roman"/>
                <w:sz w:val="25"/>
                <w:szCs w:val="25"/>
                <w:color w:val="auto"/>
                <w:vertAlign w:val="superscript"/>
              </w:rPr>
              <w:t>(57)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Mark A Hughes &amp; Janet M Hughes</w:t>
            </w:r>
            <w:r>
              <w:rPr>
                <w:rFonts w:ascii="Times New Roman" w:cs="Times New Roman" w:eastAsia="Times New Roman" w:hAnsi="Times New Roman"/>
                <w:sz w:val="25"/>
                <w:szCs w:val="25"/>
                <w:color w:val="auto"/>
                <w:vertAlign w:val="superscript"/>
              </w:rPr>
              <w:t>(58)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Pierre Yves Methot</w:t>
            </w:r>
            <w:r>
              <w:rPr>
                <w:rFonts w:ascii="Times New Roman" w:cs="Times New Roman" w:eastAsia="Times New Roman" w:hAnsi="Times New Roman"/>
                <w:sz w:val="25"/>
                <w:szCs w:val="25"/>
                <w:color w:val="auto"/>
                <w:vertAlign w:val="superscript"/>
              </w:rPr>
              <w:t>(59)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Pasquale Filippelli</w:t>
            </w:r>
            <w:r>
              <w:rPr>
                <w:rFonts w:ascii="Times New Roman" w:cs="Times New Roman" w:eastAsia="Times New Roman" w:hAnsi="Times New Roman"/>
                <w:sz w:val="25"/>
                <w:szCs w:val="25"/>
                <w:color w:val="auto"/>
                <w:vertAlign w:val="superscript"/>
              </w:rPr>
              <w:t>(60)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Francois Gaudreau</w:t>
            </w:r>
            <w:r>
              <w:rPr>
                <w:rFonts w:ascii="Times New Roman" w:cs="Times New Roman" w:eastAsia="Times New Roman" w:hAnsi="Times New Roman"/>
                <w:sz w:val="25"/>
                <w:szCs w:val="25"/>
                <w:color w:val="auto"/>
                <w:vertAlign w:val="superscript"/>
              </w:rPr>
              <w:t>(61)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9,631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723996 NB Inc.</w:t>
            </w:r>
            <w:r>
              <w:rPr>
                <w:rFonts w:ascii="Times New Roman" w:cs="Times New Roman" w:eastAsia="Times New Roman" w:hAnsi="Times New Roman"/>
                <w:sz w:val="25"/>
                <w:szCs w:val="25"/>
                <w:color w:val="auto"/>
                <w:vertAlign w:val="superscript"/>
              </w:rPr>
              <w:t>(62)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Lujain Holdings Limited</w:t>
            </w:r>
            <w:r>
              <w:rPr>
                <w:rFonts w:ascii="Times New Roman" w:cs="Times New Roman" w:eastAsia="Times New Roman" w:hAnsi="Times New Roman"/>
                <w:sz w:val="25"/>
                <w:szCs w:val="25"/>
                <w:color w:val="auto"/>
                <w:vertAlign w:val="superscript"/>
              </w:rPr>
              <w:t>(63)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7,705</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Andrew Beshara (Andrew J Beshara &amp; Mariam M.</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Manichaikul JTWROS)</w:t>
            </w:r>
            <w:r>
              <w:rPr>
                <w:rFonts w:ascii="Times New Roman" w:cs="Times New Roman" w:eastAsia="Times New Roman" w:hAnsi="Times New Roman"/>
                <w:sz w:val="26"/>
                <w:szCs w:val="26"/>
                <w:color w:val="auto"/>
                <w:vertAlign w:val="superscript"/>
              </w:rPr>
              <w:t>(64)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1,926</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Hosford</w:t>
            </w:r>
            <w:r>
              <w:rPr>
                <w:rFonts w:ascii="Times New Roman" w:cs="Times New Roman" w:eastAsia="Times New Roman" w:hAnsi="Times New Roman"/>
                <w:sz w:val="25"/>
                <w:szCs w:val="25"/>
                <w:color w:val="auto"/>
                <w:vertAlign w:val="superscript"/>
              </w:rPr>
              <w:t>(65)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Frank R. Vegely IRA</w:t>
            </w:r>
            <w:r>
              <w:rPr>
                <w:rFonts w:ascii="Times New Roman" w:cs="Times New Roman" w:eastAsia="Times New Roman" w:hAnsi="Times New Roman"/>
                <w:sz w:val="25"/>
                <w:szCs w:val="25"/>
                <w:color w:val="auto"/>
                <w:vertAlign w:val="superscript"/>
              </w:rPr>
              <w:t>(66)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2,885</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2,885</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Lorraine Vegely IRA</w:t>
            </w:r>
            <w:r>
              <w:rPr>
                <w:rFonts w:ascii="Times New Roman" w:cs="Times New Roman" w:eastAsia="Times New Roman" w:hAnsi="Times New Roman"/>
                <w:sz w:val="25"/>
                <w:szCs w:val="25"/>
                <w:color w:val="auto"/>
                <w:vertAlign w:val="superscript"/>
              </w:rPr>
              <w:t>(67)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2,885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2,885</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Loretta Massoud Romano FBO and on behalf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Loretta Massoud Romano Revocable Trust</w:t>
            </w:r>
            <w:r>
              <w:rPr>
                <w:rFonts w:ascii="Times New Roman" w:cs="Times New Roman" w:eastAsia="Times New Roman" w:hAnsi="Times New Roman"/>
                <w:sz w:val="26"/>
                <w:szCs w:val="26"/>
                <w:color w:val="auto"/>
                <w:vertAlign w:val="superscript"/>
              </w:rPr>
              <w:t>(68)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15,411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15,411</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15,411</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William Carmean ROTH IRA</w:t>
            </w:r>
            <w:r>
              <w:rPr>
                <w:rFonts w:ascii="Times New Roman" w:cs="Times New Roman" w:eastAsia="Times New Roman" w:hAnsi="Times New Roman"/>
                <w:sz w:val="25"/>
                <w:szCs w:val="25"/>
                <w:color w:val="auto"/>
                <w:vertAlign w:val="superscript"/>
              </w:rPr>
              <w:t>(69)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Demetra T Veltsistas Trust</w:t>
            </w:r>
            <w:r>
              <w:rPr>
                <w:rFonts w:ascii="Times New Roman" w:cs="Times New Roman" w:eastAsia="Times New Roman" w:hAnsi="Times New Roman"/>
                <w:sz w:val="25"/>
                <w:szCs w:val="25"/>
                <w:color w:val="auto"/>
                <w:vertAlign w:val="superscript"/>
              </w:rPr>
              <w:t>(70)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Jonathan Siegel</w:t>
            </w:r>
            <w:r>
              <w:rPr>
                <w:rFonts w:ascii="Times New Roman" w:cs="Times New Roman" w:eastAsia="Times New Roman" w:hAnsi="Times New Roman"/>
                <w:sz w:val="25"/>
                <w:szCs w:val="25"/>
                <w:color w:val="auto"/>
                <w:vertAlign w:val="superscript"/>
              </w:rPr>
              <w:t>(71)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23,116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23,116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23,116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23,116</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Vito Lavopa</w:t>
            </w:r>
            <w:r>
              <w:rPr>
                <w:rFonts w:ascii="Times New Roman" w:cs="Times New Roman" w:eastAsia="Times New Roman" w:hAnsi="Times New Roman"/>
                <w:sz w:val="25"/>
                <w:szCs w:val="25"/>
                <w:color w:val="auto"/>
                <w:vertAlign w:val="superscript"/>
              </w:rPr>
              <w:t>(72)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 A. Vegely</w:t>
            </w:r>
            <w:r>
              <w:rPr>
                <w:rFonts w:ascii="Times New Roman" w:cs="Times New Roman" w:eastAsia="Times New Roman" w:hAnsi="Times New Roman"/>
                <w:sz w:val="25"/>
                <w:szCs w:val="25"/>
                <w:color w:val="auto"/>
                <w:vertAlign w:val="superscript"/>
              </w:rPr>
              <w:t>(73)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Harder I Work Luckier I Get LLC</w:t>
            </w:r>
            <w:r>
              <w:rPr>
                <w:rFonts w:ascii="Times New Roman" w:cs="Times New Roman" w:eastAsia="Times New Roman" w:hAnsi="Times New Roman"/>
                <w:sz w:val="25"/>
                <w:szCs w:val="25"/>
                <w:color w:val="auto"/>
                <w:vertAlign w:val="superscript"/>
              </w:rPr>
              <w:t>(74)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38,527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38,527</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38,527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38,527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Jeffrey Warmann IRA</w:t>
            </w:r>
            <w:r>
              <w:rPr>
                <w:rFonts w:ascii="Times New Roman" w:cs="Times New Roman" w:eastAsia="Times New Roman" w:hAnsi="Times New Roman"/>
                <w:sz w:val="25"/>
                <w:szCs w:val="25"/>
                <w:color w:val="auto"/>
                <w:vertAlign w:val="superscript"/>
              </w:rPr>
              <w:t>(75)</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Siripipat Living Trust</w:t>
            </w:r>
            <w:r>
              <w:rPr>
                <w:rFonts w:ascii="Times New Roman" w:cs="Times New Roman" w:eastAsia="Times New Roman" w:hAnsi="Times New Roman"/>
                <w:sz w:val="25"/>
                <w:szCs w:val="25"/>
                <w:color w:val="auto"/>
                <w:vertAlign w:val="superscript"/>
              </w:rPr>
              <w:t>(76)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Legacy Generation LLC</w:t>
            </w:r>
            <w:r>
              <w:rPr>
                <w:rFonts w:ascii="Times New Roman" w:cs="Times New Roman" w:eastAsia="Times New Roman" w:hAnsi="Times New Roman"/>
                <w:sz w:val="25"/>
                <w:szCs w:val="25"/>
                <w:color w:val="auto"/>
                <w:vertAlign w:val="superscript"/>
              </w:rPr>
              <w:t>(77)</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6,935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6,935</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Scott Stewart</w:t>
            </w:r>
            <w:r>
              <w:rPr>
                <w:rFonts w:ascii="Times New Roman" w:cs="Times New Roman" w:eastAsia="Times New Roman" w:hAnsi="Times New Roman"/>
                <w:sz w:val="25"/>
                <w:szCs w:val="25"/>
                <w:color w:val="auto"/>
                <w:vertAlign w:val="superscript"/>
              </w:rPr>
              <w:t>(78)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Samantha Gumenick</w:t>
            </w:r>
            <w:r>
              <w:rPr>
                <w:rFonts w:ascii="Times New Roman" w:cs="Times New Roman" w:eastAsia="Times New Roman" w:hAnsi="Times New Roman"/>
                <w:sz w:val="25"/>
                <w:szCs w:val="25"/>
                <w:color w:val="auto"/>
                <w:vertAlign w:val="superscript"/>
              </w:rPr>
              <w:t>(79)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Bowman</w:t>
            </w:r>
            <w:r>
              <w:rPr>
                <w:rFonts w:ascii="Times New Roman" w:cs="Times New Roman" w:eastAsia="Times New Roman" w:hAnsi="Times New Roman"/>
                <w:sz w:val="25"/>
                <w:szCs w:val="25"/>
                <w:color w:val="auto"/>
                <w:vertAlign w:val="superscript"/>
              </w:rPr>
              <w:t>(80)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3,853</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Nuttall Ventures LLC</w:t>
            </w:r>
            <w:r>
              <w:rPr>
                <w:rFonts w:ascii="Times New Roman" w:cs="Times New Roman" w:eastAsia="Times New Roman" w:hAnsi="Times New Roman"/>
                <w:sz w:val="25"/>
                <w:szCs w:val="25"/>
                <w:color w:val="auto"/>
                <w:vertAlign w:val="superscript"/>
              </w:rPr>
              <w:t>(81)</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AB Blaize LLC</w:t>
            </w:r>
            <w:r>
              <w:rPr>
                <w:rFonts w:ascii="Times New Roman" w:cs="Times New Roman" w:eastAsia="Times New Roman" w:hAnsi="Times New Roman"/>
                <w:sz w:val="25"/>
                <w:szCs w:val="25"/>
                <w:color w:val="auto"/>
                <w:vertAlign w:val="superscript"/>
              </w:rPr>
              <w:t>(82)</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8,091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8,091</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8,091</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Carroll Resources, LLC</w:t>
            </w:r>
            <w:r>
              <w:rPr>
                <w:rFonts w:ascii="Times New Roman" w:cs="Times New Roman" w:eastAsia="Times New Roman" w:hAnsi="Times New Roman"/>
                <w:sz w:val="25"/>
                <w:szCs w:val="25"/>
                <w:color w:val="auto"/>
                <w:vertAlign w:val="superscript"/>
              </w:rPr>
              <w:t>(83)</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Stack Investments LLC</w:t>
            </w:r>
            <w:r>
              <w:rPr>
                <w:rFonts w:ascii="Times New Roman" w:cs="Times New Roman" w:eastAsia="Times New Roman" w:hAnsi="Times New Roman"/>
                <w:sz w:val="26"/>
                <w:szCs w:val="26"/>
                <w:color w:val="auto"/>
                <w:vertAlign w:val="superscript"/>
              </w:rPr>
              <w:t>(84)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1,541</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96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400" w:type="dxa"/>
            <w:vAlign w:val="bottom"/>
            <w:gridSpan w:val="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96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960" w:type="dxa"/>
            <w:vAlign w:val="bottom"/>
            <w:gridSpan w:val="4"/>
            <w:vMerge w:val="continue"/>
          </w:tcPr>
          <w:p>
            <w:pPr>
              <w:spacing w:after="0"/>
              <w:rPr>
                <w:sz w:val="12"/>
                <w:szCs w:val="12"/>
                <w:color w:val="auto"/>
              </w:rPr>
            </w:pPr>
          </w:p>
        </w:tc>
        <w:tc>
          <w:tcPr>
            <w:tcW w:w="34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9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360" w:type="dxa"/>
            <w:vAlign w:val="bottom"/>
            <w:vMerge w:val="restart"/>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Warrants</w:t>
            </w:r>
            <w:r>
              <w:rPr>
                <w:rFonts w:ascii="Times New Roman" w:cs="Times New Roman" w:eastAsia="Times New Roman" w:hAnsi="Times New Roman"/>
                <w:sz w:val="10"/>
                <w:szCs w:val="10"/>
                <w:b w:val="1"/>
                <w:bCs w:val="1"/>
                <w:color w:val="auto"/>
                <w:w w:val="99"/>
              </w:rPr>
              <w:t>(2)</w:t>
            </w: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3"/>
            <w:vMerge w:val="continue"/>
          </w:tcPr>
          <w:p>
            <w:pPr>
              <w:spacing w:after="0"/>
              <w:rPr>
                <w:sz w:val="15"/>
                <w:szCs w:val="15"/>
                <w:color w:val="auto"/>
              </w:rPr>
            </w:pPr>
          </w:p>
        </w:tc>
        <w:tc>
          <w:tcPr>
            <w:tcW w:w="10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60" w:type="dxa"/>
            <w:vAlign w:val="bottom"/>
            <w:gridSpan w:val="2"/>
            <w:vMerge w:val="continue"/>
          </w:tcPr>
          <w:p>
            <w:pPr>
              <w:spacing w:after="0"/>
              <w:rPr>
                <w:sz w:val="15"/>
                <w:szCs w:val="15"/>
                <w:color w:val="auto"/>
              </w:rPr>
            </w:pPr>
          </w:p>
        </w:tc>
        <w:tc>
          <w:tcPr>
            <w:tcW w:w="8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Yasser Suleiman Alquwaidi</w:t>
            </w:r>
            <w:r>
              <w:rPr>
                <w:rFonts w:ascii="Times New Roman" w:cs="Times New Roman" w:eastAsia="Times New Roman" w:hAnsi="Times New Roman"/>
                <w:sz w:val="23"/>
                <w:szCs w:val="23"/>
                <w:color w:val="auto"/>
                <w:vertAlign w:val="superscript"/>
              </w:rPr>
              <w:t>(85)</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2,003</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2,003</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93"/>
              </w:rPr>
              <w:t>2,003</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2,003</w:t>
            </w: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Ibrahim Almanie</w:t>
            </w:r>
            <w:r>
              <w:rPr>
                <w:rFonts w:ascii="Times New Roman" w:cs="Times New Roman" w:eastAsia="Times New Roman" w:hAnsi="Times New Roman"/>
                <w:sz w:val="25"/>
                <w:szCs w:val="25"/>
                <w:color w:val="auto"/>
                <w:vertAlign w:val="superscript"/>
              </w:rPr>
              <w:t>(86)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Gary Moliken</w:t>
            </w:r>
            <w:r>
              <w:rPr>
                <w:rFonts w:ascii="Times New Roman" w:cs="Times New Roman" w:eastAsia="Times New Roman" w:hAnsi="Times New Roman"/>
                <w:sz w:val="25"/>
                <w:szCs w:val="25"/>
                <w:color w:val="auto"/>
                <w:vertAlign w:val="superscript"/>
              </w:rPr>
              <w:t>(87)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Brendan Harold</w:t>
            </w:r>
            <w:r>
              <w:rPr>
                <w:rFonts w:ascii="Times New Roman" w:cs="Times New Roman" w:eastAsia="Times New Roman" w:hAnsi="Times New Roman"/>
                <w:sz w:val="25"/>
                <w:szCs w:val="25"/>
                <w:color w:val="auto"/>
                <w:vertAlign w:val="superscript"/>
              </w:rPr>
              <w:t>(88)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Stephanie Dupal</w:t>
            </w:r>
            <w:r>
              <w:rPr>
                <w:rFonts w:ascii="Times New Roman" w:cs="Times New Roman" w:eastAsia="Times New Roman" w:hAnsi="Times New Roman"/>
                <w:sz w:val="25"/>
                <w:szCs w:val="25"/>
                <w:color w:val="auto"/>
                <w:vertAlign w:val="superscript"/>
              </w:rPr>
              <w:t>(89)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Abdulazis Alongary</w:t>
            </w:r>
            <w:r>
              <w:rPr>
                <w:rFonts w:ascii="Times New Roman" w:cs="Times New Roman" w:eastAsia="Times New Roman" w:hAnsi="Times New Roman"/>
                <w:sz w:val="25"/>
                <w:szCs w:val="25"/>
                <w:color w:val="auto"/>
                <w:vertAlign w:val="superscript"/>
              </w:rPr>
              <w:t>(90)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Dale Shilling</w:t>
            </w:r>
            <w:r>
              <w:rPr>
                <w:rFonts w:ascii="Times New Roman" w:cs="Times New Roman" w:eastAsia="Times New Roman" w:hAnsi="Times New Roman"/>
                <w:sz w:val="25"/>
                <w:szCs w:val="25"/>
                <w:color w:val="auto"/>
                <w:vertAlign w:val="superscript"/>
              </w:rPr>
              <w:t>(91)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15,411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15,411</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15,411</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15,411</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Charalampos Antoniu</w:t>
            </w:r>
            <w:r>
              <w:rPr>
                <w:rFonts w:ascii="Times New Roman" w:cs="Times New Roman" w:eastAsia="Times New Roman" w:hAnsi="Times New Roman"/>
                <w:sz w:val="25"/>
                <w:szCs w:val="25"/>
                <w:color w:val="auto"/>
                <w:vertAlign w:val="superscript"/>
              </w:rPr>
              <w:t>(92)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Codrus Capital AG</w:t>
            </w:r>
            <w:r>
              <w:rPr>
                <w:rFonts w:ascii="Times New Roman" w:cs="Times New Roman" w:eastAsia="Times New Roman" w:hAnsi="Times New Roman"/>
                <w:sz w:val="25"/>
                <w:szCs w:val="25"/>
                <w:color w:val="auto"/>
                <w:vertAlign w:val="superscript"/>
              </w:rPr>
              <w:t>(93)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Joseph Michalczyk</w:t>
            </w:r>
            <w:r>
              <w:rPr>
                <w:rFonts w:ascii="Times New Roman" w:cs="Times New Roman" w:eastAsia="Times New Roman" w:hAnsi="Times New Roman"/>
                <w:sz w:val="25"/>
                <w:szCs w:val="25"/>
                <w:color w:val="auto"/>
                <w:vertAlign w:val="superscript"/>
              </w:rPr>
              <w:t>(94)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835</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835</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835</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KIG Technical Services LLC</w:t>
            </w:r>
            <w:r>
              <w:rPr>
                <w:rFonts w:ascii="Times New Roman" w:cs="Times New Roman" w:eastAsia="Times New Roman" w:hAnsi="Times New Roman"/>
                <w:sz w:val="25"/>
                <w:szCs w:val="25"/>
                <w:color w:val="auto"/>
                <w:vertAlign w:val="superscript"/>
              </w:rPr>
              <w:t>(95)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1,828</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Mubashir Khazi</w:t>
            </w:r>
            <w:r>
              <w:rPr>
                <w:rFonts w:ascii="Times New Roman" w:cs="Times New Roman" w:eastAsia="Times New Roman" w:hAnsi="Times New Roman"/>
                <w:sz w:val="25"/>
                <w:szCs w:val="25"/>
                <w:color w:val="auto"/>
                <w:vertAlign w:val="superscript"/>
              </w:rPr>
              <w:t>(96)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1,148</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1,148</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1,148</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Universal E-Business Solutions</w:t>
            </w:r>
            <w:r>
              <w:rPr>
                <w:rFonts w:ascii="Times New Roman" w:cs="Times New Roman" w:eastAsia="Times New Roman" w:hAnsi="Times New Roman"/>
                <w:sz w:val="25"/>
                <w:szCs w:val="25"/>
                <w:color w:val="auto"/>
                <w:vertAlign w:val="superscript"/>
              </w:rPr>
              <w:t>(97)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5,009</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5,009</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5,009</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RK Trading I LLC</w:t>
            </w:r>
            <w:r>
              <w:rPr>
                <w:rFonts w:ascii="Times New Roman" w:cs="Times New Roman" w:eastAsia="Times New Roman" w:hAnsi="Times New Roman"/>
                <w:sz w:val="25"/>
                <w:szCs w:val="25"/>
                <w:color w:val="auto"/>
                <w:vertAlign w:val="superscript"/>
              </w:rPr>
              <w:t>(98)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234,938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9,938</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234,938</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9,938</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Spartan Capital Securities, LLC</w:t>
            </w:r>
            <w:r>
              <w:rPr>
                <w:rFonts w:ascii="Times New Roman" w:cs="Times New Roman" w:eastAsia="Times New Roman" w:hAnsi="Times New Roman"/>
                <w:sz w:val="25"/>
                <w:szCs w:val="25"/>
                <w:color w:val="auto"/>
                <w:vertAlign w:val="superscript"/>
              </w:rPr>
              <w:t>(99)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231,231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131,231</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231,231</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131,231</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Vladimir Eskin</w:t>
            </w:r>
            <w:r>
              <w:rPr>
                <w:rFonts w:ascii="Times New Roman" w:cs="Times New Roman" w:eastAsia="Times New Roman" w:hAnsi="Times New Roman"/>
                <w:sz w:val="25"/>
                <w:szCs w:val="25"/>
                <w:color w:val="auto"/>
                <w:vertAlign w:val="superscript"/>
              </w:rPr>
              <w:t>(100)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1,667</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1,667</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Dahan</w:t>
            </w:r>
            <w:r>
              <w:rPr>
                <w:rFonts w:ascii="Times New Roman" w:cs="Times New Roman" w:eastAsia="Times New Roman" w:hAnsi="Times New Roman"/>
                <w:sz w:val="25"/>
                <w:szCs w:val="25"/>
                <w:color w:val="auto"/>
                <w:vertAlign w:val="superscript"/>
              </w:rPr>
              <w:t>(101)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3,333</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3,333</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Ousam El Omari</w:t>
            </w:r>
            <w:r>
              <w:rPr>
                <w:rFonts w:ascii="Times New Roman" w:cs="Times New Roman" w:eastAsia="Times New Roman" w:hAnsi="Times New Roman"/>
                <w:sz w:val="25"/>
                <w:szCs w:val="25"/>
                <w:color w:val="auto"/>
                <w:vertAlign w:val="superscript"/>
              </w:rPr>
              <w:t>(102)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3,333</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3,333</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9325-2443 Quebec Inc.</w:t>
            </w:r>
            <w:r>
              <w:rPr>
                <w:rFonts w:ascii="Times New Roman" w:cs="Times New Roman" w:eastAsia="Times New Roman" w:hAnsi="Times New Roman"/>
                <w:sz w:val="25"/>
                <w:szCs w:val="25"/>
                <w:color w:val="auto"/>
                <w:vertAlign w:val="superscript"/>
              </w:rPr>
              <w:t>(103)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33,333</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33,333</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Derek Jones</w:t>
            </w:r>
            <w:r>
              <w:rPr>
                <w:rFonts w:ascii="Times New Roman" w:cs="Times New Roman" w:eastAsia="Times New Roman" w:hAnsi="Times New Roman"/>
                <w:sz w:val="25"/>
                <w:szCs w:val="25"/>
                <w:color w:val="auto"/>
                <w:vertAlign w:val="superscript"/>
              </w:rPr>
              <w:t>(104)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Grimpe</w:t>
            </w:r>
            <w:r>
              <w:rPr>
                <w:rFonts w:ascii="Times New Roman" w:cs="Times New Roman" w:eastAsia="Times New Roman" w:hAnsi="Times New Roman"/>
                <w:sz w:val="25"/>
                <w:szCs w:val="25"/>
                <w:color w:val="auto"/>
                <w:vertAlign w:val="superscript"/>
              </w:rPr>
              <w:t>(105)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Arvinder Kakar</w:t>
            </w:r>
            <w:r>
              <w:rPr>
                <w:rFonts w:ascii="Times New Roman" w:cs="Times New Roman" w:eastAsia="Times New Roman" w:hAnsi="Times New Roman"/>
                <w:sz w:val="25"/>
                <w:szCs w:val="25"/>
                <w:color w:val="auto"/>
                <w:vertAlign w:val="superscript"/>
              </w:rPr>
              <w:t>(106)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16,667</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16,667</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His Highness Sheikh Ahmed Dalmook Al</w:t>
            </w: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Maktoum</w:t>
            </w:r>
            <w:r>
              <w:rPr>
                <w:rFonts w:ascii="Times New Roman" w:cs="Times New Roman" w:eastAsia="Times New Roman" w:hAnsi="Times New Roman"/>
                <w:sz w:val="26"/>
                <w:szCs w:val="26"/>
                <w:color w:val="auto"/>
                <w:vertAlign w:val="superscript"/>
              </w:rPr>
              <w:t>(107)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1,200,000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Ignite Capital Partners, Inc.</w:t>
            </w:r>
            <w:r>
              <w:rPr>
                <w:rFonts w:ascii="Times New Roman" w:cs="Times New Roman" w:eastAsia="Times New Roman" w:hAnsi="Times New Roman"/>
                <w:sz w:val="25"/>
                <w:szCs w:val="25"/>
                <w:color w:val="auto"/>
                <w:vertAlign w:val="superscript"/>
              </w:rPr>
              <w:t>(108)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6,667</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6,667</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Ohler</w:t>
            </w:r>
            <w:r>
              <w:rPr>
                <w:rFonts w:ascii="Times New Roman" w:cs="Times New Roman" w:eastAsia="Times New Roman" w:hAnsi="Times New Roman"/>
                <w:sz w:val="25"/>
                <w:szCs w:val="25"/>
                <w:color w:val="auto"/>
                <w:vertAlign w:val="superscript"/>
              </w:rPr>
              <w:t>(109)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Michael A. Silverman</w:t>
            </w:r>
            <w:r>
              <w:rPr>
                <w:rFonts w:ascii="Times New Roman" w:cs="Times New Roman" w:eastAsia="Times New Roman" w:hAnsi="Times New Roman"/>
                <w:sz w:val="25"/>
                <w:szCs w:val="25"/>
                <w:color w:val="auto"/>
                <w:vertAlign w:val="superscript"/>
              </w:rPr>
              <w:t>(110)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W. Janssen</w:t>
            </w:r>
            <w:r>
              <w:rPr>
                <w:rFonts w:ascii="Times New Roman" w:cs="Times New Roman" w:eastAsia="Times New Roman" w:hAnsi="Times New Roman"/>
                <w:sz w:val="25"/>
                <w:szCs w:val="25"/>
                <w:color w:val="auto"/>
                <w:vertAlign w:val="superscript"/>
              </w:rPr>
              <w:t>(111)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6,667</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6,667</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Dennis Saadeh</w:t>
            </w:r>
            <w:r>
              <w:rPr>
                <w:rFonts w:ascii="Times New Roman" w:cs="Times New Roman" w:eastAsia="Times New Roman" w:hAnsi="Times New Roman"/>
                <w:sz w:val="25"/>
                <w:szCs w:val="25"/>
                <w:color w:val="auto"/>
                <w:vertAlign w:val="superscript"/>
              </w:rPr>
              <w:t>(112)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Trout Lake Enterprises LP</w:t>
            </w:r>
            <w:r>
              <w:rPr>
                <w:rFonts w:ascii="Times New Roman" w:cs="Times New Roman" w:eastAsia="Times New Roman" w:hAnsi="Times New Roman"/>
                <w:sz w:val="25"/>
                <w:szCs w:val="25"/>
                <w:color w:val="auto"/>
                <w:vertAlign w:val="superscript"/>
              </w:rPr>
              <w:t>(113)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80,000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6,667</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6,667</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Igor Semenov</w:t>
            </w:r>
            <w:r>
              <w:rPr>
                <w:rFonts w:ascii="Times New Roman" w:cs="Times New Roman" w:eastAsia="Times New Roman" w:hAnsi="Times New Roman"/>
                <w:sz w:val="25"/>
                <w:szCs w:val="25"/>
                <w:color w:val="auto"/>
                <w:vertAlign w:val="superscript"/>
              </w:rPr>
              <w:t>(114)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480,000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Roth Capital Partners, LLC</w:t>
            </w:r>
            <w:r>
              <w:rPr>
                <w:rFonts w:ascii="Times New Roman" w:cs="Times New Roman" w:eastAsia="Times New Roman" w:hAnsi="Times New Roman"/>
                <w:sz w:val="25"/>
                <w:szCs w:val="25"/>
                <w:color w:val="auto"/>
                <w:vertAlign w:val="superscript"/>
              </w:rPr>
              <w:t>(115)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63,157</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Craig-Hallum Capital Group LLC</w:t>
            </w:r>
            <w:r>
              <w:rPr>
                <w:rFonts w:ascii="Times New Roman" w:cs="Times New Roman" w:eastAsia="Times New Roman" w:hAnsi="Times New Roman"/>
                <w:sz w:val="25"/>
                <w:szCs w:val="25"/>
                <w:color w:val="auto"/>
                <w:vertAlign w:val="superscript"/>
              </w:rPr>
              <w:t>(116)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46,792</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46,792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Lipman</w:t>
            </w:r>
            <w:r>
              <w:rPr>
                <w:rFonts w:ascii="Times New Roman" w:cs="Times New Roman" w:eastAsia="Times New Roman" w:hAnsi="Times New Roman"/>
                <w:sz w:val="25"/>
                <w:szCs w:val="25"/>
                <w:color w:val="auto"/>
                <w:vertAlign w:val="superscript"/>
              </w:rPr>
              <w:t>(117)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Kingswood Capital Partners</w:t>
            </w:r>
            <w:r>
              <w:rPr>
                <w:rFonts w:ascii="Times New Roman" w:cs="Times New Roman" w:eastAsia="Times New Roman" w:hAnsi="Times New Roman"/>
                <w:sz w:val="25"/>
                <w:szCs w:val="25"/>
                <w:color w:val="auto"/>
                <w:vertAlign w:val="superscript"/>
              </w:rPr>
              <w:t>(118)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25,875</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25,875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Silver</w:t>
            </w:r>
            <w:r>
              <w:rPr>
                <w:rFonts w:ascii="Times New Roman" w:cs="Times New Roman" w:eastAsia="Times New Roman" w:hAnsi="Times New Roman"/>
                <w:sz w:val="25"/>
                <w:szCs w:val="25"/>
                <w:color w:val="auto"/>
                <w:vertAlign w:val="superscript"/>
              </w:rPr>
              <w:t>(119)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79,544</w:t>
            </w:r>
          </w:p>
        </w:tc>
        <w:tc>
          <w:tcPr>
            <w:tcW w:w="9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79,544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Finalis, Inc.</w:t>
            </w:r>
            <w:r>
              <w:rPr>
                <w:rFonts w:ascii="Times New Roman" w:cs="Times New Roman" w:eastAsia="Times New Roman" w:hAnsi="Times New Roman"/>
                <w:sz w:val="26"/>
                <w:szCs w:val="26"/>
                <w:color w:val="auto"/>
                <w:vertAlign w:val="superscript"/>
              </w:rPr>
              <w:t>(120)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6,706</w:t>
            </w:r>
          </w:p>
        </w:tc>
        <w:tc>
          <w:tcPr>
            <w:tcW w:w="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6,706</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136</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8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44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4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880" w:type="dxa"/>
            <w:vAlign w:val="bottom"/>
            <w:gridSpan w:val="4"/>
            <w:vMerge w:val="continue"/>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0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620" w:type="dxa"/>
            <w:vAlign w:val="bottom"/>
            <w:vMerge w:val="restart"/>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0"/>
                <w:szCs w:val="10"/>
                <w:b w:val="1"/>
                <w:bCs w:val="1"/>
                <w:color w:val="auto"/>
              </w:rPr>
              <w:t>(2)</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90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continue"/>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8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Fir Tree Value Master Fund LP</w:t>
            </w:r>
            <w:r>
              <w:rPr>
                <w:rFonts w:ascii="Times New Roman" w:cs="Times New Roman" w:eastAsia="Times New Roman" w:hAnsi="Times New Roman"/>
                <w:sz w:val="23"/>
                <w:szCs w:val="23"/>
                <w:color w:val="auto"/>
                <w:vertAlign w:val="superscript"/>
              </w:rPr>
              <w:t>(121)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8,400</w:t>
            </w: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8,400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Fir Tree Capital Opportunity Master Fund LP</w:t>
            </w:r>
            <w:r>
              <w:rPr>
                <w:rFonts w:ascii="Times New Roman" w:cs="Times New Roman" w:eastAsia="Times New Roman" w:hAnsi="Times New Roman"/>
                <w:sz w:val="25"/>
                <w:szCs w:val="25"/>
                <w:color w:val="auto"/>
                <w:vertAlign w:val="superscript"/>
              </w:rPr>
              <w:t>(122)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5,807</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 Tree Capital Opportunity Master Fund III,</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27"/>
                <w:szCs w:val="27"/>
                <w:color w:val="auto"/>
                <w:vertAlign w:val="subscript"/>
              </w:rPr>
              <w:t>LP</w:t>
            </w:r>
            <w:r>
              <w:rPr>
                <w:rFonts w:ascii="Times New Roman" w:cs="Times New Roman" w:eastAsia="Times New Roman" w:hAnsi="Times New Roman"/>
                <w:sz w:val="12"/>
                <w:szCs w:val="12"/>
                <w:color w:val="auto"/>
              </w:rPr>
              <w:t>(123)</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9,412</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9,412</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FT SOF XIII (SPAC) Holdings, LLC</w:t>
            </w:r>
            <w:r>
              <w:rPr>
                <w:rFonts w:ascii="Times New Roman" w:cs="Times New Roman" w:eastAsia="Times New Roman" w:hAnsi="Times New Roman"/>
                <w:sz w:val="25"/>
                <w:szCs w:val="25"/>
                <w:color w:val="auto"/>
                <w:vertAlign w:val="superscript"/>
              </w:rPr>
              <w:t>(124)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40,607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40,607</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BOSTON PATRIOT MERRIMACK ST. LLC</w:t>
            </w:r>
            <w:r>
              <w:rPr>
                <w:rFonts w:ascii="Times New Roman" w:cs="Times New Roman" w:eastAsia="Times New Roman" w:hAnsi="Times New Roman"/>
                <w:sz w:val="25"/>
                <w:szCs w:val="25"/>
                <w:color w:val="auto"/>
                <w:vertAlign w:val="superscript"/>
              </w:rPr>
              <w:t>(125)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84,598</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84,598</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Kepos Alpha Master Fund L.P.</w:t>
            </w:r>
            <w:r>
              <w:rPr>
                <w:rFonts w:ascii="Times New Roman" w:cs="Times New Roman" w:eastAsia="Times New Roman" w:hAnsi="Times New Roman"/>
                <w:sz w:val="25"/>
                <w:szCs w:val="25"/>
                <w:color w:val="auto"/>
                <w:vertAlign w:val="superscript"/>
              </w:rPr>
              <w:t>(126)</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78,800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Kepos Special Opportunities Master Fund L.P.</w:t>
            </w:r>
            <w:r>
              <w:rPr>
                <w:rFonts w:ascii="Times New Roman" w:cs="Times New Roman" w:eastAsia="Times New Roman" w:hAnsi="Times New Roman"/>
                <w:sz w:val="25"/>
                <w:szCs w:val="25"/>
                <w:color w:val="auto"/>
                <w:vertAlign w:val="superscript"/>
              </w:rPr>
              <w:t>(127)</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21,200</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Lee Lapp</w:t>
            </w:r>
            <w:r>
              <w:rPr>
                <w:rFonts w:ascii="Times New Roman" w:cs="Times New Roman" w:eastAsia="Times New Roman" w:hAnsi="Times New Roman"/>
                <w:sz w:val="25"/>
                <w:szCs w:val="25"/>
                <w:color w:val="auto"/>
                <w:vertAlign w:val="superscript"/>
              </w:rPr>
              <w:t>(128)</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10,250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Mizuho Securities USA LLC</w:t>
            </w:r>
            <w:r>
              <w:rPr>
                <w:rFonts w:ascii="Times New Roman" w:cs="Times New Roman" w:eastAsia="Times New Roman" w:hAnsi="Times New Roman"/>
                <w:sz w:val="25"/>
                <w:szCs w:val="25"/>
                <w:color w:val="auto"/>
                <w:vertAlign w:val="superscript"/>
              </w:rPr>
              <w:t>(129)</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Radcliffe SPAC Master Fund L.P.</w:t>
            </w:r>
            <w:r>
              <w:rPr>
                <w:rFonts w:ascii="Times New Roman" w:cs="Times New Roman" w:eastAsia="Times New Roman" w:hAnsi="Times New Roman"/>
                <w:sz w:val="25"/>
                <w:szCs w:val="25"/>
                <w:color w:val="auto"/>
                <w:vertAlign w:val="superscript"/>
              </w:rPr>
              <w:t>(130)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37,775</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37,775</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EXOS COLLATERALIZED SPAC HOLDINGS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 LP</w:t>
            </w:r>
            <w:r>
              <w:rPr>
                <w:rFonts w:ascii="Times New Roman" w:cs="Times New Roman" w:eastAsia="Times New Roman" w:hAnsi="Times New Roman"/>
                <w:sz w:val="26"/>
                <w:szCs w:val="26"/>
                <w:color w:val="auto"/>
                <w:vertAlign w:val="superscript"/>
              </w:rPr>
              <w:t>(131)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63,565</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63,565</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EXOS Consolidated SPAC Holdings Fund LP</w:t>
            </w:r>
            <w:r>
              <w:rPr>
                <w:rFonts w:ascii="Times New Roman" w:cs="Times New Roman" w:eastAsia="Times New Roman" w:hAnsi="Times New Roman"/>
                <w:sz w:val="25"/>
                <w:szCs w:val="25"/>
                <w:color w:val="auto"/>
                <w:vertAlign w:val="superscript"/>
              </w:rPr>
              <w:t>(132)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Boothbay Absolute Return Strategies, LP</w:t>
            </w:r>
            <w:r>
              <w:rPr>
                <w:rFonts w:ascii="Times New Roman" w:cs="Times New Roman" w:eastAsia="Times New Roman" w:hAnsi="Times New Roman"/>
                <w:sz w:val="25"/>
                <w:szCs w:val="25"/>
                <w:color w:val="auto"/>
                <w:vertAlign w:val="superscript"/>
              </w:rPr>
              <w:t>(133)</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66,330</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66,330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Boothbay Diversified Alpha Master Fund LP</w:t>
            </w:r>
            <w:r>
              <w:rPr>
                <w:rFonts w:ascii="Times New Roman" w:cs="Times New Roman" w:eastAsia="Times New Roman" w:hAnsi="Times New Roman"/>
                <w:sz w:val="25"/>
                <w:szCs w:val="25"/>
                <w:color w:val="auto"/>
                <w:vertAlign w:val="superscript"/>
              </w:rPr>
              <w:t>(134)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32,670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32,670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Sandia Crest LP</w:t>
            </w:r>
            <w:r>
              <w:rPr>
                <w:rFonts w:ascii="Times New Roman" w:cs="Times New Roman" w:eastAsia="Times New Roman" w:hAnsi="Times New Roman"/>
                <w:sz w:val="25"/>
                <w:szCs w:val="25"/>
                <w:color w:val="auto"/>
                <w:vertAlign w:val="superscript"/>
              </w:rPr>
              <w:t>(135)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27,501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27,501</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Walleye Investment Fund LLC</w:t>
            </w:r>
            <w:r>
              <w:rPr>
                <w:rFonts w:ascii="Times New Roman" w:cs="Times New Roman" w:eastAsia="Times New Roman" w:hAnsi="Times New Roman"/>
                <w:sz w:val="25"/>
                <w:szCs w:val="25"/>
                <w:color w:val="auto"/>
                <w:vertAlign w:val="superscript"/>
              </w:rPr>
              <w:t>(136)</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43,400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Walleye Opportunities Master Fund Ltd</w:t>
            </w:r>
            <w:r>
              <w:rPr>
                <w:rFonts w:ascii="Times New Roman" w:cs="Times New Roman" w:eastAsia="Times New Roman" w:hAnsi="Times New Roman"/>
                <w:sz w:val="25"/>
                <w:szCs w:val="25"/>
                <w:color w:val="auto"/>
                <w:vertAlign w:val="superscript"/>
              </w:rPr>
              <w:t>(137)</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72,851</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72,851</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Crestline Summit Master, SPC - Peak SP</w:t>
            </w:r>
            <w:r>
              <w:rPr>
                <w:rFonts w:ascii="Times New Roman" w:cs="Times New Roman" w:eastAsia="Times New Roman" w:hAnsi="Times New Roman"/>
                <w:sz w:val="25"/>
                <w:szCs w:val="25"/>
                <w:color w:val="auto"/>
                <w:vertAlign w:val="superscript"/>
              </w:rPr>
              <w:t>(138)</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20,749</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20,749</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Crestline Summit Master, SPC - Crestline Summit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APEX SP</w:t>
            </w:r>
            <w:r>
              <w:rPr>
                <w:rFonts w:ascii="Times New Roman" w:cs="Times New Roman" w:eastAsia="Times New Roman" w:hAnsi="Times New Roman"/>
                <w:sz w:val="26"/>
                <w:szCs w:val="26"/>
                <w:color w:val="auto"/>
                <w:vertAlign w:val="superscript"/>
              </w:rPr>
              <w:t>(139)</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5,250</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Harraden Circle Investors</w:t>
            </w:r>
            <w:r>
              <w:rPr>
                <w:rFonts w:ascii="Times New Roman" w:cs="Times New Roman" w:eastAsia="Times New Roman" w:hAnsi="Times New Roman"/>
                <w:sz w:val="25"/>
                <w:szCs w:val="25"/>
                <w:color w:val="auto"/>
                <w:vertAlign w:val="superscript"/>
              </w:rPr>
              <w:t>(140)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62,500</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Sea Hawk Multi-Strategy Master Fund Ltd.</w:t>
            </w:r>
            <w:r>
              <w:rPr>
                <w:rFonts w:ascii="Times New Roman" w:cs="Times New Roman" w:eastAsia="Times New Roman" w:hAnsi="Times New Roman"/>
                <w:sz w:val="25"/>
                <w:szCs w:val="25"/>
                <w:color w:val="auto"/>
                <w:vertAlign w:val="superscript"/>
              </w:rPr>
              <w:t>(141)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20,250</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20,250</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Arena Finance Markets, LP</w:t>
            </w:r>
            <w:r>
              <w:rPr>
                <w:rFonts w:ascii="Times New Roman" w:cs="Times New Roman" w:eastAsia="Times New Roman" w:hAnsi="Times New Roman"/>
                <w:sz w:val="26"/>
                <w:szCs w:val="26"/>
                <w:color w:val="auto"/>
                <w:vertAlign w:val="superscript"/>
              </w:rPr>
              <w:t>(142)</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14,167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14,167</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137</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Beneficially</w:t>
            </w:r>
          </w:p>
        </w:tc>
        <w:tc>
          <w:tcPr>
            <w:tcW w:w="18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to be Offered</w:t>
            </w:r>
          </w:p>
        </w:tc>
        <w:tc>
          <w:tcPr>
            <w:tcW w:w="344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 Beneficially Owned after this</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1880" w:type="dxa"/>
            <w:vAlign w:val="bottom"/>
            <w:gridSpan w:val="4"/>
            <w:vMerge w:val="continue"/>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this Offering</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 and Addresses</w:t>
            </w:r>
          </w:p>
        </w:tc>
        <w:tc>
          <w:tcPr>
            <w:tcW w:w="2600" w:type="dxa"/>
            <w:vAlign w:val="bottom"/>
            <w:vMerge w:val="restart"/>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0"/>
                <w:szCs w:val="10"/>
                <w:b w:val="1"/>
                <w:bCs w:val="1"/>
                <w:color w:val="auto"/>
              </w:rPr>
              <w:t>(2)</w:t>
            </w: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Percentages</w:t>
            </w: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9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vMerge w:val="continue"/>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10"/>
                <w:szCs w:val="10"/>
                <w:b w:val="1"/>
                <w:bCs w:val="1"/>
                <w:color w:val="auto"/>
              </w:rPr>
              <w:t>(1)</w:t>
            </w:r>
          </w:p>
        </w:tc>
        <w:tc>
          <w:tcPr>
            <w:tcW w:w="980" w:type="dxa"/>
            <w:vAlign w:val="bottom"/>
            <w:gridSpan w:val="2"/>
            <w:vMerge w:val="continue"/>
          </w:tcPr>
          <w:p>
            <w:pPr>
              <w:spacing w:after="0"/>
              <w:rPr>
                <w:sz w:val="15"/>
                <w:szCs w:val="15"/>
                <w:color w:val="auto"/>
              </w:rPr>
            </w:pPr>
          </w:p>
        </w:tc>
        <w:tc>
          <w:tcPr>
            <w:tcW w:w="8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Arena Special Opportunities (Offshore) Master,</w:t>
            </w: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4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27"/>
                <w:szCs w:val="27"/>
                <w:color w:val="auto"/>
                <w:vertAlign w:val="subscript"/>
              </w:rPr>
              <w:t>LP</w:t>
            </w:r>
            <w:r>
              <w:rPr>
                <w:rFonts w:ascii="Times New Roman" w:cs="Times New Roman" w:eastAsia="Times New Roman" w:hAnsi="Times New Roman"/>
                <w:sz w:val="12"/>
                <w:szCs w:val="12"/>
                <w:color w:val="auto"/>
              </w:rPr>
              <w:t>(143)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7,088</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7,088</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Arena Special Opportunities Fund, LP</w:t>
            </w:r>
            <w:r>
              <w:rPr>
                <w:rFonts w:ascii="Times New Roman" w:cs="Times New Roman" w:eastAsia="Times New Roman" w:hAnsi="Times New Roman"/>
                <w:sz w:val="25"/>
                <w:szCs w:val="25"/>
                <w:color w:val="auto"/>
                <w:vertAlign w:val="superscript"/>
              </w:rPr>
              <w:t>(144)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20,125</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20,125</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Arena Special Opportunities Partners II, LP</w:t>
            </w:r>
            <w:r>
              <w:rPr>
                <w:rFonts w:ascii="Times New Roman" w:cs="Times New Roman" w:eastAsia="Times New Roman" w:hAnsi="Times New Roman"/>
                <w:sz w:val="25"/>
                <w:szCs w:val="25"/>
                <w:color w:val="auto"/>
                <w:vertAlign w:val="superscript"/>
              </w:rPr>
              <w:t>(145)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40,134</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40,134</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Arena Special Opportunities Partners (Cayman</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Master) II, LP</w:t>
            </w:r>
            <w:r>
              <w:rPr>
                <w:rFonts w:ascii="Times New Roman" w:cs="Times New Roman" w:eastAsia="Times New Roman" w:hAnsi="Times New Roman"/>
                <w:sz w:val="26"/>
                <w:szCs w:val="26"/>
                <w:color w:val="auto"/>
                <w:vertAlign w:val="superscript"/>
              </w:rPr>
              <w:t>(146)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18,486</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18,486</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AQR Absolute Return</w:t>
            </w:r>
            <w:r>
              <w:rPr>
                <w:rFonts w:ascii="Times New Roman" w:cs="Times New Roman" w:eastAsia="Times New Roman" w:hAnsi="Times New Roman"/>
                <w:sz w:val="25"/>
                <w:szCs w:val="25"/>
                <w:color w:val="auto"/>
                <w:vertAlign w:val="superscript"/>
              </w:rPr>
              <w:t>(147)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34,111</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34,111</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AQR Corporate Arbitrage Master Account</w:t>
            </w:r>
            <w:r>
              <w:rPr>
                <w:rFonts w:ascii="Times New Roman" w:cs="Times New Roman" w:eastAsia="Times New Roman" w:hAnsi="Times New Roman"/>
                <w:sz w:val="25"/>
                <w:szCs w:val="25"/>
                <w:color w:val="auto"/>
                <w:vertAlign w:val="superscript"/>
              </w:rPr>
              <w:t>(148)</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11,629</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11,629</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AQR Alternative Investment</w:t>
            </w:r>
            <w:r>
              <w:rPr>
                <w:rFonts w:ascii="Times New Roman" w:cs="Times New Roman" w:eastAsia="Times New Roman" w:hAnsi="Times New Roman"/>
                <w:sz w:val="25"/>
                <w:szCs w:val="25"/>
                <w:color w:val="auto"/>
                <w:vertAlign w:val="superscript"/>
              </w:rPr>
              <w:t>(149)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43,452</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43,452</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AQR Tax Advantaged</w:t>
            </w:r>
            <w:r>
              <w:rPr>
                <w:rFonts w:ascii="Times New Roman" w:cs="Times New Roman" w:eastAsia="Times New Roman" w:hAnsi="Times New Roman"/>
                <w:sz w:val="25"/>
                <w:szCs w:val="25"/>
                <w:color w:val="auto"/>
                <w:vertAlign w:val="superscript"/>
              </w:rPr>
              <w:t>(150)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10,809</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10,809</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Jaime Aparisi</w:t>
            </w:r>
            <w:r>
              <w:rPr>
                <w:rFonts w:ascii="Times New Roman" w:cs="Times New Roman" w:eastAsia="Times New Roman" w:hAnsi="Times New Roman"/>
                <w:sz w:val="25"/>
                <w:szCs w:val="25"/>
                <w:color w:val="auto"/>
                <w:vertAlign w:val="superscript"/>
              </w:rPr>
              <w:t>(151)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18,181</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18,181</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Leibovitz</w:t>
            </w:r>
            <w:r>
              <w:rPr>
                <w:rFonts w:ascii="Times New Roman" w:cs="Times New Roman" w:eastAsia="Times New Roman" w:hAnsi="Times New Roman"/>
                <w:sz w:val="26"/>
                <w:szCs w:val="26"/>
                <w:color w:val="auto"/>
                <w:vertAlign w:val="superscript"/>
              </w:rPr>
              <w:t>(152)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880" w:right="180" w:hanging="764"/>
        <w:spacing w:after="0" w:line="257" w:lineRule="auto"/>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shares of Common Stock that may be offered by such Selling Stockholder using this prospectus. These amounts do not represent any other shares of our Common Stock that the Selling Stockholder may own beneficially or otherwise.</w:t>
      </w:r>
    </w:p>
    <w:p>
      <w:pPr>
        <w:spacing w:after="0" w:line="1" w:lineRule="exact"/>
        <w:rPr>
          <w:rFonts w:ascii="Times New Roman" w:cs="Times New Roman" w:eastAsia="Times New Roman" w:hAnsi="Times New Roman"/>
          <w:sz w:val="18"/>
          <w:szCs w:val="18"/>
          <w:color w:val="auto"/>
        </w:rPr>
      </w:pPr>
    </w:p>
    <w:p>
      <w:pPr>
        <w:ind w:left="880" w:right="40" w:hanging="764"/>
        <w:spacing w:after="0" w:line="250" w:lineRule="auto"/>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this column are the number of warrants that may be offered by such Selling Stockholder using this prospectus. These amounts do not represent any other warrants that the Selling Stockholder may own beneficially or otherwise.</w:t>
      </w:r>
    </w:p>
    <w:p>
      <w:pPr>
        <w:ind w:left="880" w:right="20" w:hanging="764"/>
        <w:spacing w:after="0" w:line="250" w:lineRule="auto"/>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6,353,023 shares of Common Stock held directly by the selling securityholder. The shares of Common Stock are being registered for resale in accordance with the terms of the Registration Rights Agreement.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w:t>
      </w:r>
    </w:p>
    <w:p>
      <w:pPr>
        <w:spacing w:after="0" w:line="4" w:lineRule="exact"/>
        <w:rPr>
          <w:rFonts w:ascii="Times New Roman" w:cs="Times New Roman" w:eastAsia="Times New Roman" w:hAnsi="Times New Roman"/>
          <w:sz w:val="18"/>
          <w:szCs w:val="18"/>
          <w:color w:val="auto"/>
        </w:rPr>
      </w:pPr>
    </w:p>
    <w:p>
      <w:pPr>
        <w:ind w:left="880" w:right="20" w:hanging="764"/>
        <w:spacing w:after="0" w:line="253" w:lineRule="auto"/>
        <w:tabs>
          <w:tab w:leader="none" w:pos="8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17,716,892 shares of Common Stock held directly by Ava Private Markets Sarl (“Ava Private Markets”) and affiliates. The shares of Common Stock are being registered for resale in accordance with the terms of the Ava Registration Rights Agreement.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right="60"/>
        <w:spacing w:after="0" w:line="261" w:lineRule="auto"/>
        <w:rPr>
          <w:sz w:val="20"/>
          <w:szCs w:val="20"/>
          <w:color w:val="auto"/>
        </w:rPr>
      </w:pPr>
      <w:r>
        <w:rPr>
          <w:rFonts w:ascii="Times New Roman" w:cs="Times New Roman" w:eastAsia="Times New Roman" w:hAnsi="Times New Roman"/>
          <w:sz w:val="18"/>
          <w:szCs w:val="18"/>
          <w:color w:val="auto"/>
        </w:rPr>
        <w:t>persons above disclaims any beneficial ownership of the securities, except to the extent of any pecuniary interest therein. The address of each of the persons above is c/o Ava Investors SA, Rue du Rhône 78, 1204 Geneva, Switzerland.</w:t>
      </w:r>
    </w:p>
    <w:p>
      <w:pPr>
        <w:ind w:left="880" w:right="40" w:hanging="764"/>
        <w:spacing w:after="0" w:line="250" w:lineRule="auto"/>
        <w:tabs>
          <w:tab w:leader="none" w:pos="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9,336,751 shares of Common Stock, including: (i) 8,946,783 shares of Common Stock held directly by Bess Ventures and Advisory, LLC (“Bess Ventures”) and (ii) 389,968 shares of Common Stock held by the Coral Gables Trust Company, Trustee of the Destin Huang Irrevocable Trust Dated October 19, 2021 (the “Trust”). The securities are being registered for resale in accordance with the terms of the Registration Rights Agreement. Lane M. Bess is the (i) managing member and owner of Bess Ventures, (ii) the Investment Fiduciary of the Trust and (iii) the Chairman of the Board of the Company.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w:t>
      </w:r>
    </w:p>
    <w:p>
      <w:pPr>
        <w:spacing w:after="0" w:line="3"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8,229,379 shares of Common Stock, including: (i) 4,786,504 shares of Common Stock held directly by the Sponsor, (ii) 242,875 shares of Common Stock issuable upon exercise of Warrants by Sponsor, (iii) 242,875 Warrants held directly by the Sponsor and (iv) 3,200,000 shares of Common Stock held by Burkhan, an affiliate of Sponsor. The shares of Common Stock are being registered in accordance with the terms of the Registration Rights Agreement and Sponsor Note. BurTech LP LLC, the Sponsor, is the record holder of the securities reported herein. Shahal Khan, Patrick Orlando and Roman Livson are the managing members of the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LP LLC, 5601 Arbor Lane, Coral Gables, FL 33156.</w:t>
      </w:r>
    </w:p>
    <w:p>
      <w:pPr>
        <w:spacing w:after="0" w:line="3"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9,195,111 shares of Common Stock, including: (i) 4,673,746 shares of Common Stock held by DENSO Corporation and (ii) 4,521,365 shares of Common Stock held by DENSO International America, Inc. The shares of Common Stock are being registered in accordance with the terms of the Registration Rights Agreement.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5" w:lineRule="exact"/>
        <w:rPr>
          <w:rFonts w:ascii="Times New Roman" w:cs="Times New Roman" w:eastAsia="Times New Roman" w:hAnsi="Times New Roman"/>
          <w:sz w:val="18"/>
          <w:szCs w:val="18"/>
          <w:color w:val="auto"/>
        </w:rPr>
      </w:pPr>
    </w:p>
    <w:p>
      <w:pPr>
        <w:jc w:val="both"/>
        <w:ind w:left="880" w:right="360" w:hanging="764"/>
        <w:spacing w:after="0" w:line="250" w:lineRule="auto"/>
        <w:tabs>
          <w:tab w:leader="none" w:pos="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319,125 shares of Common Stock held directly by the selling securityholder. The shares of Common Stock are being registered in accordance with the terms of the Registration Rights Agreement. The address of Keep a Child Alive, Inc. is c/o Eli Kesler, 1 Penn Plaza, Suite 4811, New York, NY 10119.</w:t>
      </w:r>
    </w:p>
    <w:p>
      <w:pPr>
        <w:spacing w:after="0" w:line="1" w:lineRule="exact"/>
        <w:rPr>
          <w:rFonts w:ascii="Times New Roman" w:cs="Times New Roman" w:eastAsia="Times New Roman" w:hAnsi="Times New Roman"/>
          <w:sz w:val="18"/>
          <w:szCs w:val="18"/>
          <w:color w:val="auto"/>
        </w:rPr>
      </w:pPr>
    </w:p>
    <w:p>
      <w:pPr>
        <w:ind w:left="880" w:right="180" w:hanging="764"/>
        <w:spacing w:after="0" w:line="250" w:lineRule="auto"/>
        <w:tabs>
          <w:tab w:leader="none" w:pos="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448,393 shares of Common Stock held directly by the selling securityholder. The shares of Common Stock are being registered in accordance with the terms of the Registration Rights Agreement. The address of F&amp;M Star Alliance, Inc. is 556 Main St, Hunkins Plaza, Charlestown, Nevis.</w:t>
      </w:r>
    </w:p>
    <w:p>
      <w:pPr>
        <w:spacing w:after="0" w:line="1" w:lineRule="exact"/>
        <w:rPr>
          <w:rFonts w:ascii="Times New Roman" w:cs="Times New Roman" w:eastAsia="Times New Roman" w:hAnsi="Times New Roman"/>
          <w:sz w:val="18"/>
          <w:szCs w:val="18"/>
          <w:color w:val="auto"/>
        </w:rPr>
      </w:pPr>
    </w:p>
    <w:p>
      <w:pPr>
        <w:ind w:left="880" w:right="360" w:hanging="764"/>
        <w:spacing w:after="0" w:line="260" w:lineRule="auto"/>
        <w:tabs>
          <w:tab w:leader="none" w:pos="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Dinakar Munagala is the Chief Executive Officer and a Director of the Company. Securities offered pursuant to this prospectus consist of 553,422 shares of Common Stock held directly by Mr. Munagala.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shares of Common Stock are being registered for resale in accordance with the terms of the Registration Rights Agreement.</w:t>
      </w:r>
    </w:p>
    <w:p>
      <w:pPr>
        <w:spacing w:after="0" w:line="27" w:lineRule="exact"/>
        <w:rPr>
          <w:sz w:val="20"/>
          <w:szCs w:val="20"/>
          <w:color w:val="auto"/>
        </w:rPr>
      </w:pPr>
    </w:p>
    <w:p>
      <w:pPr>
        <w:ind w:left="880" w:right="3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306,217 shares of Common Stock held directly by the selling securityholder. The shares of Common Stock are being registered in accordance with the terms of the Registration Rights Agreement. The address of U&amp;L Holdings, LLC is 1424 West 28 Street, Miami Beach, FL 33140.</w:t>
      </w:r>
    </w:p>
    <w:p>
      <w:pPr>
        <w:spacing w:after="0" w:line="1" w:lineRule="exact"/>
        <w:rPr>
          <w:rFonts w:ascii="Times New Roman" w:cs="Times New Roman" w:eastAsia="Times New Roman" w:hAnsi="Times New Roman"/>
          <w:sz w:val="18"/>
          <w:szCs w:val="18"/>
          <w:color w:val="auto"/>
        </w:rPr>
      </w:pPr>
    </w:p>
    <w:p>
      <w:pPr>
        <w:ind w:left="880" w:right="20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50,000 shares of Common Stock held directly by the selling securityholder. The shares of Common Stock are being registered in accordance with the terms of a PIPE Subscription Agreement, dated as of January 6,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20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1,500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jc w:val="both"/>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13,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jc w:val="both"/>
        <w:ind w:left="880" w:right="60" w:hanging="764"/>
        <w:spacing w:after="0" w:line="25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460" w:hanging="764"/>
        <w:spacing w:after="0" w:line="260" w:lineRule="auto"/>
        <w:tabs>
          <w:tab w:leader="none" w:pos="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10,000 shares of Common Stock held directly by the selling securityholder. The shares of Common Stock are being registered in accordance with the terms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of a PIPE Subscription Agreement, dated as of January 9, 2025, by and between the Company, Legacy Blaize and the selling securityholder.</w:t>
      </w:r>
    </w:p>
    <w:p>
      <w:pPr>
        <w:spacing w:after="0" w:line="27" w:lineRule="exact"/>
        <w:rPr>
          <w:sz w:val="20"/>
          <w:szCs w:val="20"/>
          <w:color w:val="auto"/>
        </w:rPr>
      </w:pPr>
    </w:p>
    <w:p>
      <w:pPr>
        <w:ind w:left="880" w:right="6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12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10,000 shares of Common Stock held directly by the selling securityholder. The shares of Common Stock are being registered in accordance with the terms of a PIPE Subscription Agreement, dated as of January 11,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2,500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jc w:val="both"/>
        <w:ind w:left="880" w:right="6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300 shares of Common Stock held directly by the selling securityholder. The shares of Common Stock are being registered in accordance with the terms of a PIPE Subscription Agreement, dated as of January 8,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900 shares of Common Stock held directly by the selling securityholder. The shares of Common Stock are being registered in accordance with the terms of a PIPE Subscription Agreement, dated as of January 9,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500 shares of Common Stock held directly by the selling securityholder. The shares of Common Stock are being registered in accordance with the terms of a PIPE Subscription Agreement, dated as of January 8, 2025, by and between the Company, Legacy Blaize and the selling securityholder.</w:t>
      </w:r>
    </w:p>
    <w:p>
      <w:pPr>
        <w:spacing w:after="0" w:line="1" w:lineRule="exact"/>
        <w:rPr>
          <w:rFonts w:ascii="Times New Roman" w:cs="Times New Roman" w:eastAsia="Times New Roman" w:hAnsi="Times New Roman"/>
          <w:sz w:val="18"/>
          <w:szCs w:val="18"/>
          <w:color w:val="auto"/>
        </w:rPr>
      </w:pPr>
    </w:p>
    <w:p>
      <w:pPr>
        <w:ind w:left="880" w:right="160" w:hanging="764"/>
        <w:spacing w:after="0" w:line="265" w:lineRule="auto"/>
        <w:tabs>
          <w:tab w:leader="none" w:pos="88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9,632 shares of Common Stock issuable upon exercise of Warrants by the selling securityholder and (ii) 9,632 Warrants held directly by the selling securityholder. The shares of Common Stock are being registered in accordance with the terms of the Registration Rights Agreement. The address of Shiloh Produce, Inc. is P.O. Box #265, Hatch, NM 87937.</w:t>
      </w:r>
    </w:p>
    <w:p>
      <w:pPr>
        <w:ind w:left="880" w:right="80" w:hanging="764"/>
        <w:spacing w:after="0" w:line="260" w:lineRule="auto"/>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13,773 shares of Common Stock issuable upon exercise of Warrants by the selling securityholder and (ii) 13,773 Warrants held directly by the selling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securityholder. The shares of Common Stock are being registered in accordance with the terms of the Registration Rights Agreement.</w:t>
      </w:r>
    </w:p>
    <w:p>
      <w:pPr>
        <w:spacing w:after="0" w:line="27" w:lineRule="exact"/>
        <w:rPr>
          <w:sz w:val="20"/>
          <w:szCs w:val="20"/>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4,142 shares of Common Stock issuable upon exercise of Warrants by the selling securityholder and (ii) 4,142 Warrants held directly by the selling securityholder. The shares of Common Stock are being registered in accordance with the terms of the Registration Rights Agreement. The address of Laura Lowy IRA is 12 Colgate Drive, Smithtown,</w:t>
      </w:r>
    </w:p>
    <w:p>
      <w:pPr>
        <w:spacing w:after="0" w:line="1"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 11787.</w:t>
      </w:r>
    </w:p>
    <w:p>
      <w:pPr>
        <w:spacing w:after="0" w:line="9"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The address of Scott Lowy SEP IRA is 12 Colgate Drive, Smithtown, NY 11787.</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Harbor City Investments LLC is 629 Norwood Drive, Westfield, NJ 7090.</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4,793 shares of Common Stock issuable upon exercise of Warrants by the selling securityholder and (ii) 4,793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1,156 shares of Common Stock issuable upon exercise of Warrants by the selling securityholder and (ii) 1,156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4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193 shares of Common Stock issuable upon exercise of Warrants by the selling securityholder and (ii) 193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1,547 shares of Common Stock issuable upon exercise of Warrants by the selling securityholder and (ii) 1,547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40" w:hanging="764"/>
        <w:spacing w:after="0" w:line="25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674 shares of Common Stock issuable upon exercise of Warrants by the selling securityholder and (ii) 674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60" w:lineRule="auto"/>
        <w:tabs>
          <w:tab w:leader="none" w:pos="8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960"/>
          </w:cols>
          <w:pgMar w:left="320" w:top="455" w:right="6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securityholder. The shares of Common Stock are being registered in accordance with the terms of the Registration Rights Agreement.</w:t>
      </w:r>
    </w:p>
    <w:p>
      <w:pPr>
        <w:spacing w:after="0" w:line="27" w:lineRule="exact"/>
        <w:rPr>
          <w:sz w:val="20"/>
          <w:szCs w:val="20"/>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The address of Edward J. Mazur Revocable Trust is 2400 Gulf Shore Blvd N Apt 705, Naples, FL 34103.</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Edward Mazur IRA is 2780 Edington Rd, Columbus, OH 43221.</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5,963 shares of Common Stock issuable upon exercise of Warrants by the selling securityholder and (ii) 5,963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28,895 shares of Common Stock issuable upon exercise of Warrants by the selling securityholder and (ii) 28,895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22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22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2,695 shares of Common Stock issuable upon exercise of Warrants by the selling securityholder and (ii) 2,695 Warrants held directly by the selling securityholder. The shares of Common Stock are being registered in accordance with the terms of the Registration Rights Agreement. The address of James E Hosford, IRA is 102 W Wedgemere Circle, The Woodlands, TX 77381.</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Michael Ricci Roth IRA is 3951 Gulfshore Blvd N 502, Naples, FL 34103.</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80" w:hanging="764"/>
        <w:spacing w:after="0" w:line="260" w:lineRule="auto"/>
        <w:tabs>
          <w:tab w:leader="none" w:pos="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4,816 shares of Common Stock issuable upon exercise of Warrants by the selling securityholder and (ii) 4,816 Warrants held directly by the selling</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40"/>
          </w:cols>
          <w:pgMar w:left="320" w:top="455"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securityholder. The shares of Common Stock are being registered in accordance with the terms of the Registration Rights Agreement.</w:t>
      </w:r>
    </w:p>
    <w:p>
      <w:pPr>
        <w:spacing w:after="0" w:line="27" w:lineRule="exact"/>
        <w:rPr>
          <w:sz w:val="20"/>
          <w:szCs w:val="20"/>
          <w:color w:val="auto"/>
        </w:rPr>
      </w:pPr>
    </w:p>
    <w:p>
      <w:pPr>
        <w:ind w:left="880" w:right="14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9,631 shares of Common Stock issuable upon exercise of Warrants by the selling securityholder and (ii) 9,631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4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The address of 723996 NB Inc. is 7 Ocean Breeze Dr Grand-Barachois, New Bruncwick, E4P7X1 Canada.</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7,705 shares of Common Stock issuable upon exercise of Warrants by the selling securityholder and (ii) 7,705 Warrants held directly by the selling securityholder. The shares of Common Stock are being registered in accordance with the terms of the Registration Rights Agreement. The address of Lujain Holdings Limited is 3-12 Governors Square, 23 Lime Tree Bay Avenue, PO Box 30746, Seven Mile Beach, Grand Cayman KY1-1203, Cayman Islands.</w:t>
      </w:r>
    </w:p>
    <w:p>
      <w:pPr>
        <w:spacing w:after="0" w:line="1" w:lineRule="exact"/>
        <w:rPr>
          <w:rFonts w:ascii="Times New Roman" w:cs="Times New Roman" w:eastAsia="Times New Roman" w:hAnsi="Times New Roman"/>
          <w:sz w:val="18"/>
          <w:szCs w:val="18"/>
          <w:color w:val="auto"/>
        </w:rPr>
      </w:pPr>
    </w:p>
    <w:p>
      <w:pPr>
        <w:ind w:left="880" w:right="14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28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772 shares of Common Stock issuable upon exercise of Warrants by the selling securityholder and (ii) 772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2,885 shares of Common Stock issuable upon exercise of Warrants by the selling securityholder and (ii) 2,885 Warrants held directly by the selling securityholder. The shares of Common Stock are being registered in accordance with the terms of the Registration Rights Agreement. The address of Frank R. Vegely IRA is 19142 Wildblue Blvd, Fort Meyers, FL 33913.</w:t>
      </w:r>
    </w:p>
    <w:p>
      <w:pPr>
        <w:spacing w:after="0" w:line="1" w:lineRule="exact"/>
        <w:rPr>
          <w:rFonts w:ascii="Times New Roman" w:cs="Times New Roman" w:eastAsia="Times New Roman" w:hAnsi="Times New Roman"/>
          <w:sz w:val="18"/>
          <w:szCs w:val="18"/>
          <w:color w:val="auto"/>
        </w:rPr>
      </w:pPr>
    </w:p>
    <w:p>
      <w:pPr>
        <w:ind w:left="880" w:right="10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2,885 shares of Common Stock issuable upon exercise of Warrants by the selling securityholder and (ii) 2,885 Warrants held directly by the selling securityholder. The shares of Common Stock are being registered in accordance with the terms of the Registration Rights Agreement. The address of Lorraine Vegely IRA is 19142 Wildblue Blvd, Fort Meyers, FL 33913.</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15,411 shares of Common Stock issuable upon exercise of Warrants by the selling securityholder and (ii) 15,411 Warrants held directly by the selling securityholder. The shares of Common Stock are being registered in accordance with the terms of the Registration Rights Agreement. The address of Loretta Massoud Romano FBO and on behalf of Loretta Massoud Romano Revocable Trust is 113 Paris Road, New Hartford, NY 13413.</w:t>
      </w:r>
    </w:p>
    <w:p>
      <w:pPr>
        <w:spacing w:after="0" w:line="1" w:lineRule="exact"/>
        <w:rPr>
          <w:rFonts w:ascii="Times New Roman" w:cs="Times New Roman" w:eastAsia="Times New Roman" w:hAnsi="Times New Roman"/>
          <w:sz w:val="18"/>
          <w:szCs w:val="18"/>
          <w:color w:val="auto"/>
        </w:rPr>
      </w:pPr>
    </w:p>
    <w:p>
      <w:pPr>
        <w:ind w:left="880" w:right="28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William Carmean ROTH IRA is 2780 Edington Rd, Columbus, OH 43221.</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Demetra T Veltsistas Trust is 7009 Clifton Forest Dr, Clifton, VA 20124.</w:t>
      </w:r>
    </w:p>
    <w:p>
      <w:pPr>
        <w:spacing w:after="0" w:line="1" w:lineRule="exact"/>
        <w:rPr>
          <w:rFonts w:ascii="Times New Roman" w:cs="Times New Roman" w:eastAsia="Times New Roman" w:hAnsi="Times New Roman"/>
          <w:sz w:val="18"/>
          <w:szCs w:val="18"/>
          <w:color w:val="auto"/>
        </w:rPr>
      </w:pPr>
    </w:p>
    <w:p>
      <w:pPr>
        <w:ind w:left="880" w:right="60" w:hanging="764"/>
        <w:spacing w:after="0" w:line="260" w:lineRule="auto"/>
        <w:tabs>
          <w:tab w:leader="none" w:pos="8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23,116 shares of Common Stock issuable upon exercise of Warrants by the selling securityholder and (ii) 23,116 Warrants held directly by the selling</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securityholder. The shares of Common Stock are being registered in accordance with the terms of the Registration Rights Agreement.</w:t>
      </w:r>
    </w:p>
    <w:p>
      <w:pPr>
        <w:spacing w:after="0" w:line="27" w:lineRule="exact"/>
        <w:rPr>
          <w:sz w:val="20"/>
          <w:szCs w:val="20"/>
          <w:color w:val="auto"/>
        </w:rPr>
      </w:pPr>
    </w:p>
    <w:p>
      <w:pPr>
        <w:ind w:left="880" w:right="30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4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38,527 shares of Common Stock issuable upon exercise of Warrants by the selling securityholder and (ii) 38,527 Warrants held directly by the selling securityholder. The shares of Common Stock are being registered in accordance with the terms of the Registration Rights Agreement. The address of Harder I Work Luckier I Get LLC is 218 NW 24 Street, Unit 310, Miami, FL 33127.</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Jeffrey Warmann IRA is 441 Warren Way, McDonough, GA 30252.</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The address of Siripipat Living Trust is 17016 107th Street Court East, Bonney Lake, WA 98391.</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6,935 shares of Common Stock issuable upon exercise of Warrants by the selling securityholder and (ii) 6,935 Warrants held directly by the selling securityholder. The shares of Common Stock are being registered in accordance with the terms of the Registration Rights Agreement. The address of Legacy Generation LLC is 7390 SW 156th St, Palmetto Bay, FL 33157.</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3,853 shares of Common Stock issuable upon exercise of Warrants by the selling securityholder and (ii) 3,853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30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3,853 shares of Common Stock issuable upon exercise of Warrants by the selling securityholder and (ii) 3,853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Nuttall Ventures LLC is 14390 Emerald Pool Dr, Centreville, VA 20120.</w:t>
      </w:r>
    </w:p>
    <w:p>
      <w:pPr>
        <w:spacing w:after="0" w:line="1" w:lineRule="exact"/>
        <w:rPr>
          <w:rFonts w:ascii="Times New Roman" w:cs="Times New Roman" w:eastAsia="Times New Roman" w:hAnsi="Times New Roman"/>
          <w:sz w:val="18"/>
          <w:szCs w:val="18"/>
          <w:color w:val="auto"/>
        </w:rPr>
      </w:pPr>
    </w:p>
    <w:p>
      <w:pPr>
        <w:ind w:left="880" w:right="160" w:hanging="764"/>
        <w:spacing w:after="0" w:line="253" w:lineRule="auto"/>
        <w:tabs>
          <w:tab w:leader="none" w:pos="8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8,091 shares of Common Stock issuable upon exercise of Warrants by the selling securityholder and (ii) 8,091 Warrants held directly by the selling securityholder. The shares of Common Stock are being registered in accordance with the terms of the Registration Rights Agreement. The address of AB Blaize LLC is 6303 Blue Lagoon Drive, Suite 390, Miami, FL 33126.</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80" w:hanging="764"/>
        <w:spacing w:after="0" w:line="255"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Carroll Resources, LLC is 11319 Lapham Drive, Oakton, VA 22124.</w:t>
      </w:r>
    </w:p>
    <w:p>
      <w:pPr>
        <w:spacing w:after="0" w:line="2"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The address of Full Stack Investments LLC is 254 Chapman Rd. Ste 208 #17232, Newark, DE 19702.</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2,003 shares of Common Stock issuable upon exercise of Warrants by the selling securityholder and (ii) 2,003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30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30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385 shares of Common Stock issuable upon exercise of Warrants by the selling securityholder and (ii) 385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30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308 shares of Common Stock issuable upon exercise of Warrants by the selling securityholder and (ii) 308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30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308 shares of Common Stock issuable upon exercise of Warrants by the selling securityholder and (ii) 308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30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15,411 shares of Common Stock issuable upon exercise of Warrants by the selling securityholder and (ii) 15,411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2,357 shares of Common Stock issuable upon exercise of Warrants by the selling securityholder and (ii) 2,357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1,178 shares of Common Stock issuable upon exercise of Warrants by the selling securityholder and (ii) 1,178 Warrants held directly by the selling securityholder. The shares of Common Stock are being registered in accordance with the terms of the Registration Rights Agreement. The address of Codrus Capital AG is Bahnhofstrasse 7, Zug, 6300 Switzerland.</w:t>
      </w:r>
    </w:p>
    <w:p>
      <w:pPr>
        <w:spacing w:after="0" w:line="1" w:lineRule="exact"/>
        <w:rPr>
          <w:rFonts w:ascii="Times New Roman" w:cs="Times New Roman" w:eastAsia="Times New Roman" w:hAnsi="Times New Roman"/>
          <w:sz w:val="18"/>
          <w:szCs w:val="18"/>
          <w:color w:val="auto"/>
        </w:rPr>
      </w:pPr>
    </w:p>
    <w:p>
      <w:pPr>
        <w:ind w:left="880" w:right="300" w:hanging="764"/>
        <w:spacing w:after="0" w:line="255" w:lineRule="auto"/>
        <w:tabs>
          <w:tab w:leader="none" w:pos="8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835 shares of Common Stock issuable upon exercise of Warrants by the selling securityholder and (ii) 835 Warrants held directly by the selling securityholder. The shares of Common Stock are being registered in accordance with the terms of the Registration Rights Agreement.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60" w:hanging="764"/>
        <w:spacing w:after="0" w:line="255"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1,828 shares of Common Stock issuable upon exercise of Warrants by the selling securityholder and (ii) 1,828 Warrants held directly by the selling securityholder. The shares of Common Stock are being registered in accordance with the terms of the Registration Rights Agreement. The address of KIG Technical Services LLC is 205 Winchester Beach Drive, Annapolis, MD 21409.</w:t>
      </w:r>
    </w:p>
    <w:p>
      <w:pPr>
        <w:spacing w:after="0" w:line="2"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1,148 shares of Common Stock issuable upon exercise of Warrants by the selling securityholder and (ii) 1,148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5,009 shares of Common Stock issuable upon exercise of Warrants by the selling securityholder and (ii) 5,009 Warrants held directly by the selling securityholder. The shares of Common Stock are being registered in accordance with the terms of the Registration Rights Agreement. The address of Universal E-Business Solutions is 70 Adams Street, 3rd FL, Hoboken, NJ 7030.</w:t>
      </w:r>
    </w:p>
    <w:p>
      <w:pPr>
        <w:spacing w:after="0" w:line="1" w:lineRule="exact"/>
        <w:rPr>
          <w:rFonts w:ascii="Times New Roman" w:cs="Times New Roman" w:eastAsia="Times New Roman" w:hAnsi="Times New Roman"/>
          <w:sz w:val="18"/>
          <w:szCs w:val="18"/>
          <w:color w:val="auto"/>
        </w:rPr>
      </w:pPr>
    </w:p>
    <w:p>
      <w:pPr>
        <w:jc w:val="both"/>
        <w:ind w:left="880" w:hanging="764"/>
        <w:spacing w:after="0" w:line="250"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 225,000 shares of Common Stock held directly by the selling securityholder, (ii) 9,938 shares of Common Stock issuable upon exercise of Warrants by the selling securityholder and (iii) 9,938 Warrants held directly by the selling securityholder. The shares of Common Stock are being registered in accordance with the terms of the Registration Rights Agreement. The address of RK Trading I LLC is 2500 Weston Road, Suite 211, Weston, FL 33331.</w:t>
      </w:r>
    </w:p>
    <w:p>
      <w:pPr>
        <w:spacing w:after="0" w:line="1" w:lineRule="exact"/>
        <w:rPr>
          <w:rFonts w:ascii="Times New Roman" w:cs="Times New Roman" w:eastAsia="Times New Roman" w:hAnsi="Times New Roman"/>
          <w:sz w:val="18"/>
          <w:szCs w:val="18"/>
          <w:color w:val="auto"/>
        </w:rPr>
      </w:pPr>
    </w:p>
    <w:p>
      <w:pPr>
        <w:ind w:left="880" w:right="80" w:hanging="764"/>
        <w:spacing w:after="0" w:line="250"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100,000 shares of Common Stock held directly by the selling securityholder, (ii) 131, 231 shares of Common Stock issuable upon exercise of Warrants by the selling securityholder and (iii) 131, 231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65" w:lineRule="auto"/>
        <w:tabs>
          <w:tab w:leader="none" w:pos="8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18,333 shares of Common Stock held directly by the selling securityholder, (ii) 1,667 shares of Common Stock issuable upon exercise of Warrants by the selling securityholder and (iii) 1,667 Warrants held directly by the selling securityholder. The shares of Common Stock are being registered in accordance with the terms of the Registration Rights Agreement.</w:t>
      </w:r>
    </w:p>
    <w:p>
      <w:pPr>
        <w:ind w:left="880" w:hanging="764"/>
        <w:spacing w:after="0" w:line="265" w:lineRule="auto"/>
        <w:tabs>
          <w:tab w:leader="none" w:pos="8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36,667 shares of Common Stock held directly by the selling securityholder, (ii) 3,333 shares of Common Stock issuable upon exercise of Warrants by the selling securityholder and (iii) 3,333 Warrants held directly by the selling securityholder. The shares of Common Stock are being registered in accordance with the terms of the Registration Rights Agreement.</w:t>
      </w:r>
    </w:p>
    <w:p>
      <w:pPr>
        <w:ind w:left="880" w:hanging="764"/>
        <w:spacing w:after="0" w:line="265" w:lineRule="auto"/>
        <w:tabs>
          <w:tab w:leader="none" w:pos="8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36,667 shares of Common Stock held directly by the selling securityholder, (ii) 3,333 shares of Common Stock issuable upon exercise of Warrants by the selling securityholder and (iii) 3,333 Warrants held directly by the selling securityholder. The shares of Common Stock are being registered in accordance with the terms of the Registration Rights Agreement.</w:t>
      </w:r>
    </w:p>
    <w:p>
      <w:pPr>
        <w:ind w:left="880" w:right="120" w:hanging="764"/>
        <w:spacing w:after="0" w:line="250"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366,667 shares of Common Stock held directly by the selling securityholder, (ii) 33,333 shares of Common Stock issuable upon exercise of Warrants by the selling securityholder and (iii) 33,333 Warrants held directly by the selling securityholder. The shares of Common Stock are being registered in accordance with the terms of the Registration Rights Agreement. The address of 9325-2443 Quebec Inc. is 5440 Rue Pare, Mont Royal, Quebec H4P 1R3, Canada.</w:t>
      </w:r>
    </w:p>
    <w:p>
      <w:pPr>
        <w:spacing w:after="0" w:line="1" w:lineRule="exact"/>
        <w:rPr>
          <w:rFonts w:ascii="Times New Roman" w:cs="Times New Roman" w:eastAsia="Times New Roman" w:hAnsi="Times New Roman"/>
          <w:sz w:val="18"/>
          <w:szCs w:val="18"/>
          <w:color w:val="auto"/>
        </w:rPr>
      </w:pPr>
    </w:p>
    <w:p>
      <w:pPr>
        <w:ind w:left="880" w:hanging="764"/>
        <w:spacing w:after="0" w:line="265" w:lineRule="auto"/>
        <w:tabs>
          <w:tab w:leader="none" w:pos="88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82,500 shares of Common Stock held directly by the selling securityholder, (ii) 7,500 shares of Common Stock issuable upon exercise of Warrants by the selling securityholder and (iii) 7,500 Warrants held directly by the selling securityholder. The shares of Common Stock are being registered in accordance with the terms of the Registration Rights Agreement.</w:t>
      </w:r>
    </w:p>
    <w:p>
      <w:pPr>
        <w:ind w:left="880" w:right="40" w:hanging="764"/>
        <w:spacing w:after="0" w:line="255" w:lineRule="auto"/>
        <w:tabs>
          <w:tab w:leader="none" w:pos="8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22,000 shares of Common Stock held directly by the selling securityholder, (ii) 2,000 shares of Common Stock issuable upon exercise of Warrants by the selling securityholder and (iii) 2,000 Warrants held directly by the selling securityholder. The shares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0"/>
          </w:cols>
          <w:pgMar w:left="320" w:top="455" w:right="5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of Common Stock are being registered in accordance with the terms of the Registration Rights Agreement.</w:t>
      </w:r>
    </w:p>
    <w:p>
      <w:pPr>
        <w:spacing w:after="0" w:line="27" w:lineRule="exact"/>
        <w:rPr>
          <w:sz w:val="20"/>
          <w:szCs w:val="20"/>
          <w:color w:val="auto"/>
        </w:rPr>
      </w:pPr>
    </w:p>
    <w:p>
      <w:pPr>
        <w:ind w:left="880" w:right="180" w:hanging="764"/>
        <w:spacing w:after="0" w:line="250" w:lineRule="auto"/>
        <w:tabs>
          <w:tab w:leader="none" w:pos="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183,333 shares of Common Stock held directly by the selling securityholder, (ii) 16,667 shares of Common Stock issuable upon exercise of Warrants by the selling securityholder and (iii) 16,667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1,100,000 shares of Common Stock held directly by the selling securityholder, (ii) 100,000 shares of Common Stock issuable upon exercise of Warrants by the selling securityholder and (iii) 100,000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The address of Ignite Capital Partners, Inc. is 100 South Doheny Drive #808, Los Angeles, CA 90048.</w:t>
      </w:r>
    </w:p>
    <w:p>
      <w:pPr>
        <w:spacing w:after="0" w:line="1" w:lineRule="exact"/>
        <w:rPr>
          <w:rFonts w:ascii="Times New Roman" w:cs="Times New Roman" w:eastAsia="Times New Roman" w:hAnsi="Times New Roman"/>
          <w:sz w:val="18"/>
          <w:szCs w:val="18"/>
          <w:color w:val="auto"/>
        </w:rPr>
      </w:pPr>
    </w:p>
    <w:p>
      <w:pPr>
        <w:ind w:left="880" w:right="60" w:hanging="764"/>
        <w:spacing w:after="0" w:line="265" w:lineRule="auto"/>
        <w:tabs>
          <w:tab w:leader="none" w:pos="88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22,000 shares of Common Stock held directly by the selling securityholder, (ii) 2,000 shares of Common Stock issuable upon exercise of Warrants by the selling securityholder and (iii) 2,000 Warrants held directly by the selling securityholder. The shares of Common Stock are being registered in accordance with the terms of the Registration Rights Agreement.</w:t>
      </w:r>
    </w:p>
    <w:p>
      <w:pPr>
        <w:ind w:left="880" w:right="60" w:hanging="764"/>
        <w:spacing w:after="0" w:line="265" w:lineRule="auto"/>
        <w:tabs>
          <w:tab w:leader="none" w:pos="88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27,500 shares of Common Stock held directly by the selling securityholder, (ii) 2,500 shares of Common Stock issuable upon exercise of Warrants by the selling securityholder and (iii) 2,500 Warrants held directly by the selling securityholder. The shares of Common Stock are being registered in accordance with the terms of the Registration Rights Agreement.</w:t>
      </w:r>
    </w:p>
    <w:p>
      <w:pPr>
        <w:ind w:left="880" w:right="60" w:hanging="764"/>
        <w:spacing w:after="0" w:line="265" w:lineRule="auto"/>
        <w:tabs>
          <w:tab w:leader="none" w:pos="88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w:t>
      </w:r>
    </w:p>
    <w:p>
      <w:pPr>
        <w:ind w:left="880" w:right="60" w:hanging="764"/>
        <w:spacing w:after="0" w:line="265" w:lineRule="auto"/>
        <w:tabs>
          <w:tab w:leader="none" w:pos="88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(i) 11,000 shares of Common Stock held directly by the selling securityholder, (ii) 1,000 shares of Common Stock issuable upon exercise of Warrants by the selling securityholder and (iii) 1,000 Warrants held directly by the selling securityholder. The shares of Common Stock are being registered in accordance with the terms of the Registration Rights Agreement.</w:t>
      </w:r>
    </w:p>
    <w:p>
      <w:pPr>
        <w:ind w:left="880" w:right="60" w:hanging="764"/>
        <w:spacing w:after="0" w:line="250" w:lineRule="auto"/>
        <w:tabs>
          <w:tab w:leader="none" w:pos="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The address of Trout Lake Enterprises LP is 2359 W. Red Pine Road, Park City, UT 84098.</w:t>
      </w:r>
    </w:p>
    <w:p>
      <w:pPr>
        <w:spacing w:after="0" w:line="1" w:lineRule="exact"/>
        <w:rPr>
          <w:rFonts w:ascii="Times New Roman" w:cs="Times New Roman" w:eastAsia="Times New Roman" w:hAnsi="Times New Roman"/>
          <w:sz w:val="18"/>
          <w:szCs w:val="18"/>
          <w:color w:val="auto"/>
        </w:rPr>
      </w:pPr>
    </w:p>
    <w:p>
      <w:pPr>
        <w:ind w:left="880" w:right="180" w:hanging="764"/>
        <w:spacing w:after="0" w:line="250" w:lineRule="auto"/>
        <w:tabs>
          <w:tab w:leader="none" w:pos="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440,000 shares of Common Stock held directly by the selling securityholder, (ii) 40,000 shares of Common Stock issuable upon exercise of Warrants by the selling securityholder and (iii) 40,000 Warrants held directly by the selling securityholder. The shares of Common Stock are being registered in accordance with the terms of the Registration Rights Agreement.</w:t>
      </w:r>
    </w:p>
    <w:p>
      <w:pPr>
        <w:spacing w:after="0" w:line="1" w:lineRule="exact"/>
        <w:rPr>
          <w:rFonts w:ascii="Times New Roman" w:cs="Times New Roman" w:eastAsia="Times New Roman" w:hAnsi="Times New Roman"/>
          <w:sz w:val="18"/>
          <w:szCs w:val="18"/>
          <w:color w:val="auto"/>
        </w:rPr>
      </w:pPr>
    </w:p>
    <w:p>
      <w:pPr>
        <w:ind w:left="880" w:hanging="764"/>
        <w:spacing w:after="0" w:line="255" w:lineRule="auto"/>
        <w:tabs>
          <w:tab w:leader="none" w:pos="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up to 63,157 shares of Common Stock held directly by the selling securityholder. The shares of Common Stock are being registered in accordance with the terms of that certain Letter Agreement, dated December 23, 2024, by and between the Company and Roth. The address of Roth is 888 San Clemente Drive, Newport Beach, CA 92660.</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5"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hanging="764"/>
        <w:spacing w:after="0" w:line="255"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(i) 31,792 shares of Common Stock held directly by the selling securityholder and (ii) 15,000 shares of Common Stock issuable upon exercise of the CMA Warrants by the selling securityholder. The shares of Common Stock are being registered in accordance with the terms of that certain Letter Agreement, dated January 13, 2025, by and between Legacy Blaize and Craig-Hallum. The address of Craig-Hallum is 222 South Ninth Street, Suite 350, Minneapolis, MN 55402.</w:t>
      </w:r>
    </w:p>
    <w:p>
      <w:pPr>
        <w:spacing w:after="0" w:line="2" w:lineRule="exact"/>
        <w:rPr>
          <w:rFonts w:ascii="Times New Roman" w:cs="Times New Roman" w:eastAsia="Times New Roman" w:hAnsi="Times New Roman"/>
          <w:sz w:val="18"/>
          <w:szCs w:val="18"/>
          <w:color w:val="auto"/>
        </w:rPr>
      </w:pPr>
    </w:p>
    <w:p>
      <w:pPr>
        <w:jc w:val="both"/>
        <w:ind w:left="880" w:hanging="764"/>
        <w:spacing w:after="0" w:line="265" w:lineRule="auto"/>
        <w:tabs>
          <w:tab w:leader="none" w:pos="88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offered pursuant to this prospectus consist of 35,000 shares of Common Stock issuable upon exercise of the CMA Warrants by the selling securityholder. The shares of Common Stock are being registered in accordance with the terms of that certain Letter Agreement, dated January 13, 2025, by and between Legacy Blaize and Craig-Hallum. The address of John Lipman is 55 Buckfield Ln, Greenwich, CT 06831.</w:t>
      </w:r>
    </w:p>
    <w:p>
      <w:pPr>
        <w:ind w:left="880" w:right="4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25,875 shares of Common Stock held directly by the selling securityholder. The shares of Common Stock are being registered in accordance with the terms of the Registration Rights Agreement. The address of Kingswood Capital Partners is 175 Country Club Dr., Bldg 400, Suite D, Stockbridge, GA 30281.</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79,544 shares of Common Stock held directly by the selling securityholder. The shares of Common Stock are being registered in accordance with the terms of the Registration Rights Agreement. The address of Scott Silver is c/o EF Hutton, 590 Madison Ave, New York, NY.</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6,706 shares of Common Stock held directly by the selling securityholder. The shares of Common Stock are being registered in accordance with the terms of the Registration Rights Agreement. The address of Finalis, Inc. is c/o EF Hutton, 590 Madison Ave, New York, NY.</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8,400 shares of Common Stock held directly by the selling securityholder. The shares of Common Stock are being registered in accordance with the terms of the Registration Rights Agreement. The address of Fir Tree Value Master Fund LP is 500 Fifth Avenue, 9th Floor, New York, NY 10110.</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5,807 shares of Common Stock held directly by the selling securityholder. The shares of Common Stock are being registered in accordance with the terms of the Registration Rights Agreement. The address of Fir Tree Capital Opportunity Master Fund LP is 500 Fifth Avenue, 9th Floor, New York, NY 10110.</w:t>
      </w:r>
    </w:p>
    <w:p>
      <w:pPr>
        <w:spacing w:after="0" w:line="1" w:lineRule="exact"/>
        <w:rPr>
          <w:rFonts w:ascii="Times New Roman" w:cs="Times New Roman" w:eastAsia="Times New Roman" w:hAnsi="Times New Roman"/>
          <w:sz w:val="18"/>
          <w:szCs w:val="18"/>
          <w:color w:val="auto"/>
        </w:rPr>
      </w:pPr>
    </w:p>
    <w:p>
      <w:pPr>
        <w:ind w:left="880" w:right="2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9,412 shares of Common Stock held directly by the selling securityholder. The shares of Common Stock are being registered in accordance with the terms of the Registration Rights Agreement. The address of Fir Tree Capital Opportunity Master Fund III, LP is 500 Fifth Avenue, 9th Floor, New York, NY 10110.</w:t>
      </w:r>
    </w:p>
    <w:p>
      <w:pPr>
        <w:spacing w:after="0" w:line="1" w:lineRule="exact"/>
        <w:rPr>
          <w:rFonts w:ascii="Times New Roman" w:cs="Times New Roman" w:eastAsia="Times New Roman" w:hAnsi="Times New Roman"/>
          <w:sz w:val="18"/>
          <w:szCs w:val="18"/>
          <w:color w:val="auto"/>
        </w:rPr>
      </w:pPr>
    </w:p>
    <w:p>
      <w:pPr>
        <w:ind w:left="880" w:right="28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40,607 shares of Common Stock held directly by the selling securityholder. The shares of Common Stock are being registered in accordance with the terms of the Registration Rights Agreement. The address of FT SOF XIII (SPAC) Holdings, LLC is 500 Fifth Avenue, 9th Floor, New York, NY 10110.</w:t>
      </w:r>
    </w:p>
    <w:p>
      <w:pPr>
        <w:spacing w:after="0" w:line="1" w:lineRule="exact"/>
        <w:rPr>
          <w:rFonts w:ascii="Times New Roman" w:cs="Times New Roman" w:eastAsia="Times New Roman" w:hAnsi="Times New Roman"/>
          <w:sz w:val="18"/>
          <w:szCs w:val="18"/>
          <w:color w:val="auto"/>
        </w:rPr>
      </w:pPr>
    </w:p>
    <w:p>
      <w:pPr>
        <w:ind w:left="880" w:right="14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84,598 shares of Common Stock held directly by the selling securityholder. The shares of Common Stock are being registered in accordance with the terms of the Registration Rights Agreement. The address of BOSTON PATRIOT MERRIMACK ST. LLC is 500 Fifth Avenue, 9th Floor, New York, NY 10110.</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0"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78,800 shares of Common Stock held directly by the selling securityholder. The shares of Common Stock are being registered in accordance with the terms of the Registration Rights Agreement. The address of Kepos Alpha Master Fund L.P. is 11 Times Square, 35th Floor , New York, NY.</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5" w:lineRule="auto"/>
        <w:tabs>
          <w:tab w:leader="none" w:pos="8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21,200 shares of Common Stock held directly by the selling securityholder. The shares of Common Stock are being registered in accordance with the terms of the Registration Rights Agreement. The address of Kepos Special Opportunities Master Fund L.P. is 11 Times Square, 35th Floor , New York, NY.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180" w:hanging="764"/>
        <w:spacing w:after="0" w:line="257"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10,250 shares of Common Stock held directly by the selling securityholder. The shares of Common Stock are being registered in accordance with the terms of the Registration Rights Agreement. The address of F&amp;M Star Alliance, Inc. is 556 Main St, Hunkins Plaza, Charlestown, Nevis.</w:t>
      </w:r>
    </w:p>
    <w:p>
      <w:pPr>
        <w:spacing w:after="0" w:line="1" w:lineRule="exact"/>
        <w:rPr>
          <w:rFonts w:ascii="Times New Roman" w:cs="Times New Roman" w:eastAsia="Times New Roman" w:hAnsi="Times New Roman"/>
          <w:sz w:val="18"/>
          <w:szCs w:val="18"/>
          <w:color w:val="auto"/>
        </w:rPr>
      </w:pPr>
    </w:p>
    <w:p>
      <w:pPr>
        <w:jc w:val="both"/>
        <w:ind w:left="880" w:right="34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100,000 shares of Common Stock held directly by the selling securityholder. The shares of Common Stock are being registered in accordance with the terms of the Registration Rights Agreement. The address of Mizuho Securities USA LLC is 1271 Avenue of the Americas, New York, NY 10020.</w:t>
      </w:r>
    </w:p>
    <w:p>
      <w:pPr>
        <w:spacing w:after="0" w:line="1" w:lineRule="exact"/>
        <w:rPr>
          <w:rFonts w:ascii="Times New Roman" w:cs="Times New Roman" w:eastAsia="Times New Roman" w:hAnsi="Times New Roman"/>
          <w:sz w:val="18"/>
          <w:szCs w:val="18"/>
          <w:color w:val="auto"/>
        </w:rPr>
      </w:pPr>
    </w:p>
    <w:p>
      <w:pPr>
        <w:ind w:left="880" w:right="24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37,775 shares of Common Stock held directly by the selling securityholder. The shares of Common Stock are being registered in accordance with the terms of the Registration Rights Agreement. The address of Radcliffe SPAC Master Fund L.P. is 50 Monument Road, Suite 300, Bala Cynwyd, PA 19004.</w:t>
      </w:r>
    </w:p>
    <w:p>
      <w:pPr>
        <w:spacing w:after="0" w:line="1" w:lineRule="exact"/>
        <w:rPr>
          <w:rFonts w:ascii="Times New Roman" w:cs="Times New Roman" w:eastAsia="Times New Roman" w:hAnsi="Times New Roman"/>
          <w:sz w:val="18"/>
          <w:szCs w:val="18"/>
          <w:color w:val="auto"/>
        </w:rPr>
      </w:pPr>
    </w:p>
    <w:p>
      <w:pPr>
        <w:jc w:val="both"/>
        <w:ind w:left="880" w:right="44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63,565 shares of Common Stock held directly by the selling securityholder. The shares of Common Stock are being registered in accordance with the terms of the Registration Rights Agreement. The address of EXOS COLLATERALIZED SPAC HOLDINGS FUND LP is 31 East 32nd Street, 3rd Floor, New York, NY 10016.</w:t>
      </w:r>
    </w:p>
    <w:p>
      <w:pPr>
        <w:spacing w:after="0" w:line="1" w:lineRule="exact"/>
        <w:rPr>
          <w:rFonts w:ascii="Times New Roman" w:cs="Times New Roman" w:eastAsia="Times New Roman" w:hAnsi="Times New Roman"/>
          <w:sz w:val="18"/>
          <w:szCs w:val="18"/>
          <w:color w:val="auto"/>
        </w:rPr>
      </w:pPr>
    </w:p>
    <w:p>
      <w:pPr>
        <w:jc w:val="both"/>
        <w:ind w:left="880" w:right="44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37,500 shares of Common Stock held directly by the selling securityholder. The shares of Common Stock are being registered in accordance with the terms of the Registration Rights Agreement. The address of EXOS Consolidated SPAC Holdings Fund LP is 31 East 32nd Street, 3rd Floor, New York, NY 10016.</w:t>
      </w:r>
    </w:p>
    <w:p>
      <w:pPr>
        <w:spacing w:after="0" w:line="1" w:lineRule="exact"/>
        <w:rPr>
          <w:rFonts w:ascii="Times New Roman" w:cs="Times New Roman" w:eastAsia="Times New Roman" w:hAnsi="Times New Roman"/>
          <w:sz w:val="18"/>
          <w:szCs w:val="18"/>
          <w:color w:val="auto"/>
        </w:rPr>
      </w:pPr>
    </w:p>
    <w:p>
      <w:pPr>
        <w:ind w:left="880" w:right="20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66,330 shares of Common Stock held directly by the selling securityholder. The shares of Common Stock are being registered in accordance with the terms of the Registration Rights Agreement. The address of Boothbay Absolute Return Strategies, LP is 140 E 45th Street, 14th Floor, New York, NY 10017.</w:t>
      </w:r>
    </w:p>
    <w:p>
      <w:pPr>
        <w:spacing w:after="0" w:line="1" w:lineRule="exact"/>
        <w:rPr>
          <w:rFonts w:ascii="Times New Roman" w:cs="Times New Roman" w:eastAsia="Times New Roman" w:hAnsi="Times New Roman"/>
          <w:sz w:val="18"/>
          <w:szCs w:val="18"/>
          <w:color w:val="auto"/>
        </w:rPr>
      </w:pPr>
    </w:p>
    <w:p>
      <w:pPr>
        <w:ind w:left="880" w:right="20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32,670 shares of Common Stock held directly by the selling securityholder. The shares of Common Stock are being registered in accordance with the terms of the Registration Rights Agreement. The address of Boothbay Diversified Alpha Master Fund LP is 140 E 45th Street, 14th Floor, New York, NY 10017.</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27,501 shares of Common Stock held directly by the selling securityholder. The shares of Common Stock are being registered in accordance with the terms of the Registration Rights Agreement. The address of Sandia Crest LP is 201 Washington Street, Boston, MA 02108.</w:t>
      </w:r>
    </w:p>
    <w:p>
      <w:pPr>
        <w:spacing w:after="0" w:line="1" w:lineRule="exact"/>
        <w:rPr>
          <w:rFonts w:ascii="Times New Roman" w:cs="Times New Roman" w:eastAsia="Times New Roman" w:hAnsi="Times New Roman"/>
          <w:sz w:val="18"/>
          <w:szCs w:val="18"/>
          <w:color w:val="auto"/>
        </w:rPr>
      </w:pPr>
    </w:p>
    <w:p>
      <w:pPr>
        <w:ind w:left="880" w:right="32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43,400 shares of Common Stock held directly by the selling securityholder. The shares of Common Stock are being registered in accordance with the terms of the Registration Rights Agreement. The address of Walleye Investment Fund LLC is 201 Washington Street, Boston, MA 02108.</w:t>
      </w:r>
    </w:p>
    <w:p>
      <w:pPr>
        <w:spacing w:after="0" w:line="1" w:lineRule="exact"/>
        <w:rPr>
          <w:rFonts w:ascii="Times New Roman" w:cs="Times New Roman" w:eastAsia="Times New Roman" w:hAnsi="Times New Roman"/>
          <w:sz w:val="18"/>
          <w:szCs w:val="18"/>
          <w:color w:val="auto"/>
        </w:rPr>
      </w:pPr>
    </w:p>
    <w:p>
      <w:pPr>
        <w:ind w:left="880" w:right="32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72,851 shares of Common Stock held directly by the selling securityholder. The shares of Common Stock are being registered in accordance with the terms of the Registration Rights Agreement. The address of Walleye Opportunities Master Fund Ltd is 201 Washington Street, Boston, MA 02108.</w:t>
      </w:r>
    </w:p>
    <w:p>
      <w:pPr>
        <w:spacing w:after="0" w:line="1" w:lineRule="exact"/>
        <w:rPr>
          <w:rFonts w:ascii="Times New Roman" w:cs="Times New Roman" w:eastAsia="Times New Roman" w:hAnsi="Times New Roman"/>
          <w:sz w:val="18"/>
          <w:szCs w:val="18"/>
          <w:color w:val="auto"/>
        </w:rPr>
      </w:pPr>
    </w:p>
    <w:p>
      <w:pPr>
        <w:ind w:left="880" w:right="26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20,749 shares of Common Stock held directly by the selling securityholder. The shares of Common Stock are being registered in accordance with the terms of the Registration Rights Agreement. The address of Crestline Summit Master, SPC - Peak SP is 201 Washington Street, Boston, MA 02108.</w:t>
      </w:r>
    </w:p>
    <w:p>
      <w:pPr>
        <w:spacing w:after="0" w:line="1" w:lineRule="exact"/>
        <w:rPr>
          <w:rFonts w:ascii="Times New Roman" w:cs="Times New Roman" w:eastAsia="Times New Roman" w:hAnsi="Times New Roman"/>
          <w:sz w:val="18"/>
          <w:szCs w:val="18"/>
          <w:color w:val="auto"/>
        </w:rPr>
      </w:pPr>
    </w:p>
    <w:p>
      <w:pPr>
        <w:ind w:left="880" w:right="60" w:hanging="764"/>
        <w:spacing w:after="0" w:line="250"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5,250 shares of Common Stock held directly by the selling securityholder. The shares of Common Stock are being registered in accordance with the terms of the Registration Rights Agreement. The address of Crestline Summit Master, SPC - Crestline Summit APEX SP is 201 Washington Street, Boston, MA 02108.</w:t>
      </w:r>
    </w:p>
    <w:p>
      <w:pPr>
        <w:spacing w:after="0" w:line="1" w:lineRule="exact"/>
        <w:rPr>
          <w:rFonts w:ascii="Times New Roman" w:cs="Times New Roman" w:eastAsia="Times New Roman" w:hAnsi="Times New Roman"/>
          <w:sz w:val="18"/>
          <w:szCs w:val="18"/>
          <w:color w:val="auto"/>
        </w:rPr>
      </w:pPr>
    </w:p>
    <w:p>
      <w:pPr>
        <w:ind w:left="880" w:right="240" w:hanging="764"/>
        <w:spacing w:after="0" w:line="255" w:lineRule="auto"/>
        <w:tabs>
          <w:tab w:leader="none" w:pos="8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62,500 shares of Common Stock held directly by the selling securityholder. The shares of Common Stock are being registered in accordance with the terms of the Registration Rights Agreement. The address of Harraden Circle Investors, LLC is 299 Park Avenue, 21st Floor, New York, NY 10171.</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80" w:right="120" w:hanging="764"/>
        <w:spacing w:after="0" w:line="257"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20,250 shares of Common Stock held directly by the selling securityholder. The shares of Common Stock are being registered in accordance with the terms of the Registration Rights Agreement. The address of Sea Hawk Multi-Strategy Master Fund Ltd. is 201 Washington Street, Boston, MA 02108.</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14,167 shares of Common Stock held directly by the selling securityholder. The shares of Common Stock are being registered in accordance with the terms of the Registration Rights Agreement. The address of Arena Finance Markets, LP is 405 Lexington Ave, 59th Floor, New York, NY 10174.</w:t>
      </w:r>
    </w:p>
    <w:p>
      <w:pPr>
        <w:spacing w:after="0" w:line="1" w:lineRule="exact"/>
        <w:rPr>
          <w:rFonts w:ascii="Times New Roman" w:cs="Times New Roman" w:eastAsia="Times New Roman" w:hAnsi="Times New Roman"/>
          <w:sz w:val="18"/>
          <w:szCs w:val="18"/>
          <w:color w:val="auto"/>
        </w:rPr>
      </w:pPr>
    </w:p>
    <w:p>
      <w:pPr>
        <w:ind w:left="88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7,088 shares of Common Stock held directly by the selling securityholder. The shares of Common Stock are being registered in accordance with the terms of the Registration Rights Agreement. The address of Arena Special Opportunities (Offshore) Master, LP is 405 Lexington Ave, 59th Floor, New York, NY 10174.</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20,125 shares of Common Stock held directly by the selling securityholder. The shares of Common Stock are being registered in accordance with the terms of the Registration Rights Agreement. The address of Arena Special Opportunities Fund, LP is 405 Lexington Ave, 59th Floor, New York, NY 10174.</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40,134 shares of Common Stock held directly by the selling securityholder. The shares of Common Stock are being registered in accordance with the terms of the Registration Rights Agreement. The address of Arena Special Opportunities Partners II, LP is 405 Lexington Ave, 59th Floor, New York, NY 10174.</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18,486 shares of Common Stock held directly by the selling securityholder. The shares of Common Stock are being registered in accordance with the terms of the Registration Rights Agreement. The address of Arena Special Opportunities Partners (Cayman Master) II, LP is 405 Lexington Ave, 59th Floor, New York, NY 10174.</w:t>
      </w:r>
    </w:p>
    <w:p>
      <w:pPr>
        <w:spacing w:after="0" w:line="1" w:lineRule="exact"/>
        <w:rPr>
          <w:rFonts w:ascii="Times New Roman" w:cs="Times New Roman" w:eastAsia="Times New Roman" w:hAnsi="Times New Roman"/>
          <w:sz w:val="18"/>
          <w:szCs w:val="18"/>
          <w:color w:val="auto"/>
        </w:rPr>
      </w:pPr>
    </w:p>
    <w:p>
      <w:pPr>
        <w:jc w:val="both"/>
        <w:ind w:left="880" w:right="42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34,111 shares of Common Stock held directly by the selling securityholder. The shares of Common Stock are being registered in accordance with the terms of the Registration Rights Agreement. The address of AQR Absolute Return is One Greenwich Plaza, Suite 130, Greenwich, CT 06830.</w:t>
      </w:r>
    </w:p>
    <w:p>
      <w:pPr>
        <w:spacing w:after="0" w:line="1" w:lineRule="exact"/>
        <w:rPr>
          <w:rFonts w:ascii="Times New Roman" w:cs="Times New Roman" w:eastAsia="Times New Roman" w:hAnsi="Times New Roman"/>
          <w:sz w:val="18"/>
          <w:szCs w:val="18"/>
          <w:color w:val="auto"/>
        </w:rPr>
      </w:pPr>
    </w:p>
    <w:p>
      <w:pPr>
        <w:jc w:val="both"/>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11,629 shares of Common Stock held directly by the selling securityholder. The shares of Common Stock are being registered in accordance with the terms of the Registration Rights Agreement. The address of AQR Corporate Arbitrage Master Account is One Greenwich Plaza, Suite 130, Greenwich, CT 06830.</w:t>
      </w:r>
    </w:p>
    <w:p>
      <w:pPr>
        <w:spacing w:after="0" w:line="1" w:lineRule="exact"/>
        <w:rPr>
          <w:rFonts w:ascii="Times New Roman" w:cs="Times New Roman" w:eastAsia="Times New Roman" w:hAnsi="Times New Roman"/>
          <w:sz w:val="18"/>
          <w:szCs w:val="18"/>
          <w:color w:val="auto"/>
        </w:rPr>
      </w:pPr>
    </w:p>
    <w:p>
      <w:pPr>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43,452 shares of Common Stock held directly by the selling securityholder. The shares of Common Stock are being registered in accordance with the terms of the Registration Rights Agreement. The address of AQR Alternative Investment is One Greenwich Plaza, Suite 130, Greenwich, CT 06830.</w:t>
      </w:r>
    </w:p>
    <w:p>
      <w:pPr>
        <w:spacing w:after="0" w:line="1" w:lineRule="exact"/>
        <w:rPr>
          <w:rFonts w:ascii="Times New Roman" w:cs="Times New Roman" w:eastAsia="Times New Roman" w:hAnsi="Times New Roman"/>
          <w:sz w:val="18"/>
          <w:szCs w:val="18"/>
          <w:color w:val="auto"/>
        </w:rPr>
      </w:pPr>
    </w:p>
    <w:p>
      <w:pPr>
        <w:ind w:left="880" w:right="16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10,809 shares of Common Stock held directly by the selling securityholder. The shares of Common Stock are being registered in accordance with the terms of the Registration Rights Agreement. The address of AQR Tax Advantage Fund is One Greenwich Plaza, Suite 130, Greenwich, CT 06830.</w:t>
      </w:r>
    </w:p>
    <w:p>
      <w:pPr>
        <w:spacing w:after="0" w:line="1" w:lineRule="exact"/>
        <w:rPr>
          <w:rFonts w:ascii="Times New Roman" w:cs="Times New Roman" w:eastAsia="Times New Roman" w:hAnsi="Times New Roman"/>
          <w:sz w:val="18"/>
          <w:szCs w:val="18"/>
          <w:color w:val="auto"/>
        </w:rPr>
      </w:pPr>
    </w:p>
    <w:p>
      <w:pPr>
        <w:ind w:left="880" w:right="400" w:hanging="764"/>
        <w:spacing w:after="0" w:line="25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18,181 shares of Common Stock held directly by the selling securityholder. The shares of Common Stock are being registered in accordance with the terms of the Registration Rights Agreement.</w:t>
      </w:r>
    </w:p>
    <w:p>
      <w:pPr>
        <w:ind w:left="880" w:right="300" w:hanging="764"/>
        <w:spacing w:after="0" w:line="260" w:lineRule="auto"/>
        <w:tabs>
          <w:tab w:leader="none" w:pos="8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offered pursuant to this prospectus consist of 400,000 shares of Common Stock held directly by the selling securityholder. The shares of Common Stock are being registered in accordance with the terms of the Registration Rights Agreement.</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No sinking fund provisions are applicable to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 and Vacancies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Proposed Bylaws and except as otherwise provided by the Proposed Charter, at all meetings of stockholders called for the election of directors at which a quorum is present, a plurality of the votes properly cast is sufficient to elect such directors to the Board.</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92" w:lineRule="exact"/>
        <w:rPr>
          <w:sz w:val="20"/>
          <w:szCs w:val="20"/>
          <w:color w:val="auto"/>
        </w:rPr>
      </w:pPr>
    </w:p>
    <w:p>
      <w:pPr>
        <w:jc w:val="both"/>
        <w:ind w:left="120" w:right="220" w:firstLine="440"/>
        <w:spacing w:after="0" w:line="270" w:lineRule="auto"/>
        <w:rPr>
          <w:sz w:val="20"/>
          <w:szCs w:val="20"/>
          <w:color w:val="auto"/>
        </w:rPr>
      </w:pPr>
      <w:r>
        <w:rPr>
          <w:rFonts w:ascii="Times New Roman" w:cs="Times New Roman" w:eastAsia="Times New Roman" w:hAnsi="Times New Roman"/>
          <w:sz w:val="17"/>
          <w:szCs w:val="17"/>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the Proposed Charter and the Proposed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w:t>
      </w:r>
    </w:p>
    <w:p>
      <w:pPr>
        <w:spacing w:after="0" w:line="1" w:lineRule="exact"/>
        <w:rPr>
          <w:sz w:val="20"/>
          <w:szCs w:val="20"/>
          <w:color w:val="auto"/>
        </w:rPr>
      </w:pPr>
    </w:p>
    <w:p>
      <w:pPr>
        <w:ind w:left="120" w:right="60" w:hanging="4"/>
        <w:spacing w:after="0" w:line="253" w:lineRule="auto"/>
        <w:tabs>
          <w:tab w:leader="none" w:pos="3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or (d) the President. 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w:t>
      </w:r>
    </w:p>
    <w:p>
      <w:pPr>
        <w:spacing w:after="0" w:line="81" w:lineRule="exact"/>
        <w:rPr>
          <w:sz w:val="20"/>
          <w:szCs w:val="20"/>
          <w:color w:val="auto"/>
        </w:rPr>
      </w:pPr>
    </w:p>
    <w:p>
      <w:pPr>
        <w:ind w:left="1080" w:right="48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management of Blaize, the size of our Board, the election and removal of directors to our Board, the filling of vacancies, preferred stockholder election rights, and bylaw amendments;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8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actions of stockholders of Blaize, advance notice of business to be brought by stockholders and special meetings of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limited liability of directors or officers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the indemnification of the current and former officers, directors, employees and agents of Blaize;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exclusive forums for certain 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amending our certificate of incorporation.</w:t>
      </w:r>
    </w:p>
    <w:p>
      <w:pPr>
        <w:spacing w:after="0" w:line="225"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 of Certain Actions</w:t>
      </w:r>
    </w:p>
    <w:p>
      <w:pPr>
        <w:spacing w:after="0" w:line="12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w:t>
      </w:r>
    </w:p>
    <w:p>
      <w:pPr>
        <w:spacing w:after="0" w:line="3" w:lineRule="exact"/>
        <w:rPr>
          <w:sz w:val="20"/>
          <w:szCs w:val="20"/>
          <w:color w:val="auto"/>
        </w:rPr>
      </w:pPr>
    </w:p>
    <w:p>
      <w:pPr>
        <w:ind w:left="120" w:right="240" w:hanging="4"/>
        <w:spacing w:after="0" w:line="253" w:lineRule="auto"/>
        <w:tabs>
          <w:tab w:leader="none" w:pos="40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Common Stock equals or exceeds $18.00</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call the Public Warrants for redemption for cash:</w:t>
      </w:r>
    </w:p>
    <w:p>
      <w:pPr>
        <w:spacing w:after="0" w:line="131"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Public Warrants become exercisable (the “30-day redemption period”) to each Public Warrant holder;</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Public Warrant exercise price. If the foregoing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80"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w:t>
      </w:r>
    </w:p>
    <w:p>
      <w:pPr>
        <w:spacing w:after="0" w:line="1" w:lineRule="exact"/>
        <w:rPr>
          <w:sz w:val="20"/>
          <w:szCs w:val="20"/>
          <w:color w:val="auto"/>
        </w:rPr>
      </w:pPr>
    </w:p>
    <w:p>
      <w:pPr>
        <w:ind w:left="120" w:right="220" w:hanging="4"/>
        <w:spacing w:after="0" w:line="260" w:lineRule="auto"/>
        <w:tabs>
          <w:tab w:leader="none" w:pos="3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8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Terms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w:t>
      </w:r>
    </w:p>
    <w:p>
      <w:pPr>
        <w:spacing w:after="0" w:line="19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the Public Warrants and Private Placement Warrants is Continental Stock Transfer &amp; Trust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Symbols and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and Warrants of are listed on the Nasdaq Global Market under the symbol “BAIZ” and “BAIZ.W,”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Sale of Certain BurTech and Blaize Securities by the Sponsor and its Affiliates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securities of BurTech and of Blaize are subject to restrictions on sale pursuant to a letter agreement entered into in connection with BurTech’s IPO and the Lock-up Agreement. These include securities of BurTech that are currently outstanding and held by the Sponsor and its Affiliates, and securities of Legacy Blaize that are currently outstanding and held by the Sponsor and its Affiliates and that were exchanged for securities of Blaize.</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certain former Legacy Blaize stockholders entered the “Stockholder Lock-Up Agreement pursuant to which they each agreed, subject to certain customary exceptions, not to (i) sell, offer to sell, contract or agree to sell, hypothecate, pledge or otherwise dispose of, directly or indirectly, any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during the Stockholder Lock-Up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and as contemplated by the Merger Agreement, certain former Legacy Blaize convertible noteholders entered into the Noteholder Lock-Up Agreement pursuant to which they each agreed, subject to certain customary exceptions, not to (i) sell, offer to sell, contract or agree to sell, hypothecate, pledge or otherwise dispose of, directly or indirectly, seventy-five percent (75%) of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during the Noteholder Lock-Up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during the four calendar weeks preceding the filing of a notice on Form 144 with respect to the 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Sales by affiliates of Blaize under Rule 144 are also limited by manner of sale provisions and notice requirements and to the availability of current public information about Blaize.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and so, once the conditions set forth in the exceptions listed above are satisfied, Rule 144 will become available for the resale of the above noted restricted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(i) the offer and resale of 89,550,141 shares of Common Stock and 898,250 Warrants by the Selling Securityholders from time to time and (ii) the issuance of 29,698,250 shares of Common Stock that are issuable upon the exercise of the Warrants.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shares of Common Stock or Warrants. We will bear all other costs, fees and expenses incurred in effecting the registration of the shares of Common Stock and Warrants covered by this prospectus, including, without limitation, all registration and filing fees, printing and delivery fees, Nasdaq listing fees and fees and expenses of our counsel and our accountants.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shares of Common Stock and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Securityholders may sell their shares of Common Stock and Warrants by one or more of, or a combination of, the following methods:</w:t>
      </w:r>
    </w:p>
    <w:p>
      <w:pPr>
        <w:spacing w:after="0" w:line="94"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B. Riley or a Selling Securityholder, as applicable,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any shares that qualify for sale pursuant to Rule 144 may be sold under Rule 144 and any shares may be sold in other transactions exempt from registration rather than pursuant 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Common Stock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of Common Stock pursuant to a distribution pursuant to the registration statement of which this prospectus forms a part.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that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460" w:firstLine="440"/>
        <w:spacing w:after="0" w:line="289" w:lineRule="auto"/>
        <w:rPr>
          <w:sz w:val="20"/>
          <w:szCs w:val="20"/>
          <w:color w:val="auto"/>
        </w:rPr>
      </w:pPr>
      <w:r>
        <w:rPr>
          <w:rFonts w:ascii="Times New Roman" w:cs="Times New Roman" w:eastAsia="Times New Roman" w:hAnsi="Times New Roman"/>
          <w:sz w:val="17"/>
          <w:szCs w:val="17"/>
          <w:color w:val="auto"/>
        </w:rPr>
        <w:t>We have advised the Selling Securityholders that the anti-manipulation rules of Regulation M under the Exchange Act may apply to sales of securities in the market and to the activities of the Selling Securityholders and their respective affiliates. In addition, we will make copies of this prospectus available to the Selling Securityholders for the purpose of satisfying the prospectus delivery requirements of the Securities Act.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Selling Securityholders may indemnify any broker-dealer that participates in transactions involving the sale of the securities against certain liabilities, including liabilities arising under the Securities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Registration Rights Agreement and the PIPE Subscription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have agreed to indemnify any underwriter against certain liabilities related to the selling of the securities, including liabilities arising under the Securities Act. We have agreed to maintain the effectiveness of this registration statement until all such securities have been sold under this registration statement or Rule 144 under the Securities Act or are no longer outstanding.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validity of the shares of Common Stock and Warrants offered hereby will be passed upon for us by Latham &amp; Watkins LLP, Houston, Texas. 166</w:t>
      </w:r>
    </w:p>
    <w:p>
      <w:pPr>
        <w:sectPr>
          <w:pgSz w:w="11900" w:h="16838" w:orient="portrait"/>
          <w:cols w:equalWidth="0" w:num="1">
            <w:col w:w="11000"/>
          </w:cols>
          <w:pgMar w:left="320" w:top="455" w:right="5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BurTech Acquisition Corp. as of December 31, 2023 and 2022 and for each of the years in the two-year period ended December 31, 2023 included in this prospectus have been audited by Marcum LLP, an independent registered public accounting firm, as set forth in their report thereon (which contains an explanatory paragraph relating to substantial doubt about the ability of BurTech Acquisition Corp. to continue as a going concern as described in Note 1 to the financial statements), appearing elsewhere in this prospectus, and are included in reliance on the report of such firm given upon their authority as experts in accounting and auditing.</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Blaize, Inc. as of December 31, 2023 and 2022, and for each of the years in the two-year period ended December 31, 2023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40"/>
          </w:cols>
          <w:pgMar w:left="320" w:top="455" w:right="5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S-1, including exhibits, under the Securities Act with respect to the shares of Common Stock and Warrants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Those filings are also available to the public on, or accessible through, our website under the heading “Investors Relations” at www.nogin.com. The information on our web site, however, is not, and should not be deemed to be, a part of this prospectus.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FINANCIAL STATEMENTS AND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SUPPLEMENTARY DATA INDEX TO FINANCIAL STATEMENTS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4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BLAIZE FINANCIAL STATEMENTS</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460" w:type="dxa"/>
            <w:vAlign w:val="bottom"/>
            <w:gridSpan w:val="23"/>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Blaize,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40" w:type="dxa"/>
            <w:vAlign w:val="bottom"/>
            <w:gridSpan w:val="18"/>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Deficit for the years ended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4"/>
        </w:trPr>
        <w:tc>
          <w:tcPr>
            <w:tcW w:w="65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540" w:type="dxa"/>
            <w:vAlign w:val="bottom"/>
            <w:tcBorders>
              <w:top w:val="single" w:sz="8" w:color="0000EE"/>
            </w:tcBorders>
            <w:gridSpan w:val="4"/>
          </w:tcPr>
          <w:p>
            <w:pPr>
              <w:spacing w:after="0"/>
              <w:rPr>
                <w:sz w:val="22"/>
                <w:szCs w:val="22"/>
                <w:color w:val="auto"/>
              </w:rPr>
            </w:pPr>
          </w:p>
        </w:tc>
        <w:tc>
          <w:tcPr>
            <w:tcW w:w="2420" w:type="dxa"/>
            <w:vAlign w:val="bottom"/>
            <w:gridSpan w:val="7"/>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Blaize,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 (unaudited)</w:t>
            </w:r>
          </w:p>
        </w:tc>
        <w:tc>
          <w:tcPr>
            <w:tcW w:w="2960" w:type="dxa"/>
            <w:vAlign w:val="bottom"/>
            <w:gridSpan w:val="9"/>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F-48</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Redeemable Convertible Preferred Stock and Stockholders’ Deficit for the three and nine months ended</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1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 (unaudited)</w:t>
            </w:r>
          </w:p>
        </w:tc>
        <w:tc>
          <w:tcPr>
            <w:tcW w:w="1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7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2024, and 2023 (unaudited)</w:t>
            </w:r>
          </w:p>
        </w:tc>
        <w:tc>
          <w:tcPr>
            <w:tcW w:w="170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372"/>
        </w:trPr>
        <w:tc>
          <w:tcPr>
            <w:tcW w:w="47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BURTECH FINANCIAL STATEMENTS</w:t>
            </w:r>
          </w:p>
        </w:tc>
        <w:tc>
          <w:tcPr>
            <w:tcW w:w="56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BurTech Acquisition Corp.:</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240" w:type="dxa"/>
            <w:vAlign w:val="bottom"/>
            <w:gridSpan w:val="18"/>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F-86</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Operations as of December 31, 2023 and 2022</w:t>
            </w:r>
          </w:p>
        </w:tc>
        <w:tc>
          <w:tcPr>
            <w:tcW w:w="5040" w:type="dxa"/>
            <w:vAlign w:val="bottom"/>
            <w:gridSpan w:val="14"/>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F-87</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Changes in Stockholders’ Deficit as of December 31, 2023 and 2022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F-88</w:t>
            </w:r>
          </w:p>
        </w:tc>
        <w:tc>
          <w:tcPr>
            <w:tcW w:w="0" w:type="dxa"/>
            <w:vAlign w:val="bottom"/>
          </w:tcPr>
          <w:p>
            <w:pPr>
              <w:spacing w:after="0"/>
              <w:rPr>
                <w:sz w:val="1"/>
                <w:szCs w:val="1"/>
                <w:color w:val="auto"/>
              </w:rPr>
            </w:pPr>
          </w:p>
        </w:tc>
      </w:tr>
      <w:tr>
        <w:trPr>
          <w:trHeight w:val="263"/>
        </w:trPr>
        <w:tc>
          <w:tcPr>
            <w:tcW w:w="70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Consolidated Statements of Cash Flows as of December 31, 2023 and 2022</w:t>
            </w:r>
          </w:p>
        </w:tc>
        <w:tc>
          <w:tcPr>
            <w:tcW w:w="3400" w:type="dxa"/>
            <w:vAlign w:val="bottom"/>
            <w:gridSpan w:val="10"/>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F-89</w:t>
            </w:r>
          </w:p>
        </w:tc>
        <w:tc>
          <w:tcPr>
            <w:tcW w:w="0" w:type="dxa"/>
            <w:vAlign w:val="bottom"/>
          </w:tcPr>
          <w:p>
            <w:pPr>
              <w:spacing w:after="0"/>
              <w:rPr>
                <w:sz w:val="1"/>
                <w:szCs w:val="1"/>
                <w:color w:val="auto"/>
              </w:rPr>
            </w:pPr>
          </w:p>
        </w:tc>
      </w:tr>
      <w:tr>
        <w:trPr>
          <w:trHeight w:val="264"/>
        </w:trPr>
        <w:tc>
          <w:tcPr>
            <w:tcW w:w="54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000" w:type="dxa"/>
            <w:vAlign w:val="bottom"/>
            <w:gridSpan w:val="13"/>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F-90</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BurTech Acquisition Corp.:</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2920" w:type="dxa"/>
            <w:vAlign w:val="bottom"/>
            <w:gridSpan w:val="8"/>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F-112</w:t>
            </w:r>
          </w:p>
        </w:tc>
        <w:tc>
          <w:tcPr>
            <w:tcW w:w="0" w:type="dxa"/>
            <w:vAlign w:val="bottom"/>
          </w:tcPr>
          <w:p>
            <w:pPr>
              <w:spacing w:after="0"/>
              <w:rPr>
                <w:sz w:val="1"/>
                <w:szCs w:val="1"/>
                <w:color w:val="auto"/>
              </w:rPr>
            </w:pPr>
          </w:p>
        </w:tc>
      </w:tr>
      <w:tr>
        <w:trPr>
          <w:trHeight w:val="264"/>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 30, 2024 and 2023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F-113</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3940" w:type="dxa"/>
            <w:vAlign w:val="bottom"/>
            <w:gridSpan w:val="10"/>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Deficit for the Three and Nine Months Ended September 30, 2024 and 2023</w:t>
            </w:r>
          </w:p>
        </w:tc>
        <w:tc>
          <w:tcPr>
            <w:tcW w:w="22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2024 and 2023 (Unaudited)</w:t>
            </w:r>
          </w:p>
        </w:tc>
        <w:tc>
          <w:tcPr>
            <w:tcW w:w="1620" w:type="dxa"/>
            <w:vAlign w:val="bottom"/>
            <w:gridSpan w:val="5"/>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F-115</w:t>
            </w:r>
          </w:p>
        </w:tc>
        <w:tc>
          <w:tcPr>
            <w:tcW w:w="0" w:type="dxa"/>
            <w:vAlign w:val="bottom"/>
          </w:tcPr>
          <w:p>
            <w:pPr>
              <w:spacing w:after="0"/>
              <w:rPr>
                <w:sz w:val="1"/>
                <w:szCs w:val="1"/>
                <w:color w:val="auto"/>
              </w:rPr>
            </w:pPr>
          </w:p>
        </w:tc>
      </w:tr>
      <w:tr>
        <w:trPr>
          <w:trHeight w:val="263"/>
        </w:trPr>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F-116</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560" w:type="dxa"/>
            <w:vAlign w:val="bottom"/>
            <w:gridSpan w:val="15"/>
          </w:tcPr>
          <w:p>
            <w:pPr>
              <w:ind w:left="480"/>
              <w:spacing w:after="0"/>
              <w:rPr>
                <w:sz w:val="20"/>
                <w:szCs w:val="20"/>
                <w:color w:val="auto"/>
              </w:rPr>
            </w:pPr>
            <w:r>
              <w:rPr>
                <w:rFonts w:ascii="Times New Roman" w:cs="Times New Roman" w:eastAsia="Times New Roman" w:hAnsi="Times New Roman"/>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Inc. and Subsidiaries (the “Company”) as of December 31, 2023 and 2022, and the related consolidated statements of operations, redeemable convertible preferred stock and stockholders’ deficit, and cash flows for each of the years in the two-year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2024, except for Notes 2, 14 and 17 as to which the date is September 5, 2024.</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(Note 14)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19,278</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2022; 44,494,703 and 16,498,279 shares issued and outstanding as of December 31, 2023 and 2022, respectively;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preference of $173,347 and $64,020 as of December 31, 2023 and 2022,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173,347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64,020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2023 and 2022; 17,454,353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6,143,294 shares issued and outstanding as of December 31, 2023 and 2022, respectively</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2023 and 2022</w:t>
            </w: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141,496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209,928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6"/>
              </w:rPr>
              <w:t>(368,056)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(280,467)</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(226,560)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7"/>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Hardware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services revenue – related party (Note 14)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24,302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15,665</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16"/>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54,057</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(35,832)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(55,853)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from the amortization of discount on convertible notes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Gain on Paycheck Protection Program loan forgiveness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(53,880)</w:t>
            </w:r>
          </w:p>
        </w:tc>
        <w:tc>
          <w:tcPr>
            <w:tcW w:w="0" w:type="dxa"/>
            <w:vAlign w:val="bottom"/>
          </w:tcPr>
          <w:p>
            <w:pPr>
              <w:spacing w:after="0"/>
              <w:rPr>
                <w:sz w:val="1"/>
                <w:szCs w:val="1"/>
                <w:color w:val="auto"/>
              </w:rPr>
            </w:pPr>
          </w:p>
        </w:tc>
      </w:tr>
      <w:tr>
        <w:trPr>
          <w:trHeight w:val="216"/>
        </w:trPr>
        <w:tc>
          <w:tcPr>
            <w:tcW w:w="8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(88,187)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(104,096)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Deemed dividend on preferred stock, change in redemption value and effect of exchange of preferred stock</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loss allocable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4,213,244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1,445,089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580" w:type="dxa"/>
            <w:vAlign w:val="bottom"/>
          </w:tcPr>
          <w:p>
            <w:pPr>
              <w:spacing w:after="0"/>
              <w:rPr>
                <w:sz w:val="3"/>
                <w:szCs w:val="3"/>
                <w:color w:val="auto"/>
              </w:rPr>
            </w:pPr>
          </w:p>
        </w:tc>
        <w:tc>
          <w:tcPr>
            <w:tcW w:w="158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580" w:type="dxa"/>
            <w:vAlign w:val="bottom"/>
          </w:tcPr>
          <w:p>
            <w:pPr>
              <w:spacing w:after="0"/>
              <w:rPr>
                <w:sz w:val="10"/>
                <w:szCs w:val="10"/>
                <w:color w:val="auto"/>
              </w:rPr>
            </w:pPr>
          </w:p>
        </w:tc>
        <w:tc>
          <w:tcPr>
            <w:tcW w:w="158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1580" w:type="dxa"/>
            <w:vAlign w:val="bottom"/>
            <w:gridSpan w:val="6"/>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8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gridSpan w:val="2"/>
          </w:tcPr>
          <w:p>
            <w:pPr>
              <w:jc w:val="right"/>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80" w:type="dxa"/>
            <w:vAlign w:val="bottom"/>
            <w:tcBorders>
              <w:top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5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80" w:type="dxa"/>
            <w:vAlign w:val="bottom"/>
            <w:gridSpan w:val="2"/>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80" w:type="dxa"/>
            <w:vAlign w:val="bottom"/>
            <w:gridSpan w:val="2"/>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60,614,259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176,989</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957,864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124,225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(175,647)</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D-2 preferred stock, net of issuance costs</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1,126,373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5,017</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$340 and Series D-2 preferred stock warrants of $244</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D-2 preferred stock upon extinguishment</w:t>
            </w: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of convertible notes, net of Series D-2 preferred stock</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6,435,447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30,764</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of $1,390</w:t>
            </w: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Deemed dividend associated with Series D-2 preferred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 warrants issued with Series D-2 preferred stock</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1,635</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(1,635)</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D Exchange Preferred shares in</w:t>
            </w:r>
          </w:p>
        </w:tc>
        <w:tc>
          <w:tcPr>
            <w:tcW w:w="8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(1,636)</w:t>
            </w: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1,636</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exchange for extinguishment of Series D preferred stock</w:t>
            </w:r>
          </w:p>
        </w:tc>
        <w:tc>
          <w:tcPr>
            <w:tcW w:w="8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preferred stock into common stock</w:t>
            </w: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(60,374,854)</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(174,500)</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60,374,854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174,500</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174,500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Reverse 10:1 common stock split</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(54,337,382)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warrants from liability preferred to</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upon conversion of preferred to common stock</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8,697,054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23,925</w:t>
            </w:r>
          </w:p>
        </w:tc>
        <w:tc>
          <w:tcPr>
            <w:tcW w:w="20" w:type="dxa"/>
            <w:vAlign w:val="bottom"/>
            <w:shd w:val="clear" w:color="auto" w:fill="000000"/>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(869,705)</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(23,925)</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(23,925)</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value of preferred stock subject to possible</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1,826</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(1,826)</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(1,826)</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17,663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55,853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55,853</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(104,630)</w:t>
            </w:r>
          </w:p>
        </w:tc>
        <w:tc>
          <w:tcPr>
            <w:tcW w:w="140" w:type="dxa"/>
            <w:vAlign w:val="bottom"/>
          </w:tcPr>
          <w:p>
            <w:pPr>
              <w:spacing w:after="0"/>
              <w:rPr>
                <w:sz w:val="12"/>
                <w:szCs w:val="12"/>
                <w:color w:val="auto"/>
              </w:rPr>
            </w:pPr>
          </w:p>
        </w:tc>
        <w:tc>
          <w:tcPr>
            <w:tcW w:w="7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(104,630)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16,498,279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64,020</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6,143,294</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7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124,225</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209,928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(280,467)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(70,539)</w:t>
            </w: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Reissuance of Shadow Preferred in Pay-to-Play Pull</w:t>
            </w: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27,996,424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109,327</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(2,799,634)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(109,327)</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(109,327)</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Through Exchange at redemption value</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Reissuance of common stock in common rights offering</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8,109,693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release of restricted stock</w:t>
            </w: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6,000,000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0"/>
                <w:szCs w:val="10"/>
                <w:color w:val="auto"/>
              </w:rPr>
            </w:pP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Pay-to-Play financing charge</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35,771</w:t>
            </w:r>
          </w:p>
        </w:tc>
        <w:tc>
          <w:tcPr>
            <w:tcW w:w="0" w:type="dxa"/>
            <w:vAlign w:val="bottom"/>
          </w:tcPr>
          <w:p>
            <w:pPr>
              <w:spacing w:after="0"/>
              <w:rPr>
                <w:sz w:val="1"/>
                <w:szCs w:val="1"/>
                <w:color w:val="auto"/>
              </w:rPr>
            </w:pPr>
          </w:p>
        </w:tc>
      </w:tr>
      <w:tr>
        <w:trPr>
          <w:trHeight w:val="148"/>
        </w:trPr>
        <w:tc>
          <w:tcPr>
            <w:tcW w:w="3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financing charge on convertible notes</w:t>
            </w:r>
          </w:p>
        </w:tc>
        <w:tc>
          <w:tcPr>
            <w:tcW w:w="8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160" w:type="dxa"/>
            <w:vAlign w:val="bottom"/>
          </w:tcPr>
          <w:p>
            <w:pPr>
              <w:spacing w:after="0"/>
              <w:rPr>
                <w:sz w:val="12"/>
                <w:szCs w:val="12"/>
                <w:color w:val="auto"/>
              </w:rPr>
            </w:pPr>
          </w:p>
        </w:tc>
        <w:tc>
          <w:tcPr>
            <w:tcW w:w="88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156"/>
        </w:trPr>
        <w:tc>
          <w:tcPr>
            <w:tcW w:w="35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44,494,703</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173,347</w:t>
            </w:r>
          </w:p>
        </w:tc>
        <w:tc>
          <w:tcPr>
            <w:tcW w:w="10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17,454,353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124,225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141,496</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(368,056</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(226,560</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(104,630)</w:t>
            </w: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35,832</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55,853</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(2,687)</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Non-cash loss on lease termination</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Paycheck Protection Program loan forgiveness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(1,106)</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4,424</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w:t>
            </w:r>
          </w:p>
        </w:tc>
      </w:tr>
      <w:tr>
        <w:trPr>
          <w:trHeight w:val="27"/>
        </w:trPr>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(40,222)</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D-2 preferred stock, net of cash based loan costs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5,260</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Series D-2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30,812</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Pay-to-Play convertible notes and Common Rights Offering</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2,961</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 term demand notes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short term demand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Series D issuance costs paid</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20" w:type="dxa"/>
            <w:vAlign w:val="bottom"/>
          </w:tcPr>
          <w:p>
            <w:pPr>
              <w:spacing w:after="0"/>
              <w:rPr>
                <w:sz w:val="20"/>
                <w:szCs w:val="20"/>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(1,630)</w:t>
            </w: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2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9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 taxes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Reissuance of Shadow Preferred in Pay-to-Play Pull Through Exchange at redemption value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109,327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 gain</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30,812</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with preferred stock issuance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1,634</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deferred offering costs outstanding at year-end</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 to common stock</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174,500</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warrant liability to equity</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Pull through of Shadow preferred stock upon Pay-to-Play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23,925</w:t>
            </w: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free standing warrants issued with Pay-to-Play convertible notes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redemption value of convertible preferred stock</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 power, high 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interest. As of December 31, 2023, there has not been an operating agreement executed between the Company and the holder of the 65% that would make the Company the primary beneficiary of this new legal entity. The new entity does not have any assets or liabilities and has not started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 owned subsidiary of BurTech. In connection with the consummation of the business combination (the “Merger”), BurTech will be renamed Blaize Holdings, Inc. (“New Blaize”). The Merger Agreement was amended on April 22, 2024 (see Notes 13 and 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twelve-month period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inception of the Company and through December 31, 2023, the Company has funded its operations primarily with cash flows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contributions from founders or other investors and other financing activities. The Company has incurred recurring losses and negative cash flows since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inception, including a net loss of $87.6 million and $104.6 million for the years ended December 31, 2023 and 2022, respectively.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the Company had cash of $3.2 million, a net working capital deficit of $34.8 million, and an accumulated deficit of $368.1 million.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as well as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9"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While the Company is currently taking actions to both source and preserve cash through a combination of the issuance of convertible notes and a possible capital market transaction and has received additional funding in 2024 (see Note 17), and the Company cannot be assured that they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7"/>
          <w:szCs w:val="17"/>
          <w:i w:val="1"/>
          <w:iCs w:val="1"/>
          <w:color w:val="auto"/>
        </w:rPr>
        <w:t>Disclosures of Uncertainties about an Entity’s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Ability to Continue as a Going Concern</w:t>
      </w:r>
      <w:r>
        <w:rPr>
          <w:rFonts w:ascii="Times New Roman" w:cs="Times New Roman" w:eastAsia="Times New Roman" w:hAnsi="Times New Roman"/>
          <w:sz w:val="17"/>
          <w:szCs w:val="17"/>
          <w:color w:val="auto"/>
        </w:rPr>
        <w:t>, management has determined that the Company’s liquidity condition raises substantial doubt about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ability to continue as a going concern through a year from the date these consolidated financial statements are available to be issued.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 owned subsidiaries. All intercompany balances and transactions have been eliminated in consolidation.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Preferred Stock to Common Stock and Reverse Stock Split</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Effective November 30, 2022, in preparation for the Company’s issuance of its Pay-to-Play Convertible Notes (see Note 8), the Company’s preferred stockholders consented to a conversion of all outstanding preferred stock to common stock on a one-for-one basis. The effects of this conversion event are shown as of November 30, 2022 in the accompanying consolidated financial statements and notes herein.</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Following this conversion, in December 2022, the Company approved and effected a ten-for-one reverse stock split of its common stock. The par value of the common stock was not adjusted as a result of the reverse stock split. All share and per share amounts for the periods presented in the consolidated financial statements and notes herein have been adjusted retrospectively to reflect this reverse stock split.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the estimated fair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value of convertible notes, warrant liabilities, common stock, and stock 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consolidated financial statements.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 As of December 31, 2023 and 2022, the Company had cash balances in excess of domestic and international insurance limits of approximately $2.2 million and $4.0 million,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cash equivalents or restricted cash balances.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and zero as of December 31, 2023 and 2022, respectively. As of December 31, 2023 and 2022, the Company’s accounts receivable included approximately $0.5 million and $1.1 million, respectively, of unbilled accounts receivable (see Note 14).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consolidated statement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 line method over the following estimated useful lives: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76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6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76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76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8 years</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Shorter of the related lease term or useful life</w:t>
            </w:r>
          </w:p>
        </w:tc>
      </w:tr>
      <w:tr>
        <w:trPr>
          <w:trHeight w:val="346"/>
        </w:trPr>
        <w:tc>
          <w:tcPr>
            <w:tcW w:w="3360" w:type="dxa"/>
            <w:vAlign w:val="bottom"/>
          </w:tcPr>
          <w:p>
            <w:pPr>
              <w:spacing w:after="0"/>
              <w:rPr>
                <w:sz w:val="24"/>
                <w:szCs w:val="24"/>
                <w:color w:val="auto"/>
              </w:rPr>
            </w:pPr>
          </w:p>
        </w:tc>
        <w:tc>
          <w:tcPr>
            <w:tcW w:w="67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F-10</w:t>
            </w:r>
          </w:p>
        </w:tc>
      </w:tr>
    </w:tbl>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2023 and 2022, the Company had no finance leases.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 line basis over the lease term and variable lease payments in the period in which the obligation is incurred. Lease payments for month-to-month leases are recognized as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8"/>
          <w:szCs w:val="18"/>
          <w:i w:val="1"/>
          <w:iCs w:val="1"/>
          <w:color w:val="auto"/>
        </w:rPr>
        <w:t>Software — Costs of Software to be Sold, Leased or Marketed</w:t>
      </w:r>
      <w:r>
        <w:rPr>
          <w:rFonts w:ascii="Times New Roman" w:cs="Times New Roman" w:eastAsia="Times New Roman" w:hAnsi="Times New Roman"/>
          <w:sz w:val="18"/>
          <w:szCs w:val="18"/>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 by-feature basis and the estimated economic life of a feature is one year. To date, the impact of capitalizing qualifying software development costs has been immaterial.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Software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Internally developed software costs for software to be used internally are accounted for in accordance with ASC 350-40, </w:t>
      </w:r>
      <w:r>
        <w:rPr>
          <w:rFonts w:ascii="Times New Roman" w:cs="Times New Roman" w:eastAsia="Times New Roman" w:hAnsi="Times New Roman"/>
          <w:sz w:val="18"/>
          <w:szCs w:val="18"/>
          <w:i w:val="1"/>
          <w:iCs w:val="1"/>
          <w:color w:val="auto"/>
        </w:rPr>
        <w:t>Internal Use Software</w:t>
      </w:r>
      <w:r>
        <w:rPr>
          <w:rFonts w:ascii="Times New Roman" w:cs="Times New Roman" w:eastAsia="Times New Roman" w:hAnsi="Times New Roman"/>
          <w:sz w:val="18"/>
          <w:szCs w:val="18"/>
          <w:color w:val="auto"/>
        </w:rPr>
        <w:t>. The Company capitalizes certain internal and external costs incurred during the application development stage of internal-use software projects until the software is ready for its intended use. Amortization of the asset commences when the software is complete and placed into service and is recorded in depreciation and amortization expense in the consolidated statements of operations. The Company amortizes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completed internal-use software over its estimated useful life of three years on a straight-line basis. Costs incurred during the planning, training and post-implementation stages of the software development life cycle are classified as technology costs as incurred and are reflected in the consolidated statements of operations in selling, general, and administrative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banking and accounting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2023 and 2022 there were $1.5 million and zero capitalized deferred offering costs on the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 Lived Assets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 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2023 and 2022,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and Accounting for Convertible Instruments and Contracts in an Entity’s Own Equity </w:t>
      </w:r>
      <w:r>
        <w:rPr>
          <w:rFonts w:ascii="Times New Roman" w:cs="Times New Roman" w:eastAsia="Times New Roman" w:hAnsi="Times New Roman"/>
          <w:sz w:val="18"/>
          <w:szCs w:val="18"/>
          <w:color w:val="auto"/>
        </w:rPr>
        <w:t>(ASU 2020-06). The Company has elected to account for its convertible notes at fair value at each period end pursuant to ASC 825, Financial Instruments wherein changes in the fair value are recorded as change in fair value of convertible notes in the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9). The liability associated with these warrants is subject to remeasurement at each balance sheet date, with changes in fair value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40"/>
          </w:cols>
          <w:pgMar w:left="320" w:top="455" w:right="5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 Scholes option pricing model.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11).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joint marketing arrangement with a subsidiary of a minority investor to expand hardware sales into a foreign market (see Note 14).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2023 and 2022 (in thousands):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$ 1,830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2,200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9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1,830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general and administrative expenses in the consolidated statements of operations. Advertising costs were immaterial for the years ended December 31,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2023 and 2022,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1" w:lineRule="exact"/>
        <w:rPr>
          <w:sz w:val="20"/>
          <w:szCs w:val="20"/>
          <w:color w:val="auto"/>
        </w:rPr>
      </w:pPr>
    </w:p>
    <w:p>
      <w:pPr>
        <w:ind w:left="120" w:right="60" w:hanging="4"/>
        <w:spacing w:after="0" w:line="255" w:lineRule="auto"/>
        <w:tabs>
          <w:tab w:leader="none" w:pos="38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requires fair value measurements be classified and disclosed in one of the following pricing categories:</w:t>
      </w:r>
    </w:p>
    <w:p>
      <w:pPr>
        <w:spacing w:after="0" w:line="76" w:lineRule="exact"/>
        <w:rPr>
          <w:sz w:val="20"/>
          <w:szCs w:val="20"/>
          <w:color w:val="auto"/>
        </w:rPr>
      </w:pPr>
    </w:p>
    <w:p>
      <w:pPr>
        <w:ind w:left="560" w:right="38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50" w:lineRule="exact"/>
        <w:rPr>
          <w:sz w:val="20"/>
          <w:szCs w:val="20"/>
          <w:color w:val="auto"/>
        </w:rPr>
      </w:pPr>
    </w:p>
    <w:p>
      <w:pPr>
        <w:jc w:val="both"/>
        <w:ind w:left="560" w:right="2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This level consists of observable inputs other than the quoted prices included within Level 1, such as quoted prices for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ind w:left="560" w:right="6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prepaid expenses and other current assets, accounts payable, accrued loss on purchase commitments and accrued expenses and other current liabilities approximate fair value because of their short-term maturities.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2023, foreign currency transaction gain was immaterial. During the year ended December 31, 2022, foreign currency transaction loss of $0.1 million was included in other income (expense), net in the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cash accounts in a financial institution may at times exceed the Federal Depository Insurance coverage of $250,000.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manages its accounts receivable credit risk through ongoing credit evaluation of its customers’ financial conditions.</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one customer accounted for approximately 98% of the Company’s accounts receivable. As of December 31, 2022, two customers accounted for approximately 58% and 41% of the Company’s accounts receivable (see Note 14).</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year ended December 31, 2023, one customer, a related party, accounted for nearly 100% of the Company’s revenue. For the year ended December 31, 2022, two customers accounted for approximately 71% and 20% of the Company’s revenue, one of which is a related party (see Note 14).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3" w:lineRule="exact"/>
        <w:rPr>
          <w:sz w:val="20"/>
          <w:szCs w:val="20"/>
          <w:color w:val="auto"/>
        </w:rPr>
      </w:pPr>
    </w:p>
    <w:p>
      <w:pPr>
        <w:ind w:left="120" w:right="40" w:hanging="4"/>
        <w:spacing w:after="0" w:line="260" w:lineRule="auto"/>
        <w:tabs>
          <w:tab w:leader="none" w:pos="38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left="120" w:right="3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eliminates the accounting guidance for troubled debt restructurings by creditors while enhancing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loan refinancing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restructurings by creditors made to borrowers experiencing financial difficulty. The amendments also require disclosure of current period gross write-offs by year of origination for financing receivables. For organizations that have adopted ASU 2016-13, ASU 2022-02 is effective for fiscal years beginning after December 15, 2022, including interim periods within those fiscal years. For entities that haven’t yet adopted ASU 2016-13, the effective dates for ASU 2022-02 are the same as the effective dates in ASU 2016-13. The Company adopted this standard as of January 1, 2023. The adoption of this standard did not have a material impact on the Company’s consolidated financial statements.</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which amends ASC 326 to add, remove, and clarify disclosure requirements related to credit losses of financial instruments.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introduces a new “expected loss” impairment model which applies to most financial assets measured at amortized cost and certain other instruments, including trade and other receivables, loans, held-to-maturity debt securities and other financial assets. Entities are required to estimate expected credit losses over the life of financial assets and record an allowance against the assets’ amortized cost basis to present them at the amount expected to be collected. Additionally, the guidance amends the impairment model for available for sale debt securities and requires entities to determine whether all or a portion of the unrealized loss on such debt security is a credit loss. The Company adopted this standard as of January 1, 2023. The adoption of this standard did not have a material impact on the Company’s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enhances the transparency and decision usefulness of income tax disclosures. This guidance is effective for the Company beginning on January 1, 2025, and early adoption is permitted although the Company does not plan to early adopt. The Company does not expect the adoption to have a material impact on its consolidated financial statements.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ASU improves reportable segment disclosure requirements, primarily through enhanced disclosures about significant segment expenses. This guidance is effective for the fiscal year ending December 31, 2024 and interim periods within fiscal years beginning January 1, 2025. Early adoption is permitted although the Company does not plan to early adopt. The Company does not expect the adoption to have a material impact on the Company’s consolidated financial statements.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and early adoption is permitted. The adoption of this ASU is not expected to have a material impact on the Company’s consolidated financial statements.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The FASB issued authoritative guidance that clarifies that an acquirer of a business should recognize and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in a business combination in accordance with ASC Topic 606, Revenue from Contracts with Customers. This guidance is effective for the Company beginning on January 1, 2024 and should be applied prospectively to business combinations occurring on or after the effective date of the amendments.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years ended December 31,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$3,848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c>
          <w:tcPr>
            <w:tcW w:w="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3,856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3,841</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years ended December 31,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3,840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2,976</w:t>
            </w:r>
          </w:p>
        </w:tc>
      </w:tr>
      <w:tr>
        <w:trPr>
          <w:trHeight w:val="27"/>
        </w:trPr>
        <w:tc>
          <w:tcPr>
            <w:tcW w:w="4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3,856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3,841</w:t>
            </w:r>
          </w:p>
        </w:tc>
      </w:tr>
      <w:tr>
        <w:trPr>
          <w:trHeight w:val="20"/>
        </w:trPr>
        <w:tc>
          <w:tcPr>
            <w:tcW w:w="47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December 31, 2023 and 2022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6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1,100</w:t>
            </w:r>
          </w:p>
        </w:tc>
      </w:tr>
      <w:tr>
        <w:trPr>
          <w:trHeight w:val="27"/>
        </w:trPr>
        <w:tc>
          <w:tcPr>
            <w:tcW w:w="38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1,100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1,830</w:t>
            </w:r>
          </w:p>
        </w:tc>
      </w:tr>
      <w:tr>
        <w:trPr>
          <w:trHeight w:val="20"/>
        </w:trPr>
        <w:tc>
          <w:tcPr>
            <w:tcW w:w="3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liabilities measured at fair value on a recurring basis aggregated by the level in the fair hierarchy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14,641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2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18,064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18,064</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36,435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36,435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25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5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3,668</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0" w:type="dxa"/>
            <w:vAlign w:val="bottom"/>
            <w:gridSpan w:val="2"/>
          </w:tcPr>
          <w:p>
            <w:pPr>
              <w:jc w:val="right"/>
              <w:ind w:right="1514"/>
              <w:spacing w:after="0"/>
              <w:rPr>
                <w:sz w:val="20"/>
                <w:szCs w:val="20"/>
                <w:color w:val="auto"/>
              </w:rPr>
            </w:pPr>
            <w:r>
              <w:rPr>
                <w:rFonts w:ascii="Times New Roman" w:cs="Times New Roman" w:eastAsia="Times New Roman" w:hAnsi="Times New Roman"/>
                <w:sz w:val="18"/>
                <w:szCs w:val="18"/>
                <w:color w:val="auto"/>
              </w:rPr>
              <w:t>F-19</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and the warrants issued with the P2P Notes and the 2023 Convertible Notes (see Notes 8 and 9). The Company has elected to apply the fair value option to measure all convertible notes due to the nature of their embedded features.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each period and the effect of common stock warrants reinstated into Series D Shadow preferred stock warrants for existing investors who participated in the Company’s 2023 fund raising efforts with the additional issuance of P2P Notes. For the year ended December 31, 2022, the change in fair value measurements includes the remeasurement of each instrument at the reporting date, the November 30, 2022 preferred stock to common stock conversion, and the effect of the exchange of warrants exercisable into common stock following the November 30, 2022 conversion event into warrants exercisable into Shadow preferred stock (the “Pull-Through Shadow Preferred Warrants”) for those investors who participated in the P2P Notes (see Notes 8 and 9).</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respective changes for remeasurement are reflected in the change in fair value of convertible notes and change in fair value of warrant liabilities in the accompanying consolidated statements of operations.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 in the fair value of the Level 3 liabilities during the years ended December 31, 2023 and 2022 was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Pay-to Play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3"/>
                <w:szCs w:val="13"/>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8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D-2 Preferred Stock warrants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(2,687)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preferred stock to common stock and reclassified to</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Pay-to-Play convertible note warrants</w:t>
            </w: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Common rights offering</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notes and related warrants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10,477</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2023 and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Given the impact of the Pay-to-Play convertible notes, those investors who did not participate in the convertible notes round during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had their preferred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stock warrants converted into common stock warrants and were reclassified into equity as of December 31, 2022. For existing investors who invested in P2P Notes during the year ended December 31, 2023, their common stock warrants were converted into Series D Shadow preferred stock warrants and reclassified as warrant liabilities (see Notes 8, 9 and 14).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1,542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4,964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3,429</w:t>
            </w:r>
          </w:p>
        </w:tc>
      </w:tr>
      <w:tr>
        <w:trPr>
          <w:trHeight w:val="223"/>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6,522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4,336</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7"/>
        </w:trPr>
        <w:tc>
          <w:tcPr>
            <w:tcW w:w="5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2,836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1,512</w:t>
            </w:r>
          </w:p>
        </w:tc>
      </w:tr>
      <w:tr>
        <w:trPr>
          <w:trHeight w:val="20"/>
        </w:trPr>
        <w:tc>
          <w:tcPr>
            <w:tcW w:w="5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(18,503)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(16,523)</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2023 and 2022, depreciation and amortization expense of property and equipment was $2.0 million and $2.8 million,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as of December 31, 2023 and 2022 (in thousands):</w:t>
      </w:r>
    </w:p>
    <w:p>
      <w:pPr>
        <w:spacing w:after="0" w:line="24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$ 3,813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$ 2,617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$ 7,464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2,674</w:t>
            </w: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accrued loss on purchase commitments were $3.6 million and $5.4 million, respectively (see Note 13).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as of December 31, 2023 and 2022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liabilities consists of the following as of December 31, 2023 and 2022 (in thousands):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$367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represents the domestic and foreign components of loss from operations before income taxes for the years ended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$(89,525)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$(107,267)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r>
      <w:tr>
        <w:trPr>
          <w:trHeight w:val="27"/>
        </w:trPr>
        <w:tc>
          <w:tcPr>
            <w:tcW w:w="3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4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(88,187)</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(104,096)</w:t>
            </w:r>
          </w:p>
        </w:tc>
      </w:tr>
      <w:tr>
        <w:trPr>
          <w:trHeight w:val="20"/>
        </w:trPr>
        <w:tc>
          <w:tcPr>
            <w:tcW w:w="3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4000" w:type="dxa"/>
            <w:vAlign w:val="bottom"/>
            <w:gridSpan w:val="3"/>
          </w:tcPr>
          <w:p>
            <w:pPr>
              <w:jc w:val="right"/>
              <w:ind w:right="292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780"/>
          </w:cols>
          <w:pgMar w:left="320" w:top="455" w:right="7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components of the (benefit from) provision for income taxes consists of the following for the years ended December 31, 2023 and 2022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US States</w:t>
            </w:r>
          </w:p>
        </w:tc>
        <w:tc>
          <w:tcPr>
            <w:tcW w:w="2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5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States</w:t>
            </w:r>
          </w:p>
        </w:tc>
        <w:tc>
          <w:tcPr>
            <w:tcW w:w="14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4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(benefit from) provision for income taxes</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(598)</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534</w:t>
            </w:r>
          </w:p>
        </w:tc>
      </w:tr>
      <w:tr>
        <w:trPr>
          <w:trHeight w:val="20"/>
        </w:trPr>
        <w:tc>
          <w:tcPr>
            <w:tcW w:w="5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differs from the amount of income tax determined by applying the U.S. federal statutory income tax rate of 21% to pretax loss as a result of the following differences for the years ended December 31, 2023 and 2022:</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160" w:type="dxa"/>
            <w:vAlign w:val="bottom"/>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(88,187)</w:t>
            </w:r>
          </w:p>
        </w:tc>
        <w:tc>
          <w:tcPr>
            <w:tcW w:w="50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(104,096)</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w w:val="97"/>
              </w:rPr>
              <w:t>(18,522)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(21,542)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Pay-to-Play equity financing charge (permanent difference)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11,729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(433)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(539)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(947)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4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10,781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500" w:type="dxa"/>
            <w:vAlign w:val="bottom"/>
            <w:gridSpan w:val="2"/>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0.68%</w:t>
            </w:r>
          </w:p>
        </w:tc>
        <w:tc>
          <w:tcPr>
            <w:tcW w:w="1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500" w:type="dxa"/>
            <w:vAlign w:val="bottom"/>
            <w:vMerge w:val="continue"/>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6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0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$45,600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$38,929</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4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4,989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4,388</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1,105</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4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736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R&amp;E Sec 174</w:t>
            </w:r>
          </w:p>
        </w:tc>
        <w:tc>
          <w:tcPr>
            <w:tcW w:w="4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9,533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6,688</w:t>
            </w: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372"/>
        </w:trPr>
        <w:tc>
          <w:tcPr>
            <w:tcW w:w="3520" w:type="dxa"/>
            <w:vAlign w:val="bottom"/>
          </w:tcPr>
          <w:p>
            <w:pPr>
              <w:spacing w:after="0"/>
              <w:rPr>
                <w:sz w:val="24"/>
                <w:szCs w:val="24"/>
                <w:color w:val="auto"/>
              </w:rPr>
            </w:pPr>
          </w:p>
        </w:tc>
        <w:tc>
          <w:tcPr>
            <w:tcW w:w="3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F-23</w:t>
            </w:r>
          </w:p>
        </w:tc>
        <w:tc>
          <w:tcPr>
            <w:tcW w:w="6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52,337</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(60,937)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(51,225)</w:t>
            </w:r>
          </w:p>
        </w:tc>
      </w:tr>
      <w:tr>
        <w:trPr>
          <w:trHeight w:val="27"/>
        </w:trPr>
        <w:tc>
          <w:tcPr>
            <w:tcW w:w="6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1,033</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2023 and 2022, the valuation allowance was $60.9 million and $51.2 million, respectively. The increase of $9.7 million in the Company’s valuation allowance as of December 31, 2023 compared to the prior year was primarily due to an increase in deferred tax assets arising from capitalized research and experimental expenditures and net operating losses.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December 31, 2023, the Company had U.S. federal net operating loss (“NOL”) carryforwards of $186.8 million and U.S. state NOL carryforwards of $90.9 million. The U.S. federal NOL carryforwards will begin to expire in the year 2030 and the state NOL carryforwards will also begin to expire in the year 2030. As of December 31, 2023, the Company had federal tax credit carryforwards of $4.8 million available to offset future U.S. federal income taxes payable, which will begin to expire in the year 2035. As of December 31, 2023, the Company had state tax credit carryforwards of $3.7 million available to offset future state income taxes payable and foreign tax credits of $1.1 million available to offset future India income taxes payable.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income tax expense. Management determined that no accrual for interest and penalties was required as of December 31, 2023 and 2022.</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It is the Company’s policy to indefinitely reinvest undistributed earnings of their foreign subsidiaries and hence, no deferred tax liability for withholding taxes on undistributed earnings is required.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5"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left="120" w:right="780" w:firstLine="440"/>
        <w:spacing w:after="0" w:line="312" w:lineRule="auto"/>
        <w:rPr>
          <w:sz w:val="20"/>
          <w:szCs w:val="20"/>
          <w:color w:val="auto"/>
        </w:rPr>
      </w:pPr>
      <w:r>
        <w:rPr>
          <w:rFonts w:ascii="Times New Roman" w:cs="Times New Roman" w:eastAsia="Times New Roman" w:hAnsi="Times New Roman"/>
          <w:sz w:val="17"/>
          <w:szCs w:val="17"/>
          <w:color w:val="auto"/>
        </w:rPr>
        <w:t>The Company applied FASB ASC 740 10 50, Accounting for Uncertainty in Income Tax, which prescribes a recognition threshold and measurement attribute for the financial statement recognition and measurement of a tax position taken or expected to be taken in a tax return.</w:t>
      </w:r>
    </w:p>
    <w:p>
      <w:pPr>
        <w:spacing w:after="0" w:line="140"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Company had unrecognized tax benefits of approximately $4.3 million and $3.8 million as of December 31, 2023 and 2022,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beginning and ending unrecognized tax benefits amounts is as follows as of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6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$3,811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$2,985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472</w:t>
            </w:r>
          </w:p>
        </w:tc>
        <w:tc>
          <w:tcPr>
            <w:tcW w:w="9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related to current year</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3,811</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Paycheck Protection Program Loan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February 24, 2021, the Company received loan proceeds of approximately $1.1 million, under the Paycheck Protection Program (“PPP”). On July 14, 2022, the Company received notification from the Small Business Association that the Company’s Forgiveness Application of the PPP Loan and accrued interest, totaling $1.1 million, was approved in full, and the Company had no further obligations related to the PPP Loan. Accordingly, the Company recorded a gain on the forgiveness of the PPP Loan of $1.1 million during the year ended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D-2 Convertible Notes: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through August 2022, the Company raised $30.8 million in proceeds from the issuance of convertible notes (the “Series D-2 Notes”). The Series D-2 Notes were unsecured and carried terms of interest at ten (10) percent with maturities in August 2023. The Series D-2 Notes had a number of potential settlement provisions, including automatic conversion of principal and accrued interest into the new series in the event of a Private Investment in Public Entity (“PIPE”) transaction, and optional conversion into Series D at $10.4425 per share upon a corporate event. The noteholders could also elect redemption at accrued interest plus three times the principal upon a corporate event. As to one Series D-2 note for $10.0 million, any unpaid principal and interest would automatically convert into shares of Series D preferred stock at $10.4425 per share. For the remaining $20.8 million in Series D-2 Notes, upon either the Next Equity Financing, as defined, or at maturity, the principal and accrued interest would automatically convert into the series and at a price to be mutually agreed between the Company and the noteholders.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60"/>
          </w:cols>
          <w:pgMar w:left="320" w:top="455" w:right="5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September 19, 2022, the aggregate outstanding principal and accrued interest of the Series D-2 Notes, totaling $31.9 million, was converted into 6,435,447 shares of Preferred Series D-2 at $4.9717 per share. The investors also received warrants to purchase up to a total of 756,172 shares of Series D-2 preferred stock at $4.9717 per share, expiring in September 2025. The warrants were valued at $2.1618 per share, resulting in $1.6 million allocated to Warrant Liabilities (see Note 9).</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Since the $10.0 million Series D-2 note did not have a provision regarding a Next Equity Financing or an option for a series and price to be agreed by the Company and the noteholders, conversion of that note and interest of $0.6 million is treated as a loss on extinguishment. The remaining</w:t>
      </w:r>
    </w:p>
    <w:p>
      <w:pPr>
        <w:ind w:left="120" w:right="300"/>
        <w:spacing w:after="0" w:line="253" w:lineRule="auto"/>
        <w:rPr>
          <w:sz w:val="20"/>
          <w:szCs w:val="20"/>
          <w:color w:val="auto"/>
        </w:rPr>
      </w:pPr>
      <w:r>
        <w:rPr>
          <w:rFonts w:ascii="Times New Roman" w:cs="Times New Roman" w:eastAsia="Times New Roman" w:hAnsi="Times New Roman"/>
          <w:sz w:val="18"/>
          <w:szCs w:val="18"/>
          <w:color w:val="auto"/>
        </w:rPr>
        <w:t>$20.8 million in notes and accrued interest of $0.6 million, totaling $21.4 million, was converted under the original terms, and no gain or loss is recognized on the transaction itself. Interest converted for all of the Series D-2 Notes was calculated as of August 31, 2022. Interest from that date through September 19, 2022 totaling $0.2 million was forfeited. Imputation of the forfeited interest resulted in a $52,000 loss on extinguishment and recognition of $0.1 million in interest expense at the time of conversion (see Notes 4 and 9).</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December 2022, in connection with the Company’s 2022 Pay-to-Play (“P2P”) transaction (the “P2P Transaction”), the Company entered into a Note Purchase and Exchange Agreement (“2022 P2P NPA”) with a group of lenders (each, a “Lender” and collectively, the “Lenders”). Total proceeds received in November and December 2022 under the 2022 P2P NPA approximated $2.9 million. In January and February of 2023, the Company received an additional $9.3 million in proceeds from the issuance of P2P Notes, amounts received in 2022 and 2023 are referred to collectively as the “P2P Notes” (see Note 14). Pursuant to the 2022 P2P NPA, each Lender will pay the Company an agreed upon amount (“Consideration”) in return for one or more promissory notes. The P2P Notes have a 24-month term from the date of the 2022 P2P NPA which is December 9, 2024.</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57"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9 and 14).</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elected to measure the P2P Notes, for the respective year issued, in their entirety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2023 and 2022, the Company recognized a change in fair value from the P2P Notes of approximately $2.7 million and $0.5 million, respectively, (see Notes 4 and 14). Upfront costs and fees related to items for which the fair value option is elected must be recognized immediately. As such issuance costs (warrants) and fees associated with the convertible notes were recognized in current earnings.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11)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11). Additionally, certain investors in the P2P Notes also received warrants (the “P2P Warrants”) whose total exercise price is determined based on the timing of investment as well as the level of investor participation vis-à-vis each investor’s designated pro-rata portion (see Note 9).</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certain investors who previously had their preferred stock and Series D warrants converted to common stock and common stock warrants, respectively, in connection with the 2022 conversion event, invested in additional P2P Notes. The resulting Pull-Through Exchange reinstated their Converted Common stock into share of the class(es) of Shadow Preferred Stock identical to those held prior to the 2022 conversion event (see Note 11) and reinstated their warrants into Series D Shadow preferred stock warrants (see Note 9). The fair value of the Series D warrants at reinstatement, approximating $61,000, was recognized as a component of the Pay-to-Play financing charge for the year ended December 31, 2023 (see Note 4).</w:t>
      </w:r>
    </w:p>
    <w:p>
      <w:pPr>
        <w:spacing w:after="0" w:line="18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2023 Notes: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a new note purchase agreement dated July 3, 2023, as amended on August 1, 2023 to refine the valuation cap definition (the “2023 NPA”) (see Note 14).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00" w:hanging="424"/>
        <w:spacing w:after="0" w:line="261"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w:t>
      </w:r>
    </w:p>
    <w:p>
      <w:pPr>
        <w:ind w:left="1080" w:right="60" w:firstLine="8"/>
        <w:spacing w:after="0" w:line="265" w:lineRule="auto"/>
        <w:tabs>
          <w:tab w:leader="none" w:pos="137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 share liquidation preference shall be 1.5 times the conversion price, (B) the initial conversion price for purposes of price-based anti-dilution protection will equal the conversion price, (C) the basis for any dividend rights will be based on the conversion price, and</w:t>
      </w:r>
    </w:p>
    <w:p>
      <w:pPr>
        <w:ind w:left="1080" w:right="200" w:firstLine="8"/>
        <w:spacing w:after="0" w:line="260" w:lineRule="auto"/>
        <w:tabs>
          <w:tab w:leader="none" w:pos="137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rank senior to the other equity securities existing at the time of the applicable conversion with respect to liquidation preference.</w:t>
      </w:r>
    </w:p>
    <w:p>
      <w:pPr>
        <w:spacing w:after="0" w:line="86"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(January 3,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$11.50 per share or a calculated per share value based on a defined valuation cap and fully-diluted capital immediately prior to the SPAC transaction.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2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9 and 14).</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 change in fair value of approximately $6.9 million (see Note 4). Upfront costs and fees related to items for which the fair value option is elected must be recognized immediately. As such issuance costs (warrants) and fees associated with the convertible notes were recognized in current earnings.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One investor who purchased a 2023 Convertible Note also received an RSU grant for a total of 6.0 million RSUs (see Note 14)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 million awards outstanding and issue 6.0 million shares of common stock (see Note 12).</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December 31, 2023 is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$ 14,641</w:t>
            </w: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18,064</w:t>
            </w:r>
          </w:p>
        </w:tc>
      </w:tr>
      <w:tr>
        <w:trPr>
          <w:trHeight w:val="22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Debt discount and loan fees</w:t>
            </w:r>
          </w:p>
        </w:tc>
        <w:tc>
          <w:tcPr>
            <w:tcW w:w="3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4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(14,641)</w:t>
            </w:r>
          </w:p>
        </w:tc>
      </w:tr>
      <w:tr>
        <w:trPr>
          <w:trHeight w:val="223"/>
        </w:trPr>
        <w:tc>
          <w:tcPr>
            <w:tcW w:w="3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portion</w:t>
            </w:r>
          </w:p>
        </w:tc>
        <w:tc>
          <w:tcPr>
            <w:tcW w:w="3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$ 18,064</w:t>
            </w:r>
          </w:p>
        </w:tc>
        <w:tc>
          <w:tcPr>
            <w:tcW w:w="10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4300" w:type="dxa"/>
            <w:vAlign w:val="bottom"/>
            <w:gridSpan w:val="3"/>
          </w:tcPr>
          <w:p>
            <w:pPr>
              <w:jc w:val="right"/>
              <w:ind w:right="3560"/>
              <w:spacing w:after="0"/>
              <w:rPr>
                <w:sz w:val="20"/>
                <w:szCs w:val="20"/>
                <w:color w:val="auto"/>
              </w:rPr>
            </w:pPr>
            <w:r>
              <w:rPr>
                <w:rFonts w:ascii="Times New Roman" w:cs="Times New Roman" w:eastAsia="Times New Roman" w:hAnsi="Times New Roman"/>
                <w:sz w:val="18"/>
                <w:szCs w:val="18"/>
                <w:color w:val="auto"/>
              </w:rPr>
              <w:t>F-29</w:t>
            </w:r>
          </w:p>
        </w:tc>
      </w:tr>
    </w:tbl>
    <w:p>
      <w:pPr>
        <w:sectPr>
          <w:pgSz w:w="11900" w:h="16838" w:orient="portrait"/>
          <w:cols w:equalWidth="0" w:num="1">
            <w:col w:w="11140"/>
          </w:cols>
          <w:pgMar w:left="320" w:top="455"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 term demand notes totaling $5.1 million, of which $4.8 million remains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14 and 17).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Warrants: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2022, in connection with issuance of Series D-2 convertible preferred stock, the Company issued warrants to purchase up to 756,172 shares of Series D-2 convertible preferred stock. These Series D-2 warrants are exercisable at $4.9717 per share and expire in September 2025. The preferred stock warrants were valued using the Black-Scholes method, resulting in a total of $1.6 million allocated from the proceeds of the Series D-2 Preferred Stock.</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30, 2022, in connection with the Company’s conversion of preferred stock into common stock and related reverse stock split (see Notes 2, 8 and 11), preferred stock warrants exercisable for shares of the Company’s Series D and Series D-2 Preferred Stock outstanding prior to this stock conversion (the “Existing Warrants”) became exercisable into shares of the Converted Common stock, each with the number of shares and the per share exercise price subject to the appropriate adjustment to reflect common stock (as adjusted for the reverse stock split) instead of preferred stock. Upon conversion to common stock warrants, the warrant liability was revalued as of the conversion date and reclassified into equity (see Note 4). The warrants exercisable into Converted Common retained all other terms and conditions of the Existing Warrants. All preferred stock warrants exercisable into Series D-2 Preferred Stock were automatically reinstated as warrants exercisable into Series D-2 Shadow Preferred Stock. Investors in the P2P Notes who previously held Series D preferred stock warrants were also eligible for a Pull-Through exchange of their Converted Common warrants (held just prior to their P2P investment) into Series D Shadow preferred stock warrants. As of December 31, 2022, 1,545 Series D Shadow Preferred Stock warrants were issued whose fair value was not material.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P2P Warrants:</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8 and 14) also received P2P Warrants for no additional consideration resulting in the allocation of proceeds between the P2P Notes and P2P Warrants.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P2P NPA and related warrant agreements, the 2022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8) and reclassified from equity to warrant liability.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2023 Convertible Note Warrants:</w:t>
      </w:r>
    </w:p>
    <w:p>
      <w:pPr>
        <w:spacing w:after="0" w:line="119"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five years from issuance (see Note 14). The 2023 Convertible Note Warrants were granted for no additional consideration resulting in the allocation of proceeds between the 2023 Convertible Note and 2023 Convertible Note Warrants (see Notes 8 and 14).</w:t>
      </w:r>
    </w:p>
    <w:p>
      <w:pPr>
        <w:spacing w:after="0" w:line="180"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w:t>
      </w:r>
    </w:p>
    <w:p>
      <w:pPr>
        <w:spacing w:after="0" w:line="2" w:lineRule="exact"/>
        <w:rPr>
          <w:sz w:val="20"/>
          <w:szCs w:val="20"/>
          <w:color w:val="auto"/>
        </w:rPr>
      </w:pPr>
    </w:p>
    <w:p>
      <w:pPr>
        <w:ind w:left="120" w:hanging="4"/>
        <w:spacing w:after="0" w:line="260" w:lineRule="auto"/>
        <w:tabs>
          <w:tab w:leader="none" w:pos="36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a per share price equal to the value of the consideration payable to the holder of each share of common stock of the Company. The Exercise price is defined as follows: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 funded warrant agreement (the “Pre-funded Warrant”) with one of the parties to the Merger. The Pre- funded Warrant is only exercisable at the closing of the Merger and becomes null and void if the Merger Agreement is terminated. The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Pre-funded Warrant is 6,833,333, wherein a portion of this total share amount is subject to reduction, depending on the Available Acquiror Cash, as defined in the Merger Agreement, at closing. Pursuant to the terms of the Pre-Funded Warrant, in no case would the holder receive less than 2,500,000 shares of BurTech Class A common stock at closing.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outstanding warrants consisted of the following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 warrant shares at</w:t>
            </w:r>
          </w:p>
        </w:tc>
        <w:tc>
          <w:tcPr>
            <w:tcW w:w="560" w:type="dxa"/>
            <w:vAlign w:val="bottom"/>
          </w:tcPr>
          <w:p>
            <w:pPr>
              <w:spacing w:after="0"/>
              <w:rPr>
                <w:sz w:val="13"/>
                <w:szCs w:val="13"/>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Approximate fair value at</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60" w:type="dxa"/>
            <w:vAlign w:val="bottom"/>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Warrant Type:</w:t>
            </w:r>
          </w:p>
        </w:tc>
        <w:tc>
          <w:tcPr>
            <w:tcW w:w="3180" w:type="dxa"/>
            <w:vAlign w:val="bottom"/>
            <w:gridSpan w:val="2"/>
            <w:vMerge w:val="restart"/>
          </w:tcPr>
          <w:p>
            <w:pPr>
              <w:spacing w:after="0"/>
              <w:rPr>
                <w:sz w:val="10"/>
                <w:szCs w:val="10"/>
                <w:color w:val="auto"/>
              </w:rPr>
            </w:pPr>
          </w:p>
        </w:tc>
        <w:tc>
          <w:tcPr>
            <w:tcW w:w="13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560" w:type="dxa"/>
            <w:vAlign w:val="bottom"/>
          </w:tcPr>
          <w:p>
            <w:pPr>
              <w:spacing w:after="0"/>
              <w:rPr>
                <w:sz w:val="10"/>
                <w:szCs w:val="10"/>
                <w:color w:val="auto"/>
              </w:rPr>
            </w:pPr>
          </w:p>
        </w:tc>
        <w:tc>
          <w:tcPr>
            <w:tcW w:w="64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2022 </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4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5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D Shadow Preferred Warrants</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338,495</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1,545</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8"/>
              </w:rPr>
              <w:t>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756,172</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756,172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3"/>
                <w:szCs w:val="13"/>
                <w:color w:val="auto"/>
              </w:rPr>
              <w:t>(a )</w:t>
            </w:r>
          </w:p>
        </w:tc>
        <w:tc>
          <w:tcPr>
            <w:tcW w:w="5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(a )</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7"/>
              <w:spacing w:after="0"/>
              <w:rPr>
                <w:sz w:val="20"/>
                <w:szCs w:val="20"/>
                <w:color w:val="auto"/>
              </w:rPr>
            </w:pPr>
            <w:r>
              <w:rPr>
                <w:rFonts w:ascii="Times New Roman" w:cs="Times New Roman" w:eastAsia="Times New Roman" w:hAnsi="Times New Roman"/>
                <w:sz w:val="13"/>
                <w:szCs w:val="13"/>
                <w:color w:val="auto"/>
              </w:rPr>
              <w:t>(a )</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1060"/>
              <w:spacing w:after="0"/>
              <w:rPr>
                <w:sz w:val="20"/>
                <w:szCs w:val="20"/>
                <w:color w:val="auto"/>
              </w:rPr>
            </w:pPr>
            <w:r>
              <w:rPr>
                <w:rFonts w:ascii="Times New Roman" w:cs="Times New Roman" w:eastAsia="Times New Roman" w:hAnsi="Times New Roman"/>
                <w:sz w:val="13"/>
                <w:szCs w:val="13"/>
                <w:color w:val="auto"/>
              </w:rPr>
              <w:t>(c )</w:t>
            </w:r>
          </w:p>
        </w:tc>
        <w:tc>
          <w:tcPr>
            <w:tcW w:w="56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(c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Common stock warrants</w:t>
            </w:r>
            <w:r>
              <w:rPr>
                <w:rFonts w:ascii="Times New Roman" w:cs="Times New Roman" w:eastAsia="Times New Roman" w:hAnsi="Times New Roman"/>
                <w:sz w:val="25"/>
                <w:szCs w:val="25"/>
                <w:color w:val="auto"/>
                <w:vertAlign w:val="superscript"/>
              </w:rPr>
              <w:t>(b)</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104.43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2,063</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Pre-funded common stock warrant</w:t>
            </w:r>
            <w:r>
              <w:rPr>
                <w:rFonts w:ascii="Times New Roman" w:cs="Times New Roman" w:eastAsia="Times New Roman" w:hAnsi="Times New Roman"/>
                <w:sz w:val="25"/>
                <w:szCs w:val="25"/>
                <w:color w:val="auto"/>
                <w:vertAlign w:val="superscript"/>
              </w:rPr>
              <w:t>(d)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(d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1,096,730</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793,471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3,730</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0" w:hanging="424"/>
        <w:spacing w:after="0" w:line="254"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December 31, 2023 or 2022, therefore, the exercise price is only estimated in aggregate based on individual investor participation levels and timing of investment. The aggregate exercise price is $2.5 million and $0.9 million as of December 31, 2023 and 2022, respectively. The Company’s valuation of its P2P Warrants assumes a range of expected warrant shares of 694,397 to 721,086 and 669,782 to 726,563 shares of either common stock or a future preferred stock series as of December 31, 2023 and 2022, respectively.</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reverse stock split. These common stock warrants are classified in equity as of December 31, 2022. During January 2023, 336,950 of the Series D Preferred Warrants were reinstated upon the investor participating in the P2P Note extension.</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2023 Convertible Note Warrants as well as the related aggregate exercise price is not determinable as of December 31, 2023 due to the variable settlement terms. As of December 31, 2023, the aggregate fixed monetary amount that will serve as the basis of calculating the number of warrant shares into which the 2023 Convertible Notes may be exercised into is</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w:t>
      </w:r>
    </w:p>
    <w:p>
      <w:pPr>
        <w:spacing w:after="0" w:line="9"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The number of warrant shares is estimated based on the total Company common shares that would be required to be issued to be exchanged for the maximum number of BurTech Class A Common. As of December 31, 2023, the Company common shares is estimated at 7,007,582 shares.</w:t>
      </w:r>
    </w:p>
    <w:p>
      <w:pPr>
        <w:spacing w:after="0" w:line="18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Series D, Shadow Series D, Series D-2 and Shadow Series D-2 preferred stock warrants at issuance and as of the respective year end were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 to 2023:</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Series D</w:t>
            </w:r>
          </w:p>
        </w:tc>
      </w:tr>
      <w:tr>
        <w:trPr>
          <w:trHeight w:val="148"/>
        </w:trPr>
        <w:tc>
          <w:tcPr>
            <w:tcW w:w="28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Shadow</w:t>
            </w:r>
          </w:p>
        </w:tc>
      </w:tr>
      <w:tr>
        <w:trPr>
          <w:trHeight w:val="149"/>
        </w:trPr>
        <w:tc>
          <w:tcPr>
            <w:tcW w:w="28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r>
      <w:tr>
        <w:trPr>
          <w:trHeight w:val="148"/>
        </w:trPr>
        <w:tc>
          <w:tcPr>
            <w:tcW w:w="28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 warrant</w:t>
            </w:r>
          </w:p>
        </w:tc>
      </w:tr>
      <w:tr>
        <w:trPr>
          <w:trHeight w:val="173"/>
        </w:trPr>
        <w:tc>
          <w:tcPr>
            <w:tcW w:w="282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reinstatement</w:t>
            </w:r>
          </w:p>
        </w:tc>
        <w:tc>
          <w:tcPr>
            <w:tcW w:w="200" w:type="dxa"/>
            <w:vAlign w:val="bottom"/>
            <w:tcBorders>
              <w:bottom w:val="single" w:sz="8" w:color="CCEEFF"/>
            </w:tcBorders>
          </w:tcPr>
          <w:p>
            <w:pPr>
              <w:spacing w:after="0"/>
              <w:rPr>
                <w:sz w:val="15"/>
                <w:szCs w:val="15"/>
                <w:color w:val="auto"/>
              </w:rPr>
            </w:pP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r>
      <w:tr>
        <w:trPr>
          <w:trHeight w:val="365"/>
        </w:trPr>
        <w:tc>
          <w:tcPr>
            <w:tcW w:w="2820" w:type="dxa"/>
            <w:vAlign w:val="bottom"/>
          </w:tcPr>
          <w:p>
            <w:pPr>
              <w:spacing w:after="0"/>
              <w:rPr>
                <w:sz w:val="24"/>
                <w:szCs w:val="24"/>
                <w:color w:val="auto"/>
              </w:rPr>
            </w:pPr>
          </w:p>
        </w:tc>
        <w:tc>
          <w:tcPr>
            <w:tcW w:w="3680" w:type="dxa"/>
            <w:vAlign w:val="bottom"/>
            <w:gridSpan w:val="2"/>
          </w:tcPr>
          <w:p>
            <w:pPr>
              <w:jc w:val="right"/>
              <w:ind w:right="2508"/>
              <w:spacing w:after="0"/>
              <w:rPr>
                <w:sz w:val="20"/>
                <w:szCs w:val="20"/>
                <w:color w:val="auto"/>
              </w:rPr>
            </w:pPr>
            <w:r>
              <w:rPr>
                <w:rFonts w:ascii="Times New Roman" w:cs="Times New Roman" w:eastAsia="Times New Roman" w:hAnsi="Times New Roman"/>
                <w:sz w:val="18"/>
                <w:szCs w:val="18"/>
                <w:color w:val="auto"/>
              </w:rPr>
              <w:t>F-32</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Specific to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Series D-2</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340" w:type="dxa"/>
            <w:vAlign w:val="bottom"/>
          </w:tcPr>
          <w:p>
            <w:pPr>
              <w:spacing w:after="0"/>
              <w:rPr>
                <w:sz w:val="12"/>
                <w:szCs w:val="12"/>
                <w:color w:val="auto"/>
              </w:rPr>
            </w:pPr>
          </w:p>
        </w:tc>
        <w:tc>
          <w:tcPr>
            <w:tcW w:w="238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Series D Preferred Stock</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Warrants</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2"/>
            <w:vMerge w:val="restart"/>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820" w:type="dxa"/>
            <w:vAlign w:val="bottom"/>
            <w:gridSpan w:val="4"/>
          </w:tcPr>
          <w:p>
            <w:pPr>
              <w:jc w:val="center"/>
              <w:ind w:left="1119"/>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3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Series D-2</w:t>
            </w:r>
          </w:p>
        </w:tc>
        <w:tc>
          <w:tcPr>
            <w:tcW w:w="1760" w:type="dxa"/>
            <w:vAlign w:val="bottom"/>
            <w:gridSpan w:val="3"/>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760" w:type="dxa"/>
            <w:vAlign w:val="bottom"/>
            <w:gridSpan w:val="3"/>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debt</w:t>
            </w:r>
          </w:p>
        </w:tc>
        <w:tc>
          <w:tcPr>
            <w:tcW w:w="7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7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60.50%</w:t>
            </w:r>
          </w:p>
        </w:tc>
        <w:tc>
          <w:tcPr>
            <w:tcW w:w="1760" w:type="dxa"/>
            <w:vAlign w:val="bottom"/>
            <w:gridSpan w:val="3"/>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65.00%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760" w:type="dxa"/>
            <w:vAlign w:val="bottom"/>
            <w:gridSpan w:val="3"/>
          </w:tcPr>
          <w:p>
            <w:pPr>
              <w:jc w:val="right"/>
              <w:ind w:right="508"/>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w:t>
            </w:r>
          </w:p>
        </w:tc>
        <w:tc>
          <w:tcPr>
            <w:tcW w:w="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gridSpan w:val="6"/>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Series D-2 Shadow Preferred</w:t>
            </w:r>
          </w:p>
        </w:tc>
        <w:tc>
          <w:tcPr>
            <w:tcW w:w="160" w:type="dxa"/>
            <w:vAlign w:val="bottom"/>
          </w:tcPr>
          <w:p>
            <w:pPr>
              <w:spacing w:after="0"/>
              <w:rPr>
                <w:sz w:val="13"/>
                <w:szCs w:val="13"/>
                <w:color w:val="auto"/>
              </w:rPr>
            </w:pPr>
          </w:p>
        </w:tc>
        <w:tc>
          <w:tcPr>
            <w:tcW w:w="22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Series D Shadow Preferred</w:t>
            </w:r>
          </w:p>
        </w:tc>
      </w:tr>
      <w:tr>
        <w:trPr>
          <w:trHeight w:val="173"/>
        </w:trPr>
        <w:tc>
          <w:tcPr>
            <w:tcW w:w="3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Stock Warrants</w:t>
            </w:r>
          </w:p>
        </w:tc>
        <w:tc>
          <w:tcPr>
            <w:tcW w:w="58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Stock Warrants</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2023 </w:t>
            </w: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10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2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5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2022 </w:t>
            </w:r>
          </w:p>
        </w:tc>
        <w:tc>
          <w:tcPr>
            <w:tcW w:w="200" w:type="dxa"/>
            <w:vAlign w:val="bottom"/>
            <w:tcBorders>
              <w:bottom w:val="single" w:sz="8" w:color="CCEEFF"/>
            </w:tcBorders>
          </w:tcPr>
          <w:p>
            <w:pPr>
              <w:spacing w:after="0"/>
              <w:rPr>
                <w:sz w:val="12"/>
                <w:szCs w:val="12"/>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0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0.16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52.50%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60.50%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52.50%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5.76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 The following summarizes the related valuation assumptions: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issuance:</w:t>
      </w:r>
    </w:p>
    <w:p>
      <w:pPr>
        <w:spacing w:after="0" w:line="246"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Warrants issued with</w:t>
      </w: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P2P Notes</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Borders>
              <w:top w:val="single" w:sz="8" w:color="auto"/>
            </w:tcBorders>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40" w:type="dxa"/>
            <w:vAlign w:val="bottom"/>
            <w:tcBorders>
              <w:top w:val="single" w:sz="8" w:color="auto"/>
            </w:tcBorders>
            <w:gridSpan w:val="3"/>
          </w:tcPr>
          <w:p>
            <w:pPr>
              <w:jc w:val="center"/>
              <w:ind w:left="3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88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4.09% – 4.65%</w:t>
            </w: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 – 4.73%</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1.0 – 1.94 years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66.6% – 71.6%</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8"/>
              </w:rPr>
              <w:t>0.00%</w:t>
            </w:r>
          </w:p>
        </w:tc>
        <w:tc>
          <w:tcPr>
            <w:tcW w:w="2040" w:type="dxa"/>
            <w:vAlign w:val="bottom"/>
            <w:gridSpan w:val="3"/>
          </w:tcPr>
          <w:p>
            <w:pPr>
              <w:jc w:val="center"/>
              <w:ind w:left="375"/>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92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$1.51</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$1.51</w:t>
            </w:r>
          </w:p>
        </w:tc>
      </w:tr>
      <w:tr>
        <w:trPr>
          <w:trHeight w:val="234"/>
        </w:trPr>
        <w:tc>
          <w:tcPr>
            <w:tcW w:w="8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8"/>
              </w:rPr>
              <w:t>$0.46</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8"/>
              </w:rPr>
              <w:t>$0.46</w:t>
            </w:r>
          </w:p>
        </w:tc>
      </w:tr>
      <w:tr>
        <w:trPr>
          <w:trHeight w:val="4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and December 31, 2022:</w:t>
            </w: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7"/>
        </w:trPr>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w:t>
            </w:r>
          </w:p>
        </w:tc>
      </w:tr>
      <w:tr>
        <w:trPr>
          <w:trHeight w:val="173"/>
        </w:trPr>
        <w:tc>
          <w:tcPr>
            <w:tcW w:w="8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right="1290"/>
              <w:spacing w:after="0"/>
              <w:rPr>
                <w:sz w:val="20"/>
                <w:szCs w:val="20"/>
                <w:color w:val="auto"/>
              </w:rPr>
            </w:pPr>
            <w:r>
              <w:rPr>
                <w:rFonts w:ascii="Times New Roman" w:cs="Times New Roman" w:eastAsia="Times New Roman" w:hAnsi="Times New Roman"/>
                <w:sz w:val="14"/>
                <w:szCs w:val="14"/>
                <w:b w:val="1"/>
                <w:bCs w:val="1"/>
                <w:color w:val="auto"/>
              </w:rPr>
              <w:t>P2P Notes</w:t>
            </w:r>
          </w:p>
        </w:tc>
      </w:tr>
      <w:tr>
        <w:trPr>
          <w:trHeight w:val="142"/>
        </w:trPr>
        <w:tc>
          <w:tcPr>
            <w:tcW w:w="8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40" w:type="dxa"/>
            <w:vAlign w:val="bottom"/>
            <w:gridSpan w:val="3"/>
          </w:tcPr>
          <w:p>
            <w:pPr>
              <w:jc w:val="center"/>
              <w:ind w:left="3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88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4.54% – 4.79%</w:t>
            </w: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 – 4.73%</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20" w:type="dxa"/>
            <w:vAlign w:val="bottom"/>
          </w:tcPr>
          <w:p>
            <w:pPr>
              <w:spacing w:after="0"/>
              <w:rPr>
                <w:sz w:val="18"/>
                <w:szCs w:val="18"/>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1.0 – 1.44 years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 1.94 years</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61.2% – 62.3%</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98"/>
              </w:rPr>
              <w:t>0.00%</w:t>
            </w:r>
          </w:p>
        </w:tc>
        <w:tc>
          <w:tcPr>
            <w:tcW w:w="2040" w:type="dxa"/>
            <w:vAlign w:val="bottom"/>
            <w:gridSpan w:val="3"/>
          </w:tcPr>
          <w:p>
            <w:pPr>
              <w:jc w:val="center"/>
              <w:ind w:left="375"/>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2920" w:type="dxa"/>
            <w:vAlign w:val="bottom"/>
            <w:gridSpan w:val="2"/>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$4.16</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$1.51</w:t>
            </w:r>
          </w:p>
        </w:tc>
      </w:tr>
      <w:tr>
        <w:trPr>
          <w:trHeight w:val="234"/>
        </w:trPr>
        <w:tc>
          <w:tcPr>
            <w:tcW w:w="8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920" w:type="dxa"/>
            <w:vAlign w:val="bottom"/>
            <w:gridSpan w:val="2"/>
          </w:tcPr>
          <w:p>
            <w:pPr>
              <w:jc w:val="center"/>
              <w:ind w:left="1630"/>
              <w:spacing w:after="0"/>
              <w:rPr>
                <w:sz w:val="20"/>
                <w:szCs w:val="20"/>
                <w:color w:val="auto"/>
              </w:rPr>
            </w:pPr>
            <w:r>
              <w:rPr>
                <w:rFonts w:ascii="Times New Roman" w:cs="Times New Roman" w:eastAsia="Times New Roman" w:hAnsi="Times New Roman"/>
                <w:sz w:val="18"/>
                <w:szCs w:val="18"/>
                <w:color w:val="auto"/>
                <w:w w:val="98"/>
              </w:rPr>
              <w:t>$0.74</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8"/>
              </w:rPr>
              <w:t>$0.46</w:t>
            </w:r>
          </w:p>
        </w:tc>
      </w:tr>
      <w:tr>
        <w:trPr>
          <w:trHeight w:val="346"/>
        </w:trPr>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were valued using the Black-Scholes option pricing model probability-weighted for future event scenarios as defined in the 2023 Convertible Note NPA. The exercise is a floating exercise price, thus, was estimated using a Monte Carlo simulation model. The following summarizes additional related valuation assumptions: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 2023</w:t>
            </w:r>
          </w:p>
        </w:tc>
      </w:tr>
      <w:tr>
        <w:trPr>
          <w:trHeight w:val="173"/>
        </w:trPr>
        <w:tc>
          <w:tcPr>
            <w:tcW w:w="4920" w:type="dxa"/>
            <w:vAlign w:val="bottom"/>
          </w:tcPr>
          <w:p>
            <w:pPr>
              <w:spacing w:after="0"/>
              <w:rPr>
                <w:sz w:val="15"/>
                <w:szCs w:val="15"/>
                <w:color w:val="auto"/>
              </w:rPr>
            </w:pPr>
          </w:p>
        </w:tc>
        <w:tc>
          <w:tcPr>
            <w:tcW w:w="3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4920" w:type="dxa"/>
            <w:vAlign w:val="bottom"/>
          </w:tcPr>
          <w:p>
            <w:pPr>
              <w:spacing w:after="0"/>
              <w:rPr>
                <w:sz w:val="12"/>
                <w:szCs w:val="12"/>
                <w:color w:val="auto"/>
              </w:rPr>
            </w:pPr>
          </w:p>
        </w:tc>
        <w:tc>
          <w:tcPr>
            <w:tcW w:w="190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At Inception</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 – 5.26%</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3.86% – 5.43%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0.51 – 9.51years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10.0years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61.2% – 62.8%</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60.1% – 65.1%</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$0.44</w:t>
            </w:r>
          </w:p>
        </w:tc>
      </w:tr>
    </w:tbl>
    <w:p>
      <w:pPr>
        <w:spacing w:after="0" w:line="17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 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no Company warrants have been exercised.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consolidated statements of operations were as follows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1,035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1,287</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operating leases had a weighted average remaining lease term of 4.0 years and a weighted average discount rate related to the Company’s ROU assets and lease liabilities of 9.8%. As of December 31, 2022, the Company’s operating leases had a weighted average remaining lease term of 2.3 years and a weighted average discount rate related to the Company’s ROU assets and lease liabilities of 10.7%.</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years ended December 31, 2023 and 2022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1,366</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1,673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1,128</w:t>
            </w:r>
          </w:p>
        </w:tc>
      </w:tr>
      <w:tr>
        <w:trPr>
          <w:trHeight w:val="198"/>
        </w:trPr>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variable lease expenses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security deposit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future minimum lease payments under the Company’s non-cancelable operating leases are as follows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8"/>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80"/>
        </w:trPr>
        <w:tc>
          <w:tcPr>
            <w:tcW w:w="5280" w:type="dxa"/>
            <w:vAlign w:val="bottom"/>
            <w:gridSpan w:val="3"/>
            <w:vMerge w:val="continue"/>
          </w:tcPr>
          <w:p>
            <w:pPr>
              <w:spacing w:after="0"/>
              <w:rPr>
                <w:sz w:val="15"/>
                <w:szCs w:val="15"/>
                <w:color w:val="auto"/>
              </w:rPr>
            </w:pPr>
          </w:p>
        </w:tc>
        <w:tc>
          <w:tcPr>
            <w:tcW w:w="1480" w:type="dxa"/>
            <w:vAlign w:val="bottom"/>
          </w:tcPr>
          <w:p>
            <w:pPr>
              <w:spacing w:after="0"/>
              <w:rPr>
                <w:sz w:val="15"/>
                <w:szCs w:val="15"/>
                <w:color w:val="auto"/>
              </w:rPr>
            </w:pPr>
          </w:p>
        </w:tc>
        <w:tc>
          <w:tcPr>
            <w:tcW w:w="7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45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March 2021, the Company issued 4,357,954 shares of Series D redeemable convertible preferred stock for total consideration of $45.5 million, including the conversion of $5 million of outstanding convertible debt. The original issue price and initial conversion price of Series D redeemable convertible preferred stock was $10.4425 per share. Additionally, in connection with the Series D issuance, the Company’s 2019 – 2020 Convertible Securities and 2021 Convertible Notes were automatically converted into 3,935,839 shares of Series D-1 preferred stock at $8.354 per share, or 80% of the $10.4425 price paid by new Series D cash investors. The shares received by the 2019 – 2020 Holders were valued at the $10.4425 per share price paid by new investors, for a total of $41.1 million (see Note 8). The Series D convertible preferred shares were issued with detachable Series D preferred stock warrants expiring February 2024 with $0.8 million in total value allocated to the preferred stock warrant liability (see Note 9).</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the issuance of Series D and Series D-1, the Company executed an Amended and Restated Certificate of Incorporation dated March 22, 2021 increasing the authorized capital stock of the Company to 170,326,200 shares (par value of $0.00001 per share), comprising 104,350,000 shares of common stock and 65,976,200 shares of redeemable convertible preferred stock consisting of Series Seed Preferred Stock (“Seed Preferred”), Series A redeemable convertible preferred stock (“Series A”), Series B redeemable convertible preferred stock (“Series B”), Series C redeemable convertible preferred stock (“Series C), Series D redeemable convertible preferred stock (“Series D”), and Series D-1 redeemable convertible preferred stock (“Series D-1”), together with the Series 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preferred stock, the (“Series D Preferred Stock”). The Series Seed Preferred, Series A, Series B and Series C were junior (“Junior Preferred Stock”) to Series D Stock.</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September 2022, with the conversion of $32.0 million in existing Series D-2 Notes (see Note 8) and incremental cash proceeds of $5.6 million, the Company issued a total of 7,561,820 Series D-2 redeemable convertible preferred stock (“Series D-2”).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 (see Note 9).</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Series D-2 redeemable convertible preferred stock, the Company amended its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(Series D-2).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Series D-2 Stock Purchase Agreement, each investor that was a holder of the Company’s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the Company exchanged 239,405 Series D Shares for Series D Exchange shares. The Company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w:t>
      </w:r>
    </w:p>
    <w:p>
      <w:pPr>
        <w:spacing w:after="0" w:line="19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noted, on November 30, 2022, the Company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8). Investors who did not participate, retained ownership only in Converted Common stock.</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2022, the Pull-Through Exchange resulted in incremental value to the investors in the 2022 P2P Notes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$55.9 million, measured as the difference in the fair value of the Shadow Preferred Stock shares held after the Pull-Through Exchange to the fair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Converted Common held just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prior to the Pull-Through Exchange, which has been accounted for as a Pay-to-Play financing charge in the accompanying consolidated statements of operations.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2023, the Company raised $9.4 million in additional P2P Notes, inclusive of $0.1 million in proceeds from the Common Rights Offering (see Notes 8 and 14). Those shareholders who participated in providing additional funding in 2023 obtained the benefit of the Pull-Through Exchange of their Converted Common into shares of the class(es) of Shadow Preferred Stock identical to those previously held (see Note 8).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accompanying consolidated statements of operations.</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the periods presented were as follows (dollars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Authorized</w:t>
            </w:r>
          </w:p>
        </w:tc>
        <w:tc>
          <w:tcPr>
            <w:tcW w:w="106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0"/>
                <w:szCs w:val="10"/>
                <w:color w:val="auto"/>
              </w:rPr>
            </w:pPr>
          </w:p>
        </w:tc>
        <w:tc>
          <w:tcPr>
            <w:tcW w:w="1260" w:type="dxa"/>
            <w:vAlign w:val="bottom"/>
            <w:gridSpan w:val="5"/>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84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9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5"/>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4,573,935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12,234,661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8,442</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10,211,548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48,661</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3,990,707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41,673</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239,405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30,595</w:t>
            </w:r>
          </w:p>
        </w:tc>
        <w:tc>
          <w:tcPr>
            <w:tcW w:w="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 Exchange Shadow Preferred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7,561,820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37,595</w:t>
            </w:r>
          </w:p>
        </w:tc>
        <w:tc>
          <w:tcPr>
            <w:tcW w:w="4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22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gridSpan w:val="2"/>
          </w:tcPr>
          <w:p>
            <w:pPr>
              <w:spacing w:after="0"/>
              <w:rPr>
                <w:sz w:val="11"/>
                <w:szCs w:val="11"/>
                <w:color w:val="auto"/>
              </w:rPr>
            </w:pPr>
          </w:p>
        </w:tc>
        <w:tc>
          <w:tcPr>
            <w:tcW w:w="464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50"/>
        </w:trPr>
        <w:tc>
          <w:tcPr>
            <w:tcW w:w="7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1"/>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Authorized</w:t>
            </w:r>
          </w:p>
        </w:tc>
        <w:tc>
          <w:tcPr>
            <w:tcW w:w="106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Liquidation</w:t>
            </w:r>
          </w:p>
        </w:tc>
        <w:tc>
          <w:tcPr>
            <w:tcW w:w="4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7"/>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5,032,238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868,054</w:t>
            </w: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15,174,130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2,378,753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18,392,046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1,716,987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13,722,052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3,091,485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14,732</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4,707,494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331,145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3,458</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4,707,494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239,405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310,630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2,595</w:t>
            </w: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D-1 Exchange Shadow Preferred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3,935,839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27,042,965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7,561,820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37,595</w:t>
            </w:r>
          </w:p>
        </w:tc>
      </w:tr>
      <w:tr>
        <w:trPr>
          <w:trHeight w:val="223"/>
        </w:trPr>
        <w:tc>
          <w:tcPr>
            <w:tcW w:w="440" w:type="dxa"/>
            <w:vAlign w:val="bottom"/>
          </w:tcPr>
          <w:p>
            <w:pPr>
              <w:spacing w:after="0"/>
              <w:rPr>
                <w:sz w:val="19"/>
                <w:szCs w:val="19"/>
                <w:color w:val="auto"/>
              </w:rPr>
            </w:pPr>
          </w:p>
        </w:tc>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16,498,279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64,020</w:t>
            </w:r>
          </w:p>
        </w:tc>
        <w:tc>
          <w:tcPr>
            <w:tcW w:w="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60" w:right="3640" w:hanging="5344"/>
        <w:spacing w:after="0" w:line="454" w:lineRule="auto"/>
        <w:tabs>
          <w:tab w:leader="none" w:pos="3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 including cash, issuance of preferred stock warrants &amp; dividend contribution F-37</w:t>
      </w:r>
    </w:p>
    <w:p>
      <w:pPr>
        <w:sectPr>
          <w:pgSz w:w="11900" w:h="16838" w:orient="portrait"/>
          <w:cols w:equalWidth="0" w:num="1">
            <w:col w:w="10940"/>
          </w:cols>
          <w:pgMar w:left="320" w:top="455" w:right="6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8) and related establishment of Shadow Preferred classes remained the same.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5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9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80"/>
          </w:cols>
          <w:pgMar w:left="320" w:top="455"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redemption request could not be made until after the fifth anniversary of the date upon which shares of the Series C Preferred Stock are first issued, or July 2023. Such request was not made as of December 31, 2023 (see Note 8).</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Due to conditions of redemption that are outside the control of the Company, the redeemable convertible preferred stock has been reflected outside of stockholders’ deficit.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each share of Preferred Stock shall automatically be converted into shares of Common Stock at the Conversion Rate immediately upon the earlier of (i) an IPO with resulting gross proceeds of at least $150.0 million, (ii) a Qualified Direct Listing, (iii) a Qualified SPAC Transaction with cash and cash equivalents of at least $225.0 million after redemptions or (iv) upon vote or written consent or agreement of the holders of a majority of the then outstanding shares of Preferred Stock voting as a single class on an as- converted basis.</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30, 2022, the Company’s stockholders approved a ten-for-one reverse stock split of its common stock. The par value of the common stock was not adjusted as a result of the reverse stock split. At December 31, 2023 and 2022, there were 175,095,000 shares of common stock authorized and 17,454,353 and 6,143,294 shares issued and outstanding, respectively.</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December 31, 2023 and 2022,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868,054</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4,573,935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2,378,753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12,234,661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1,716,987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10,211,548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3,091,485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3,990,707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331,145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239,405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239,405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3,662,318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310,630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D-1 Exchange Shadow Preferred</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7,561,820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7,561,820</w:t>
            </w:r>
          </w:p>
        </w:tc>
      </w:tr>
      <w:tr>
        <w:trPr>
          <w:trHeight w:val="198"/>
        </w:trPr>
        <w:tc>
          <w:tcPr>
            <w:tcW w:w="5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Shadow preferred stock</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1,094,667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757,717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2,063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35,754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Pay-to-Play warrants (estimated see Note 9)</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721,086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726,563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40" w:type="dxa"/>
            <w:vAlign w:val="bottom"/>
            <w:gridSpan w:val="2"/>
            <w:shd w:val="clear" w:color="auto" w:fill="CCEEFF"/>
          </w:tcPr>
          <w:p>
            <w:pPr>
              <w:jc w:val="right"/>
              <w:ind w:right="38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9)</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7,007,582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21,354,809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1,463,753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839,706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1,461,660</w:t>
            </w:r>
          </w:p>
        </w:tc>
      </w:tr>
      <w:tr>
        <w:trPr>
          <w:trHeight w:val="27"/>
        </w:trPr>
        <w:tc>
          <w:tcPr>
            <w:tcW w:w="59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75,514,616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20,943,726</w:t>
            </w:r>
          </w:p>
        </w:tc>
      </w:tr>
      <w:tr>
        <w:trPr>
          <w:trHeight w:val="20"/>
        </w:trPr>
        <w:tc>
          <w:tcPr>
            <w:tcW w:w="5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6" w:lineRule="exact"/>
        <w:rPr>
          <w:sz w:val="20"/>
          <w:szCs w:val="20"/>
          <w:color w:val="auto"/>
        </w:rPr>
      </w:pPr>
    </w:p>
    <w:p>
      <w:pPr>
        <w:ind w:left="540" w:hanging="424"/>
        <w:spacing w:after="0" w:line="282"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9).</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The Amended Plan has substantially the same terms as the 2011 Plan with the addition the Amended Plan providing for the issuance of RSUs as well as incentive stock options (“ISOs”), and non-qualified stock options (“NQs”) under the original 2011 Plan. The Amended Plan terminates automatically 10 years after the later of (i) the date when the Board of Directors adopted the Plan or (ii) the date when the Board of Directors approved the most recent increase in the number of shares reserved under the Plan that was also approved by the Company’s stockholders. Subject to specific limitations, the Board of Directors may amend, suspend or terminate the Plan at any time and for any reason. Stock options may be immediately exercisable subject to repurchase or may be exercisable as determined by the Board of Directors. The Company has not allowed for early exercises of options under the Amended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Plan,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80"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service-based options outstanding to purchase a total of 16,437,980 shares of common stock under the Plan and 4,916,829 unvested RSUs. As of December 31, 2023, 839,706 shares of common stock were available for issuance for either option or RSU grants under the 2011 Amended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 activity as of December 31, 2023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2021</w:t>
            </w:r>
          </w:p>
        </w:tc>
        <w:tc>
          <w:tcPr>
            <w:tcW w:w="2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1,481,845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7.27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3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(75,744)</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(68,321)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15.58</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December 31, 2022</w:t>
            </w:r>
          </w:p>
        </w:tc>
        <w:tc>
          <w:tcPr>
            <w:tcW w:w="2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1,325,844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5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15,141,280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0.44</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3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0.80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3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0.80</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(19,543)</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15.53</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2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Vested/expected to vest at December 31, 2023</w:t>
            </w:r>
          </w:p>
        </w:tc>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13,907</w:t>
            </w: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options at December 31, 2023</w:t>
            </w:r>
          </w:p>
        </w:tc>
        <w:tc>
          <w:tcPr>
            <w:tcW w:w="35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3,285,911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3.73</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3540" w:type="dxa"/>
            <w:vAlign w:val="bottom"/>
            <w:gridSpan w:val="3"/>
          </w:tcPr>
          <w:p>
            <w:pPr>
              <w:jc w:val="right"/>
              <w:ind w:right="2180"/>
              <w:spacing w:after="0"/>
              <w:rPr>
                <w:sz w:val="20"/>
                <w:szCs w:val="20"/>
                <w:color w:val="auto"/>
              </w:rPr>
            </w:pPr>
            <w:r>
              <w:rPr>
                <w:rFonts w:ascii="Times New Roman" w:cs="Times New Roman" w:eastAsia="Times New Roman" w:hAnsi="Times New Roman"/>
                <w:sz w:val="18"/>
                <w:szCs w:val="18"/>
                <w:color w:val="auto"/>
              </w:rPr>
              <w:t>F-41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2023 and 2022, was zero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$237 thousand, respectively. The intrinsic value is the difference between the estimated fair value of the Company’s common stock at the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and the exercise price for in-the- money options.</w:t>
      </w:r>
    </w:p>
    <w:p>
      <w:pPr>
        <w:spacing w:after="0" w:line="207"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 ended December 31, 2023 and 2022, was $0.25 per share and $10.62 per share, respectively. The total grant date fair value of options that vested during the year ended December 31, 2023 and 2022, was $0.8 million and $1.0 million, respectively.</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approximately $3.4 million of total unrecognized compensation cost related to unvested stock options granted, which is expected to be recognized over the weighted-average period of 2.6 years.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during the years ended December 31, 2023 and 2022,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8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2,111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2,483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1,245</w:t>
            </w:r>
          </w:p>
        </w:tc>
      </w:tr>
      <w:tr>
        <w:trPr>
          <w:trHeight w:val="20"/>
        </w:trPr>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2023 and 2022, was estimated using the Black-Scholes model with the range of assumptions stated below:</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57.09%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$10.62</w:t>
            </w:r>
          </w:p>
        </w:tc>
      </w:tr>
    </w:tbl>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5"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six million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8 and 14), for the year ended December 31, 2023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48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78,256</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(13,733)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10,929,820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(150,900)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2023, no stock-based compensation expense was recognized for the year presented. The probability will be evaluated each reporting period. As of December 31, 2023, there was $3.6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6 million RSUs issued as part of the 2023 Convertible Note financing were fair valued on the date of grant and recognized as debt financing charge at date of transaction. See Notes 8 and 14. Effective December 21, 2023, as a condition of executing the Merger Agreement, the Company accelerated the vesting associated with the six million RSUs. Upon acceleration, the RSUs were immediately exchanged and 6,000,000 shares of common stock issued. The modification of vesting terms resulted in the recognition of $1.7 million in stock-based compensation expense.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As of December 31, 2023, the Company had outstanding purchase orders and contractual obligations totaling $4.4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During the years ended December 31, 2023 and 2022, the Company purchased $4.4 million and zero, respectively, of inventories as a result of the Company’s obligation to purchase any non-cancelable and non- returnable components that have been purchased by the contract manufacturer with the Company’s preauthorization, when these components have not been consumed within the period defined in the terms of the Company’s agreement with this contract manufacturer. 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2023 and 2022 the Company recorded accrued losses on accrued purchase commitments of</w:t>
      </w:r>
    </w:p>
    <w:p>
      <w:pPr>
        <w:spacing w:after="0" w:line="2" w:lineRule="exact"/>
        <w:rPr>
          <w:sz w:val="20"/>
          <w:szCs w:val="20"/>
          <w:color w:val="auto"/>
        </w:rPr>
      </w:pPr>
    </w:p>
    <w:p>
      <w:pPr>
        <w:jc w:val="right"/>
        <w:ind w:left="120" w:right="5320"/>
        <w:spacing w:after="0" w:line="433" w:lineRule="auto"/>
        <w:rPr>
          <w:sz w:val="20"/>
          <w:szCs w:val="20"/>
          <w:color w:val="auto"/>
        </w:rPr>
      </w:pPr>
      <w:r>
        <w:rPr>
          <w:rFonts w:ascii="Times New Roman" w:cs="Times New Roman" w:eastAsia="Times New Roman" w:hAnsi="Times New Roman"/>
          <w:sz w:val="18"/>
          <w:szCs w:val="18"/>
          <w:color w:val="auto"/>
        </w:rPr>
        <w:t>$3.6 million and $5.4 million, respectively, on the consolidated balance sheets. F-43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From time-to-time,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 or other loss contingencies that will, either individually or in the aggregate, have a material adverse effect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December 22, 2023 Merger Agreement provided that as soon as reasonably practicable following the date of the Merger Agreement, Burkhan and/or its affiliates and/or nominees shall purchase from the Company: (i) convertible promissory notes under the Company’s 2023 NPA (see Note 17) and (ii) the Pre- funded Warrant (see Note 9) for aggregate gross proceeds to the Company of $25.0 million.</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16.3 million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New Blaize common stock exceeding specific thresholds.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Related Party Transactions and Balances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revenues of approximately $3.8 million, or nearly 100% and $3.0 million, or 77% of its total revenues, respectively, from sales to two minority stockholders. As of December 31, 2023 and 2022, there was $0.5 million and $1.1 million, respectively, accounts receivables from one of these two customers, respectively, all of which was unbilled.</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8) with a related party investor holding more than a 10% ownership in the outstanding stock of the Company.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9) for no additional consideration resulting in the allocation of proceeds between the 2023 Convertible Note and the 2023 Convertible Note Warrants. The 2023 Convertible Note and 2023 Convertible Note Warrants held by this investor are subject to adjustments in fair value. As of December 31, 2023, the related party 2023 Convertible Note and 2023 Convertible Note Warrants approximate $7.3 million and $0.9 million, respectively. During the year ended December 31, 2023, the change in fair value for the 2023 Convertible Note and 2023 Convertible Note Warrants equaled $3.0 million and</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$0.2 million, respectively (see Note 4). In conjunction with the issuance of the 2023 Convertible Note, the Company issued six million RSUs to the investor. The issuance date fair value of the RSUs was recognized as a financing charge (see Note 8). In December 2023, the terms of the RSUs were modified resulting in accelerated vesting and immediate issuance of six million common stock shares for which incremental stock-based compensation expense was recorded (see Note 12).</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6% of total revenue for the year ended December 31, 2022, also invested in a P2P Note (see Note 8) in the amount of $3.3 million or 35% of the total P2P proceeds raised in 2023. In accordance with the terms of the 2022 P2P NPA, the minority investor also received P2P Warrants (see Note 9) for no additional consideration resulting in the allocation of proceeds between the P2P Note and the P2P Warrants. The P2P Note and P2P Warrants held by the minority investor are subject to adjustments in fair value. As of December 31, 2023, the related party P2P Note and P2P Warrants approximate $3.9 million and $0.3 million, respectively. During the year ended December 31, 2023, the change in fair value for the P2P Note and P2P Warrants equaled $0.9 million and $32,000, respectively (see Note 4).</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revenue arrangement, representing nearly 100% and 71% of total revenues for the years ended December 31, 2023 and 2022, and all unbilled accounts receivable as of December 31, 2023 and 2022, respectively, also invested in a P2P Note (see Note 8) in the amount of $0.4 million or 13% of the total P2P proceeds raised in 2022. In accordance with the terms of the 2022 P2P NPA, the minority investor also received P2P Warrants equal (see Note 9) for no additional consideration resulting in the allocation of proceeds between the P2P Note and the P2P Warrants. The P2P Note and P2P Warrants held by the minority investor are subject to adjustments in fair value. As of December 31, 2023, the fair value of the related party P2P Note and P2P Warrants approximate $0.4 million and $29,000, respectively. As of December 31, 2022, the related party P2P Note and P2P Warrants approximate $0.4 million and $27,000, respectively. For the year ended December 31, 2022, the change in fair value of the related party P2P Note and P2P Warrants were immaterial (see Note 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Net Loss Per Share Attributable to Common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(87,589)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(104,630)</w:t>
            </w:r>
          </w:p>
        </w:tc>
      </w:tr>
      <w:tr>
        <w:trPr>
          <w:trHeight w:val="198"/>
        </w:trPr>
        <w:tc>
          <w:tcPr>
            <w:tcW w:w="20" w:type="dxa"/>
            <w:vAlign w:val="bottom"/>
          </w:tcPr>
          <w:p>
            <w:pPr>
              <w:spacing w:after="0"/>
              <w:rPr>
                <w:sz w:val="17"/>
                <w:szCs w:val="17"/>
                <w:color w:val="auto"/>
              </w:rPr>
            </w:pPr>
          </w:p>
        </w:tc>
        <w:tc>
          <w:tcPr>
            <w:tcW w:w="65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Less: Deemed Dividend associated with preferred stock warrants issued with</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issuance of preferred stock</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16"/>
        </w:trPr>
        <w:tc>
          <w:tcPr>
            <w:tcW w:w="20" w:type="dxa"/>
            <w:vAlign w:val="bottom"/>
          </w:tcPr>
          <w:p>
            <w:pPr>
              <w:spacing w:after="0"/>
              <w:rPr>
                <w:sz w:val="18"/>
                <w:szCs w:val="18"/>
                <w:color w:val="auto"/>
              </w:rPr>
            </w:pPr>
          </w:p>
        </w:tc>
        <w:tc>
          <w:tcPr>
            <w:tcW w:w="6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Change in value of preferred stock subject to possible redemption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Add: Effect of exchange of preferred stock (See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allocable to common stockholders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340" w:type="dxa"/>
            <w:vAlign w:val="bottom"/>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 share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4,213,244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1,445,089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(20.79)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as of December 31, 2023 and 2022:</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16,498,279</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1,325,844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137,909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1,094,667</w:t>
            </w:r>
          </w:p>
        </w:tc>
        <w:tc>
          <w:tcPr>
            <w:tcW w:w="5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757,717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721,086</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726,563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9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(a)</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35,754</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(estimated see Note 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7,007,582</w:t>
            </w:r>
          </w:p>
        </w:tc>
        <w:tc>
          <w:tcPr>
            <w:tcW w:w="5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74,674,910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19,482,066</w:t>
            </w:r>
          </w:p>
        </w:tc>
      </w:tr>
      <w:tr>
        <w:trPr>
          <w:trHeight w:val="20"/>
        </w:trPr>
        <w:tc>
          <w:tcPr>
            <w:tcW w:w="5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82"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December 31, 2023 due to the variable settlement terms (see Note 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Employee Benefit Plan</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 $0.5 million and $0.6 million in matching contributions for the years ended December 31, 2023 and 2022,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2023 and 2022, the related liability is included within accrued compensation on the consolidated balance sheets.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September 5, 2024, the date on which these consolidated financial statements were available to be issued and has determined that the following subsequent events are reportable other than those disclosed elsewhere in the consolidated financial statements.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agreement with its primary third-party contract manufacturer related to past due amounts owed as of February 26, 2024. Under the agreement, the Company agreed to make payment on past due amounts pursuant to an agreed-upon schedule. The past due amounts that existed at December 31, 2023 that were incorporated into this agreement totaled $8.3 million and were included in accounts payable and accrued expenses and other current liabilities within the consolidated balance sheet at December 31, 2023.</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January 2024 through the date these consolidated financial statements were available to be issued, the Company received $110.7 million in proceeds from the issuance of 10% secured convertible notes under a new note purchase agreement dated July 3, 2023 (the “2023 NPA”), as amended on August 1, 2023 and April 22, 2024. These convertible notes have a stated maturity date, as of April 22, 2024, of December 31, 2025, however,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 Of the $110.7 million in proceeds, $11.5 million was received from BurTech,</w:t>
      </w:r>
    </w:p>
    <w:p>
      <w:pPr>
        <w:spacing w:after="0" w:line="5" w:lineRule="exact"/>
        <w:rPr>
          <w:sz w:val="20"/>
          <w:szCs w:val="20"/>
          <w:color w:val="auto"/>
        </w:rPr>
      </w:pP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$2.4 million from outside individual third-parties, and the remaining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 issued to RT Parties as well as all securities of New Blaize to be issued to the RT Parties upon consummation of the merger.</w:t>
      </w:r>
    </w:p>
    <w:p>
      <w:pPr>
        <w:spacing w:after="0" w:line="174"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April 22, 2024, Blaize, BurTech, BurTech Merger Sub Inc., and Burkhan entered into an amendment to the Merger Agreement (the “April Amendment”). The April Amendment amended the original Merger Agreement to make certain adjustments in connection with the Blaize Note Financing and additional related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warrant financing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up issued to the holder upon exercise. In conjunction with its participation in the Blaize Note Financing Agreement, one of the RT Parties received a new and separate pre-funded warrant with an exercise price of $45,000 that entitles the RT Party investor to receive 4.5 million shares of BurTech Class A common stock, also via the issuance of Company common shares upon exercise that are subject to exchange into BurTech Class A common stock upon the closing of the Merger.</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April 22, 2024, the Company amended and restated the terms of the 2023 NPA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5. In addition, the per share exercise price of the related 2023 Convertible Note Warrants upon a SPAC Transaction was amended to $11.50.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2024, the Company repaid all principal and accrued interest outstanding on the Demand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July 2024, the Company executed a new maintenance agreement requiring future payments approximating $0.9 million through December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 (Note 13)</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Demand notes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14,641</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148,551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71,852</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September 30,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 44,494,703 shares issued and outstanding as of September 30, 2024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 liquidation preference of $173,347 as of September 30, 2024 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173,347</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173,347</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September 30, 2024 and December 31,</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 17,482,174 and 17,454,353 shares issued and outstanding as of September 30, 2024 and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124,225 shares at September 30, 2024 and December 31, 2023</w:t>
            </w:r>
          </w:p>
        </w:tc>
        <w:tc>
          <w:tcPr>
            <w:tcW w:w="160" w:type="dxa"/>
            <w:vAlign w:val="bottom"/>
          </w:tcPr>
          <w:p>
            <w:pPr>
              <w:spacing w:after="0"/>
              <w:rPr>
                <w:sz w:val="18"/>
                <w:szCs w:val="18"/>
                <w:color w:val="auto"/>
              </w:rPr>
            </w:pP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142,618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141,496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(422,559)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(368,056)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(279,941)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23"/>
        </w:trPr>
        <w:tc>
          <w:tcPr>
            <w:tcW w:w="86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5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8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6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Hardware revenue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14,168</w:t>
            </w:r>
          </w:p>
        </w:tc>
        <w:tc>
          <w:tcPr>
            <w:tcW w:w="0" w:type="dxa"/>
            <w:vAlign w:val="bottom"/>
          </w:tcPr>
          <w:p>
            <w:pPr>
              <w:spacing w:after="0"/>
              <w:rPr>
                <w:sz w:val="1"/>
                <w:szCs w:val="1"/>
                <w:color w:val="auto"/>
              </w:rPr>
            </w:pP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11,108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16"/>
        </w:trPr>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6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(25,403)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6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exchange transactions</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(15,398)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(14,184)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(37,546)</w:t>
            </w:r>
          </w:p>
        </w:tc>
        <w:tc>
          <w:tcPr>
            <w:tcW w:w="0" w:type="dxa"/>
            <w:vAlign w:val="bottom"/>
          </w:tcPr>
          <w:p>
            <w:pPr>
              <w:spacing w:after="0"/>
              <w:rPr>
                <w:sz w:val="1"/>
                <w:szCs w:val="1"/>
                <w:color w:val="auto"/>
              </w:rPr>
            </w:pPr>
          </w:p>
        </w:tc>
      </w:tr>
      <w:tr>
        <w:trPr>
          <w:trHeight w:val="216"/>
        </w:trPr>
        <w:tc>
          <w:tcPr>
            <w:tcW w:w="5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(25,552)</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(54,155)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17,478,371</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3,551,881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17,466,606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3,551,881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2920" w:type="dxa"/>
            <w:vAlign w:val="bottom"/>
          </w:tcPr>
          <w:p>
            <w:pPr>
              <w:spacing w:after="0"/>
              <w:rPr>
                <w:sz w:val="2"/>
                <w:szCs w:val="2"/>
                <w:color w:val="auto"/>
              </w:rPr>
            </w:pPr>
          </w:p>
        </w:tc>
        <w:tc>
          <w:tcPr>
            <w:tcW w:w="17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2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920" w:type="dxa"/>
            <w:vAlign w:val="bottom"/>
          </w:tcPr>
          <w:p>
            <w:pPr>
              <w:spacing w:after="0"/>
              <w:rPr>
                <w:sz w:val="11"/>
                <w:szCs w:val="11"/>
                <w:color w:val="auto"/>
              </w:rPr>
            </w:pPr>
          </w:p>
        </w:tc>
        <w:tc>
          <w:tcPr>
            <w:tcW w:w="174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7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80" w:type="dxa"/>
            <w:vAlign w:val="bottom"/>
            <w:tcBorders>
              <w:top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800" w:type="dxa"/>
            <w:vAlign w:val="bottom"/>
            <w:gridSpan w:val="2"/>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29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17,474,790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142,221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(396,952)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(254,731)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3,343,660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131,341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(331,337)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(199,996)</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financing charge on 2023</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44,494,703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173,347</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17,454,353</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(368,056)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(226,560)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17,482,174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16,498,279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64,020</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6,143,294</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124,225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209,928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(280,467)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(70,539)</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Reissuance of Shadow Preferred in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Pay-to-Play Pull Through Exchange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redemption value</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27,996,424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109,327</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(2,799,634)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(109,327)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0" w:type="dxa"/>
            <w:vAlign w:val="bottom"/>
          </w:tcPr>
          <w:p>
            <w:pPr>
              <w:spacing w:after="0"/>
              <w:rPr>
                <w:sz w:val="1"/>
                <w:szCs w:val="1"/>
                <w:color w:val="auto"/>
              </w:rPr>
            </w:pPr>
          </w:p>
        </w:tc>
      </w:tr>
      <w:tr>
        <w:trPr>
          <w:trHeight w:val="216"/>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198"/>
        </w:trPr>
        <w:tc>
          <w:tcPr>
            <w:tcW w:w="2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Debt financing charge 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convertible notes</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44,494,703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173,347</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3,343,660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134,267</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1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6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(54,503)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(62,864)</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03"/>
        </w:trPr>
        <w:tc>
          <w:tcPr>
            <w:tcW w:w="7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Noncash lease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Pay-to-Play financing charge</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30,638</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Debt financing charge on convertible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Credit loss expense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3,546</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Loss on purchase commitments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3"/>
        </w:trPr>
        <w:tc>
          <w:tcPr>
            <w:tcW w:w="7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Noncash loss on lease termination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Inventories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(2,625)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(6,286)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assets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6,029</w:t>
            </w:r>
          </w:p>
        </w:tc>
        <w:tc>
          <w:tcPr>
            <w:tcW w:w="0" w:type="dxa"/>
            <w:vAlign w:val="bottom"/>
          </w:tcPr>
          <w:p>
            <w:pPr>
              <w:spacing w:after="0"/>
              <w:rPr>
                <w:sz w:val="1"/>
                <w:szCs w:val="1"/>
                <w:color w:val="auto"/>
              </w:rPr>
            </w:pPr>
          </w:p>
        </w:tc>
      </w:tr>
      <w:tr>
        <w:trPr>
          <w:trHeight w:val="202"/>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Income taxes payable</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Accrued compensation</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Other liabilities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(35,788)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(21,616)</w:t>
            </w: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6"/>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Pay-to-Play convertible notes and Common Rights Offering</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9,283</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9"/>
              </w:rPr>
              <w:t>110,718</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8,400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short term demand notes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short term demand notes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76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7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102,380</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65,427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6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 taxes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acquired in accounts payable &amp; accrued expenses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Shadow Preferred in Pay-to-Play Pull Through Exchange at redemption value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6"/>
              </w:rPr>
              <w:t>109,327</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 obtained in exchange for new operating lease liabilities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and lease liabilities extinguished upon termination of lease, net of gain</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Capitalized deferred offering costs included in accounting payable and accrued liabilities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INC. AND SUBSIDIARIES</w:t>
      </w:r>
    </w:p>
    <w:p>
      <w:pPr>
        <w:spacing w:after="0" w:line="225" w:lineRule="exact"/>
        <w:rPr>
          <w:sz w:val="20"/>
          <w:szCs w:val="20"/>
          <w:color w:val="auto"/>
        </w:rPr>
      </w:pPr>
    </w:p>
    <w:p>
      <w:pPr>
        <w:ind w:left="120" w:right="1980" w:firstLine="1995"/>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Note 1. Description of Business</w:t>
      </w:r>
    </w:p>
    <w:p>
      <w:pPr>
        <w:spacing w:after="0" w:line="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September 30, 2024, there has not been an operating agreement executed between the Company and the holder of the 65% interest that would make the Company the primary beneficiary of this new legal entity. The newly established entity has incurred insignificant expenses since its incorporation. During the nine months ended September 30, 2024, the Company entered into an agreement with an affiliate of the holder of the 65% interest in Blaize Artificial Intelligence Middle East, LLC, which permitted the Company to bill in advance for obligations that have yet to be fully satisfied as of September 30, 2024. Specific to this arrangement, the Company had accounts receivable of $1.7 million as of September 30, 2024.</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as amended on April 22, 2024,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wholly-owned subsidiary of BurTech. In connection with the consummation of the business combination (the “Merger”), BurTech will be renamed Blaize Holdings, Inc. (“New Blaize”) (see Note 12).</w:t>
      </w:r>
    </w:p>
    <w:p>
      <w:pPr>
        <w:spacing w:after="0" w:line="189"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On April 22, 2024, Blaize, BurTech, BurTech Merger Sub Inc., and Burkhan entered into an amendment to the Merger Agreement (the “April Amendment”). The April Amendment amended the original Merger Agreement to make certain adjustments in connection with the Blaize Note Financing (see Note 7) and additional adjustments related to warrant financing (see Note 8),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w:t>
      </w:r>
    </w:p>
    <w:p>
      <w:pPr>
        <w:spacing w:after="0" w:line="183"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Additionally, the April Amendment amended additional terms associated with the contingencies associated with the pending Merger. See Note 12. F-52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See Note 16.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Since inception of the Company and through September 30, 2024, the Company has funded its operations primarily with cash flows from contributions from founders or other investors and other financing activities. The Company has incurred recurring losses and negative cash flows since its inception, including a net loss of $54.5 million and $62.9 million for the nine months ended September 30, 2024 and 2023, respectively. As of September 30, 2024, the Company had cash and cash equivalents of approximately $68.6 million, a net working capital surplus of $45.3 million, and an accumulated deficit of $422.6 million.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and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 Company is currently taking action to both source and preserve cash through a combination of the issuance of convertible notes and a possible capital market transaction the Company cannot be assured that it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 Company’s liquidity condition raises substantial doubt about the Company’s ability to continue as a going concern through a year from the date these unaudited condensed consolidated financial statements are available to be issued.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The accompanying unaudited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US GAAP. Interim results are not necessarily indicative of the results for a full year. Therefore, these interim unaudited condensed consolidated financial statements should be read in conjunction with the Company’s audited consolidated financial statements for the years ended December 31, 2023 and 2022.</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consolidated financial statements of the Company and its wholly-owned subsidiaries. All intercompany balances and transactions have been eliminated upon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accordance with U.S. GAAP requires the Company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 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cash and cash equivalents balances in excess of domestic and international insurance limits of approximately $32.3 million and $2.2 million, respectively.</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As of September 30, 2024, the Company held $30.1 million in U.S. Government treasury securities, $26.1 million in a U.S. Government money market fund, and $5.2 million in mutual funds (see Note 4). As of December 31, 2023, the Company had no cash equivalents or restricted cash balances.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September 30, 2024 and December 31, 2023, respectively. As of September 30, 2024 and December 31, 2023, the Company’s accounts receivable included zero and approximately $0.5 million, respectively, of unbilled accounts receivable (See Note 13).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unaudited condensed consolidated statement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Deferred offering costs, which consist of direct incremental legal, consulting and banking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September 30, 2024 and December 31, 2023 there were $4.5 million and $1.5 million, respectively, capitalized deferred offering costs included in prepaid expenses and other current assets on the condensed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2024 and 2023, the Company did not recognize any impairment expense related to its long-lived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cs="Times New Roman" w:eastAsia="Times New Roman" w:hAnsi="Times New Roman"/>
          <w:sz w:val="18"/>
          <w:szCs w:val="18"/>
          <w:i w:val="1"/>
          <w:iCs w:val="1"/>
          <w:color w:val="auto"/>
        </w:rPr>
        <w:t>Debt — Debt with Conversion and Other Options (Subtopic 470-20),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 </w:t>
      </w:r>
      <w:r>
        <w:rPr>
          <w:rFonts w:ascii="Times New Roman" w:cs="Times New Roman" w:eastAsia="Times New Roman" w:hAnsi="Times New Roman"/>
          <w:sz w:val="18"/>
          <w:szCs w:val="18"/>
          <w:color w:val="auto"/>
        </w:rPr>
        <w:t xml:space="preserve">(ASU 2020-06). The Company has elected to account for its convertible notes at fair value at each period end pursuant to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are recorded as change in fair value of convertible notes in the accompanying unaudited condensed consolidated statements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issued freestanding warrants in connection with certain of its convertible debt agreements and preferred stock issuances which have been recorded as long-term liabilities in the accompanying condensed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consolidated balance sheets at their estimated fair value. At initial recognition, the warrants were recorded at their estimated fair value calculated using the Black-Scholes-Merton (“Black- Scholes”) option pricing model (see Note 8). The liability associated with these warrants is subject to remeasurement at each balance sheet date, with changes in fair value recorded as change in the fair value of warrant liabilities in the unaudited condensed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in which it determines revenue recognition through the following steps: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entered into a joint marketing arrangement with a subsidiary of a minority investor to expand hardware sales into a foreign market (see Note 13).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condensed consolidated balance sheets, as of September 30, 2024 (in thousands):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Addition of deferred revenue</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w:t>
            </w:r>
          </w:p>
        </w:tc>
        <w:tc>
          <w:tcPr>
            <w:tcW w:w="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 (unaudited)</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these fees are reflected in revenue and the related fulfillment costs are accrued as cost of revenue as the related fulfillment costs incurred.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Costs related to the Company’s research and development (“R&amp;D”) activities are expensed as incurred. R&amp;D expense consists primarily of personnel costs for the Company’s R&amp;D activities. R&amp;D expense also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includes costs associated with the design and development of the Company’s AI edge computing hardware and software.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During the three and nine months ended September 30,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fair value measurements used in its unaudited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fair value measurements be classified and disclosed in one of the following pricing categories:</w:t>
      </w:r>
    </w:p>
    <w:p>
      <w:pPr>
        <w:spacing w:after="0" w:line="77" w:lineRule="exact"/>
        <w:rPr>
          <w:sz w:val="20"/>
          <w:szCs w:val="20"/>
          <w:color w:val="auto"/>
        </w:rPr>
      </w:pPr>
    </w:p>
    <w:p>
      <w:pPr>
        <w:ind w:left="560" w:right="3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This level consists of unadjusted quoted prices in active markets for identical assets or liabilities that the reporting entity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50" w:lineRule="exact"/>
        <w:rPr>
          <w:sz w:val="20"/>
          <w:szCs w:val="20"/>
          <w:color w:val="auto"/>
        </w:rPr>
      </w:pPr>
    </w:p>
    <w:p>
      <w:pPr>
        <w:jc w:val="both"/>
        <w:ind w:left="560" w:right="2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ind w:left="560" w:right="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This level consists of unobservable inputs for the asset or liability to the extent that observable inputs are not available,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7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money market funds. The Company’s cash accounts in a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institution may at times exceed the Federal Depository Insurance coverage of $250,000. Investments in money markets are not insured or guaranteed by the FDIC or any other government agency.</w:t>
      </w:r>
    </w:p>
    <w:p>
      <w:pPr>
        <w:spacing w:after="0" w:line="162" w:lineRule="exact"/>
        <w:rPr>
          <w:sz w:val="20"/>
          <w:szCs w:val="20"/>
          <w:color w:val="auto"/>
        </w:rPr>
      </w:pPr>
    </w:p>
    <w:p>
      <w:pPr>
        <w:jc w:val="both"/>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The Company is exposed to credit risk in the event of nonpayment by customers up to the amounts recorded on the condensed consolidated balance sheets. The Company manages its accounts receivable credit risk through ongoing credit evaluation of its customers’ financial conditions.</w:t>
      </w:r>
    </w:p>
    <w:p>
      <w:pPr>
        <w:spacing w:after="0" w:line="14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one related party customer accounted for approximately 97% of the Company’s accounts receivable (see Note 13). As of December 31, 2023, one customer, also a related party, accounted for approximately 98% of the Company’s accounts receivable (see Note 13).</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September 30, 2024 and 2023, one customer, a related party, accounted for approximately 97% of the Company’s revenue. For the nine months ended September 30, 2024, two customers, both related parties, accounted for approximately 77% and 21% of the Company’s revenue. For the nine months ended September 30, 2023, one customer, a related party, accounted for nearly 100% of the Company’s revenue (see Note 13).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The Company adopted this standard as of January 1, 2024. The adoption of this standard did not have an impact on the Company’s condensed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This guidance is effective for the Company beginning on January 1, 2025, and early adoption is permitted, although the Company does not plan to early adopt. Adoption will require enhancements to the Company’s income tax disclosures but is not expected to have a material impact on its condensed consolidated financial statements.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ASU improves reportable segment disclosure requirements, primarily through enhanced disclosures about significant segment expenses. This guidance is effective for fiscal year ending December 31, 2024 and interim periods within fiscal years beginning January 1, 2025. Early adoption is permitted although the Company does not plan to early adopt. Adoption will result in expanded disclosures for the Company’s single reportable segment but is not expected to have a material impact on the Company’s condensed consolidated financial statements.</w:t>
      </w:r>
    </w:p>
    <w:p>
      <w:pPr>
        <w:spacing w:after="0" w:line="183"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This guidance is effective for the Company beginning on January 1, 2025 and early adoption is permitted. The Company does not expect the adoption to have a material impact on the Company’s condensed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information by geographical region for the three and nine months ended September 30, 2024 and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9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28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2023 </w:t>
            </w:r>
          </w:p>
        </w:tc>
        <w:tc>
          <w:tcPr>
            <w:tcW w:w="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778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565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pattern of revenue recognition for the three and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6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8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7"/>
        </w:trPr>
        <w:tc>
          <w:tcPr>
            <w:tcW w:w="4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which includes unearned or deferred revenue and amounts that will be invoiced and recognized as revenue in future periods as of September 30, 2024 and December 31, 2023, was as follows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44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 w:type="dxa"/>
            <w:vAlign w:val="bottom"/>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9"/>
                <w:szCs w:val="19"/>
                <w:color w:val="auto"/>
              </w:rPr>
            </w:pPr>
          </w:p>
        </w:tc>
      </w:tr>
      <w:tr>
        <w:trPr>
          <w:trHeight w:val="216"/>
        </w:trPr>
        <w:tc>
          <w:tcPr>
            <w:tcW w:w="2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24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440" w:type="dxa"/>
            <w:vAlign w:val="bottom"/>
          </w:tcPr>
          <w:p>
            <w:pPr>
              <w:spacing w:after="0"/>
              <w:rPr>
                <w:sz w:val="24"/>
                <w:szCs w:val="24"/>
                <w:color w:val="auto"/>
              </w:rPr>
            </w:pPr>
          </w:p>
        </w:tc>
        <w:tc>
          <w:tcPr>
            <w:tcW w:w="34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F-61</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hierarchy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$26,054</w:t>
            </w:r>
          </w:p>
        </w:tc>
        <w:tc>
          <w:tcPr>
            <w:tcW w:w="1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5,190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61,302</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61,302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4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5"/>
              </w:rPr>
              <w:t>148,551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172,283</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114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8"/>
              </w:rPr>
              <w:t>$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14,641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Convertible notes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1"/>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18,064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36,435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money market funds because they were valued using quoted prices in active markets and can be redeemed on any business days with an intermediary.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80"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Changes in the fair value measurement of Level 3 liabilities related to unrealized gains (losses) resulting from remeasurement of the Company’s outstanding convertible notes and warrant liabilities (see Notes 7 and 8). The respective changes for remeasurement are reflected in the change in fair value of convertible notes and change in fair value of warrant liabilities in the accompanying condensed consolidated statements of operations.</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liabilities during the three and nine months ended September 30, 2024 and 2023 was as follows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000" w:type="dxa"/>
            <w:vAlign w:val="bottom"/>
            <w:gridSpan w:val="6"/>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September 30, 2024:</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16,042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$ 133,088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$ 7,665</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$156,795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15,463</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$ 148,551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14,641</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18,064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$ 3,730</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$ 36,435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2023 convertible note warrants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105,902</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110,718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Pre-funded common stock warrants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24,585</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24,666</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$ 148,551</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$ 7,755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September 30, 2023: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$ 2,227</w:t>
            </w:r>
          </w:p>
        </w:tc>
        <w:tc>
          <w:tcPr>
            <w:tcW w:w="20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7,275</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1,241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8,516</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$ 3,025</w:t>
            </w:r>
          </w:p>
        </w:tc>
        <w:tc>
          <w:tcPr>
            <w:tcW w:w="20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Convertible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notes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Nine months ended September 30, 2023:</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60" w:type="dxa"/>
            <w:vAlign w:val="bottom"/>
          </w:tcPr>
          <w:p>
            <w:pPr>
              <w:spacing w:after="0"/>
              <w:rPr>
                <w:sz w:val="18"/>
                <w:szCs w:val="18"/>
                <w:color w:val="auto"/>
              </w:rPr>
            </w:pPr>
          </w:p>
        </w:tc>
        <w:tc>
          <w:tcPr>
            <w:tcW w:w="32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529</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$ 3,668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Reinstatement of common stock warrants as preferred stock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Pay-to-Play convertible notes and related warrants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8,717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565</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notes and related warrants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$ 3,025</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25,702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Company’s convertible notes and related warrants were classified within level 3 of the fair value hierarchy because there was no active market for the liabilities or similar instruments.</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and nine months ended September 30, 2024 and 2023. Certain existing investors invested in P2P Notes during the nine months ended September 30, 2023, and accordingly, their common stock warrants were converted into Series D Shadow preferred stock warrants and reclassified as warrant liabilities (see Notes 7, 8 and 13).</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Supplementary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consists of the following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1,542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4,964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w w:val="93"/>
              </w:rPr>
              <w:t>6,522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4,532</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licenses and maintenance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paid to contract manufacturer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6,081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5,893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1,594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8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depreciation and amortization expense of property and equipment was $0.3 million and $0.7 million, respectively, and $0.7 million and $1.7 million, respectively.</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0780"/>
          </w:cols>
          <w:pgMar w:left="320" w:top="455" w:right="7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1,838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6,924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7,464</w:t>
            </w:r>
          </w:p>
        </w:tc>
      </w:tr>
      <w:tr>
        <w:trPr>
          <w:trHeight w:val="20"/>
        </w:trPr>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Loss on Purchase Commitments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accrued loss on purchase commitments were $1.4 million and $3.6 million, respectively (see Note 12).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compensation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4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authoritative accounting guidance, the Company accounts for income taxes using the asset and liability method under which deferred tax assets and liabilities are recognized for future tax consequences attributable to differences between the consolidated financial statement carrying amounts of existing assets and liabilities and their respective income tax bases.</w:t>
      </w:r>
    </w:p>
    <w:p>
      <w:pPr>
        <w:spacing w:after="0" w:line="176"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recognized income tax expense (benefit) of $55,000 and ($12,000) for the three months ended September 30, 2024 and 2023, respectively, and representing an effective tax rate of 0.22% and (0.10%), respectively. The Company recognized income tax expense (benefit) of $348,000 and ($85,000) for the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nine months ended September 30, 2024 and 2023, respectively, representing an effective tax rate of 0.64% and (0.14%),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has been no significant movement in the statutory and effective tax rate for the three and nine months ended September 30, 2024 and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effective income tax rate is primarily driven by remeasurement of warrant liabilities and valuation allowance. The Company continues to incur U.S.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losses.</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regularly assesses the realizability of its deferred tax assets and establishes a valuation allowance if it is more-likely-than-not that some, or all, of its deferred tax assets will not be realized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80"/>
          </w:cols>
          <w:pgMar w:left="320" w:top="455"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evaluates and weighs all available evidence, both positive and negative, including its historic operating results, future reversals of existing deferred tax liabilities, as well as projected future taxable income. The Company will continue to regularly assess the realizability of its deferred tax assets. Changes in earnings performance and future earnings projections, among other factors, may cause the Company to adjust the valuation allowance on deferred tax assets, which could materially impact the income tax (benefit) expense in the period the Company determines that these factors have changed. As of September 30, 2024, the Company continues to maintain a full valuation allowance on its deferred tax assets except in certain foreign jurisdictions.</w:t>
      </w:r>
    </w:p>
    <w:p>
      <w:pPr>
        <w:spacing w:after="0" w:line="18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The Company also files income tax returns in other various U.S. states and international jurisdictions. All tax years since inception remain open to examination by the U.S. federal authorities as a result of the net operating losses and credit carryforwards since inception. The Company is not currently under income tax examinations in any foreign or state jurisdiction. Because application of tax laws and regulations for many types of transactions is susceptible to varying interpretations, amounts reported in the condensed consolidated financial statements could be changed at a later date upon final determination by taxing authorities. Management believes that the Company has no uncertain income tax positions that could materially affect its condensed consolidated financial statements.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Convertible Notes and Demand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2022 Convertible Securities: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Pay-to-Play Convertible Notes: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2022 P2P NPA provides that the P2P Notes may be converted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1"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on the P2P Note.</w:t>
      </w:r>
    </w:p>
    <w:p>
      <w:pPr>
        <w:spacing w:after="0" w:line="20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Company elected to measure the P2P Notes in their entirety, for the respective period issued, at fair value with changes in fair value reported in a single line in the unaudited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three and nine months ended September 30, 2024 and 2023, the Company recognized a change in fair value from the P2P Notes of approximately ($65,000) and $1.3 million, respectively and $0.4 million and</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$2.3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warrants (see Note 8). The fair value of the Series D warrants at reinstatement, approximating $61,000, was recognized as a component of the Pay-to-Play financing charge for the nine months ended September 30, 2023.</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During the three and nine month periods ended September 30, 2024 and 2023, the Company did not enter into any Exchange Agreements with eligible common shareholders.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Of the $110.7 million in proceeds received during the nine months ended September 30, 2024, $11.5 million of the proceeds was received from BurTech (see Note 1), $2.4 million was received from miscellaneous parties, and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NPA provides that the notes may be converted as follows:</w:t>
      </w:r>
    </w:p>
    <w:p>
      <w:pPr>
        <w:spacing w:after="0" w:line="131" w:lineRule="exact"/>
        <w:rPr>
          <w:sz w:val="20"/>
          <w:szCs w:val="20"/>
          <w:color w:val="auto"/>
        </w:rPr>
      </w:pPr>
    </w:p>
    <w:p>
      <w:pPr>
        <w:ind w:left="1080" w:right="220" w:hanging="424"/>
        <w:spacing w:after="0" w:line="261"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85"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92"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81"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92"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Corporate Transaction (any “Liquidation Event” as defined in the existing Certificate of Incorporation), the 2023 Convertible Notes shall be repaid as follows at the closing of the Corporate Transaction:</w:t>
      </w:r>
    </w:p>
    <w:p>
      <w:pPr>
        <w:spacing w:after="0" w:line="67" w:lineRule="exact"/>
        <w:rPr>
          <w:rFonts w:ascii="Times New Roman" w:cs="Times New Roman" w:eastAsia="Times New Roman" w:hAnsi="Times New Roman"/>
          <w:sz w:val="18"/>
          <w:szCs w:val="18"/>
          <w:color w:val="auto"/>
        </w:rPr>
      </w:pPr>
    </w:p>
    <w:p>
      <w:pPr>
        <w:jc w:val="both"/>
        <w:ind w:left="1540" w:right="40" w:hanging="331"/>
        <w:spacing w:after="0" w:line="312" w:lineRule="auto"/>
        <w:tabs>
          <w:tab w:leader="none" w:pos="154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45" w:lineRule="exact"/>
        <w:rPr>
          <w:rFonts w:ascii="Times New Roman" w:cs="Times New Roman" w:eastAsia="Times New Roman" w:hAnsi="Times New Roman"/>
          <w:sz w:val="17"/>
          <w:szCs w:val="17"/>
          <w:color w:val="auto"/>
        </w:rPr>
      </w:pPr>
    </w:p>
    <w:p>
      <w:pPr>
        <w:ind w:left="1540" w:right="100" w:hanging="331"/>
        <w:spacing w:after="0" w:line="282"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67"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Investors in the 2023 Convertible Notes also received warrants to purchase the same type of equity shares into which the 2023 Convertible Notes are converted (see Notes 8 and 13).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unaudited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 recognized a change in fair value of approximately</w:t>
      </w:r>
    </w:p>
    <w:p>
      <w:pPr>
        <w:spacing w:after="0" w:line="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$15.5 million and $24.6 million, respectively, and $1.2 million and $1.2 million (see Note 4),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scheduled maturities of the Company’s outstanding convertible notes as of September 30, 2024 is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23"/>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Demand Notes: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13 and 16). In April 2024, the Company repaid the total outstanding principal and interest of $5.0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Warrant Liabilities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P2P Warrants: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40"/>
          </w:cols>
          <w:pgMar w:left="320" w:top="455" w:right="5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February 28, 2024 the Series D Shadow Preferred Stock warrants expired unexercised.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Convertible Note Warrants: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April 2024 amendment, the number of warrant shares issuable upon exercise is equal to the quotient obtained by dividing</w:t>
      </w:r>
    </w:p>
    <w:p>
      <w:pPr>
        <w:spacing w:after="0" w:line="27" w:lineRule="exact"/>
        <w:rPr>
          <w:sz w:val="20"/>
          <w:szCs w:val="20"/>
          <w:color w:val="auto"/>
        </w:rPr>
      </w:pPr>
    </w:p>
    <w:p>
      <w:pPr>
        <w:ind w:left="120" w:hanging="4"/>
        <w:spacing w:after="0" w:line="253" w:lineRule="auto"/>
        <w:tabs>
          <w:tab w:leader="none" w:pos="33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Next Equity Financing Conversion, the per share issue price by new money investors for the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Maturity Conversion, a per share price mutually agreed upon by the Company and the Requisite Noteholders;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SPAC Conversion, $11.50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Corporate Transaction, the Corporate Transaction Exercise Price, as defined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the expiration date of the warrants was changed from 10 years to 5 years from the original date of issuance.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conjunction with the December 22, 2023 Merger Agreement, the Company entered into a pre- 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 funded Warrant of $0.5 million was recognized as a debt financing charge on 2023 convertible notes during the nine month period ended September 30, 2024.</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warrants exercisable into preferred stock are classified as liabilities requiring ongoing remeasurement at fair value.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 outstanding warrants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spacing w:after="0"/>
              <w:rPr>
                <w:sz w:val="15"/>
                <w:szCs w:val="15"/>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warrant shares at</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Approximate fair value at</w:t>
            </w:r>
          </w:p>
        </w:tc>
        <w:tc>
          <w:tcPr>
            <w:tcW w:w="0" w:type="dxa"/>
            <w:vAlign w:val="bottom"/>
          </w:tcPr>
          <w:p>
            <w:pPr>
              <w:spacing w:after="0"/>
              <w:rPr>
                <w:sz w:val="1"/>
                <w:szCs w:val="1"/>
                <w:color w:val="auto"/>
              </w:rPr>
            </w:pPr>
          </w:p>
        </w:tc>
      </w:tr>
      <w:tr>
        <w:trPr>
          <w:trHeight w:val="117"/>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Warrant Type:</w:t>
            </w:r>
          </w:p>
        </w:tc>
        <w:tc>
          <w:tcPr>
            <w:tcW w:w="3580" w:type="dxa"/>
            <w:vAlign w:val="bottom"/>
            <w:gridSpan w:val="2"/>
            <w:vMerge w:val="restart"/>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4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vMerge w:val="continue"/>
          </w:tcPr>
          <w:p>
            <w:pPr>
              <w:spacing w:after="0"/>
              <w:rPr>
                <w:sz w:val="15"/>
                <w:szCs w:val="15"/>
                <w:color w:val="auto"/>
              </w:rPr>
            </w:pPr>
          </w:p>
        </w:tc>
        <w:tc>
          <w:tcPr>
            <w:tcW w:w="3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5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640" w:type="dxa"/>
            <w:vAlign w:val="bottom"/>
          </w:tcPr>
          <w:p>
            <w:pPr>
              <w:spacing w:after="0"/>
              <w:rPr>
                <w:sz w:val="15"/>
                <w:szCs w:val="15"/>
                <w:color w:val="auto"/>
              </w:rPr>
            </w:pPr>
          </w:p>
        </w:tc>
        <w:tc>
          <w:tcPr>
            <w:tcW w:w="58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D Shadow Preferred Warrants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338,495</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D-2 Shadow Preferred Warrants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4.97</w:t>
            </w:r>
          </w:p>
        </w:tc>
        <w:tc>
          <w:tcPr>
            <w:tcW w:w="640" w:type="dxa"/>
            <w:vAlign w:val="bottom"/>
          </w:tcPr>
          <w:p>
            <w:pPr>
              <w:spacing w:after="0"/>
              <w:rPr>
                <w:sz w:val="18"/>
                <w:szCs w:val="18"/>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756,172</w:t>
            </w:r>
          </w:p>
        </w:tc>
        <w:tc>
          <w:tcPr>
            <w:tcW w:w="6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756,172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c>
          <w:tcPr>
            <w:tcW w:w="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c>
          <w:tcPr>
            <w:tcW w:w="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00" w:type="dxa"/>
            <w:vAlign w:val="bottom"/>
          </w:tcPr>
          <w:p>
            <w:pPr>
              <w:spacing w:after="0"/>
              <w:rPr>
                <w:sz w:val="18"/>
                <w:szCs w:val="18"/>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580" w:type="dxa"/>
            <w:vAlign w:val="bottom"/>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56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(c)</w:t>
            </w: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Common stock warrants</w:t>
            </w:r>
            <w:r>
              <w:rPr>
                <w:rFonts w:ascii="Times New Roman" w:cs="Times New Roman" w:eastAsia="Times New Roman" w:hAnsi="Times New Roman"/>
                <w:sz w:val="25"/>
                <w:szCs w:val="25"/>
                <w:color w:val="auto"/>
                <w:vertAlign w:val="superscript"/>
              </w:rPr>
              <w:t>(b)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104.43</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Pre-funded common stock warrants</w:t>
            </w:r>
            <w:r>
              <w:rPr>
                <w:rFonts w:ascii="Times New Roman" w:cs="Times New Roman" w:eastAsia="Times New Roman" w:hAnsi="Times New Roman"/>
                <w:sz w:val="25"/>
                <w:szCs w:val="25"/>
                <w:color w:val="auto"/>
                <w:vertAlign w:val="superscript"/>
              </w:rPr>
              <w:t>(d)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640" w:type="dxa"/>
            <w:vAlign w:val="bottom"/>
          </w:tcPr>
          <w:p>
            <w:pPr>
              <w:spacing w:after="0"/>
              <w:rPr>
                <w:sz w:val="18"/>
                <w:szCs w:val="18"/>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56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ind w:right="1"/>
              <w:spacing w:after="0"/>
              <w:rPr>
                <w:sz w:val="20"/>
                <w:szCs w:val="20"/>
                <w:color w:val="auto"/>
              </w:rPr>
            </w:pPr>
            <w:r>
              <w:rPr>
                <w:rFonts w:ascii="Times New Roman" w:cs="Times New Roman" w:eastAsia="Times New Roman" w:hAnsi="Times New Roman"/>
                <w:sz w:val="4"/>
                <w:szCs w:val="4"/>
                <w:color w:val="auto"/>
                <w:w w:val="98"/>
              </w:rPr>
              <w:t> </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5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Pre-funded common stock warrants</w:t>
            </w:r>
            <w:r>
              <w:rPr>
                <w:rFonts w:ascii="Times New Roman" w:cs="Times New Roman" w:eastAsia="Times New Roman" w:hAnsi="Times New Roman"/>
                <w:sz w:val="25"/>
                <w:szCs w:val="25"/>
                <w:color w:val="auto"/>
                <w:vertAlign w:val="superscript"/>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9"/>
              </w:rPr>
              <w:t>756,172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1,096,730</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540" w:right="140" w:hanging="424"/>
        <w:spacing w:after="0" w:line="266"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P2P Warrants is not determined as of September 30, 2024 or December 31, 2023, therefore, the exercise price is only known in aggregate based on individual investor participation levels and timing of investment. The aggregate exercise price is $2.5 million as of September 30, 2024 and December 31, 2023. The Company’s valuation of its P2P</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20"/>
        <w:spacing w:after="0" w:line="261" w:lineRule="auto"/>
        <w:rPr>
          <w:sz w:val="20"/>
          <w:szCs w:val="20"/>
          <w:color w:val="auto"/>
        </w:rPr>
      </w:pPr>
      <w:r>
        <w:rPr>
          <w:rFonts w:ascii="Times New Roman" w:cs="Times New Roman" w:eastAsia="Times New Roman" w:hAnsi="Times New Roman"/>
          <w:sz w:val="18"/>
          <w:szCs w:val="18"/>
          <w:color w:val="auto"/>
        </w:rPr>
        <w:t>Warrants assumes a range of expected warrant shares of 744,914 to 764,330 and 694,397 to 721,086 shares of either common stock or a future preferred stock series as of September 30, 2024 and December 31, 2023.</w:t>
      </w:r>
    </w:p>
    <w:p>
      <w:pPr>
        <w:ind w:left="540" w:right="140" w:hanging="424"/>
        <w:spacing w:after="0" w:line="250"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nine months ended September 30, 2024.</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to be issued upon exercise of the 2023 Convertible Note Warrants as well as the related aggregate exercise price is not determinable as of September 30, 2024 or December 31, 2023 due to variable settlement terms. As of September 30, 2024 and December 31, 2023, the aggregate fixed monetary amount that will serve as the basis of calculating the number of warrant shares into which the 2023 Convertible Notes may be exercised into is $13.0 million and $2.0 million, respectively.</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September 30, 2024, taking into consideration the effect of the April 2024 amendment, the number of warrant shares required to be issued in the form of BurTech Class A Common stock is fixed at 2,000,000 shares.</w:t>
      </w:r>
    </w:p>
    <w:p>
      <w:pPr>
        <w:spacing w:after="0" w:line="1"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exercise price is $45,000. As of September 30, 2024, the number of warrant shares to be issued in the form of BurTech Class A Common stock is a fixed 4,500,000 shares.</w:t>
      </w:r>
    </w:p>
    <w:p>
      <w:pPr>
        <w:spacing w:after="0" w:line="18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4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Series D-2 Shadow</w:t>
      </w:r>
    </w:p>
    <w:p>
      <w:pPr>
        <w:jc w:val="center"/>
        <w:ind w:left="5200"/>
        <w:spacing w:after="0" w:line="229" w:lineRule="auto"/>
        <w:rPr>
          <w:sz w:val="20"/>
          <w:szCs w:val="20"/>
          <w:color w:val="auto"/>
        </w:rPr>
      </w:pPr>
      <w:r>
        <w:rPr>
          <w:rFonts w:ascii="Times New Roman" w:cs="Times New Roman" w:eastAsia="Times New Roman" w:hAnsi="Times New Roman"/>
          <w:sz w:val="14"/>
          <w:szCs w:val="14"/>
          <w:b w:val="1"/>
          <w:bCs w:val="1"/>
          <w:color w:val="auto"/>
        </w:rPr>
        <w:t>Preferred Stock Warrant</w:t>
      </w:r>
    </w:p>
    <w:p>
      <w:pPr>
        <w:jc w:val="center"/>
        <w:ind w:left="5200"/>
        <w:spacing w:after="0" w:line="232" w:lineRule="auto"/>
        <w:rPr>
          <w:sz w:val="20"/>
          <w:szCs w:val="20"/>
          <w:color w:val="auto"/>
        </w:rPr>
      </w:pPr>
      <w:r>
        <w:rPr>
          <w:rFonts w:ascii="Times New Roman" w:cs="Times New Roman" w:eastAsia="Times New Roman" w:hAnsi="Times New Roman"/>
          <w:sz w:val="14"/>
          <w:szCs w:val="14"/>
          <w:b w:val="1"/>
          <w:bCs w:val="1"/>
          <w:color w:val="auto"/>
        </w:rPr>
        <w:t>Reinstatement</w:t>
      </w:r>
    </w:p>
    <w:tbl>
      <w:tblPr>
        <w:tblLayout w:type="fixed"/>
        <w:tblInd w:w="56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1000" w:type="dxa"/>
            <w:vAlign w:val="bottom"/>
            <w:tcBorders>
              <w:top w:val="single" w:sz="8" w:color="auto"/>
              <w:bottom w:val="single" w:sz="8" w:color="CCEEFF"/>
            </w:tcBorders>
            <w:gridSpan w:val="2"/>
          </w:tcPr>
          <w:p>
            <w:pPr>
              <w:spacing w:after="0"/>
              <w:rPr>
                <w:sz w:val="12"/>
                <w:szCs w:val="12"/>
                <w:color w:val="auto"/>
              </w:rPr>
            </w:pPr>
          </w:p>
        </w:tc>
        <w:tc>
          <w:tcPr>
            <w:tcW w:w="8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Issued in 2023</w:t>
            </w:r>
          </w:p>
        </w:tc>
        <w:tc>
          <w:tcPr>
            <w:tcW w:w="20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vMerge w:val="restart"/>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Series D-2 Shadow</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 Shadow</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Preferred Stock Warrants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tcBorders>
              <w:top w:val="single" w:sz="8" w:color="auto"/>
            </w:tcBorders>
            <w:gridSpan w:val="4"/>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F-73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issued with P2P</w:t>
            </w:r>
          </w:p>
        </w:tc>
      </w:tr>
      <w:tr>
        <w:trPr>
          <w:trHeight w:val="173"/>
        </w:trPr>
        <w:tc>
          <w:tcPr>
            <w:tcW w:w="8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88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09"/>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4.54% – 4.79%</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 1.44 years</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 – 62.3%</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4"/>
        </w:trPr>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7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8"/>
              </w:rPr>
              <w:t>$0.74</w:t>
            </w:r>
          </w:p>
        </w:tc>
      </w:tr>
      <w:tr>
        <w:trPr>
          <w:trHeight w:val="41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2024 and December 31, 2023:</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Warrants issued with 2022 P2P Notes</w:t>
            </w:r>
          </w:p>
        </w:tc>
      </w:tr>
      <w:tr>
        <w:trPr>
          <w:trHeight w:val="142"/>
        </w:trPr>
        <w:tc>
          <w:tcPr>
            <w:tcW w:w="880" w:type="dxa"/>
            <w:vAlign w:val="bottom"/>
          </w:tcPr>
          <w:p>
            <w:pPr>
              <w:spacing w:after="0"/>
              <w:rPr>
                <w:sz w:val="12"/>
                <w:szCs w:val="12"/>
                <w:color w:val="auto"/>
              </w:rPr>
            </w:pPr>
          </w:p>
        </w:tc>
        <w:tc>
          <w:tcPr>
            <w:tcW w:w="484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 – 4.38%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4.54% – 4.79%</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0.50 – 2.00 years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 – 1.44 years</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69.8% – 71.6%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 – 62.3%</w:t>
            </w:r>
          </w:p>
        </w:tc>
      </w:tr>
      <w:tr>
        <w:trPr>
          <w:trHeight w:val="216"/>
        </w:trPr>
        <w:tc>
          <w:tcPr>
            <w:tcW w:w="8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88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1920" w:type="dxa"/>
            <w:vAlign w:val="bottom"/>
            <w:gridSpan w:val="4"/>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$4.16</w:t>
            </w:r>
          </w:p>
        </w:tc>
      </w:tr>
      <w:tr>
        <w:trPr>
          <w:trHeight w:val="234"/>
        </w:trPr>
        <w:tc>
          <w:tcPr>
            <w:tcW w:w="8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$0.92</w:t>
            </w:r>
          </w:p>
        </w:tc>
        <w:tc>
          <w:tcPr>
            <w:tcW w:w="19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auto"/>
                <w:w w:val="98"/>
              </w:rPr>
              <w:t>$0.74</w:t>
            </w:r>
          </w:p>
        </w:tc>
      </w:tr>
    </w:tbl>
    <w:p>
      <w:pPr>
        <w:spacing w:after="0" w:line="1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 issuance: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Issued during the nine months ended September 30, 2024 and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60" w:type="dxa"/>
            <w:vAlign w:val="bottom"/>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Warrants issued with 2023</w:t>
            </w:r>
          </w:p>
        </w:tc>
      </w:tr>
      <w:tr>
        <w:trPr>
          <w:trHeight w:val="173"/>
        </w:trPr>
        <w:tc>
          <w:tcPr>
            <w:tcW w:w="30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Convertible Notes</w:t>
            </w:r>
          </w:p>
        </w:tc>
      </w:tr>
      <w:tr>
        <w:trPr>
          <w:trHeight w:val="142"/>
        </w:trPr>
        <w:tc>
          <w:tcPr>
            <w:tcW w:w="3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60" w:type="dxa"/>
            <w:vAlign w:val="bottom"/>
            <w:gridSpan w:val="3"/>
          </w:tcPr>
          <w:p>
            <w:pPr>
              <w:jc w:val="center"/>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2024</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Issued in 2023</w:t>
            </w: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5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 – 5.55%</w:t>
            </w:r>
          </w:p>
        </w:tc>
        <w:tc>
          <w:tcPr>
            <w:tcW w:w="7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500" w:type="dxa"/>
            <w:vAlign w:val="bottom"/>
          </w:tcPr>
          <w:p>
            <w:pPr>
              <w:spacing w:after="0"/>
              <w:rPr>
                <w:sz w:val="18"/>
                <w:szCs w:val="18"/>
                <w:color w:val="auto"/>
              </w:rPr>
            </w:pPr>
          </w:p>
        </w:tc>
        <w:tc>
          <w:tcPr>
            <w:tcW w:w="1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0.36 – 5.00 years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73.0%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740" w:type="dxa"/>
            <w:vAlign w:val="bottom"/>
            <w:gridSpan w:val="3"/>
          </w:tcPr>
          <w:p>
            <w:pPr>
              <w:jc w:val="right"/>
              <w:ind w:right="297"/>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$0.81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346"/>
        </w:trPr>
        <w:tc>
          <w:tcPr>
            <w:tcW w:w="3040" w:type="dxa"/>
            <w:vAlign w:val="bottom"/>
          </w:tcPr>
          <w:p>
            <w:pPr>
              <w:spacing w:after="0"/>
              <w:rPr>
                <w:sz w:val="24"/>
                <w:szCs w:val="24"/>
                <w:color w:val="auto"/>
              </w:rPr>
            </w:pPr>
          </w:p>
        </w:tc>
        <w:tc>
          <w:tcPr>
            <w:tcW w:w="3060" w:type="dxa"/>
            <w:vAlign w:val="bottom"/>
            <w:gridSpan w:val="2"/>
          </w:tcPr>
          <w:p>
            <w:pPr>
              <w:jc w:val="right"/>
              <w:ind w:right="1656"/>
              <w:spacing w:after="0"/>
              <w:rPr>
                <w:sz w:val="20"/>
                <w:szCs w:val="20"/>
                <w:color w:val="auto"/>
              </w:rPr>
            </w:pPr>
            <w:r>
              <w:rPr>
                <w:rFonts w:ascii="Times New Roman" w:cs="Times New Roman" w:eastAsia="Times New Roman" w:hAnsi="Times New Roman"/>
                <w:sz w:val="18"/>
                <w:szCs w:val="18"/>
                <w:color w:val="auto"/>
              </w:rPr>
              <w:t>F-74</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and December 31, 2023:</w:t>
      </w:r>
    </w:p>
    <w:p>
      <w:pPr>
        <w:spacing w:after="0" w:line="246"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Warrants issued with</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2023 Convertible Notes</w:t>
      </w:r>
    </w:p>
    <w:tbl>
      <w:tblPr>
        <w:tblLayout w:type="fixed"/>
        <w:tblInd w:w="1440" w:type="dxa"/>
        <w:tblCellMar>
          <w:top w:w="0" w:type="dxa"/>
          <w:left w:w="0" w:type="dxa"/>
          <w:bottom w:w="0" w:type="dxa"/>
          <w:right w:w="0" w:type="dxa"/>
        </w:tblCellMar>
      </w:tblPr>
      <w:tr>
        <w:trPr>
          <w:trHeight w:val="142"/>
        </w:trPr>
        <w:tc>
          <w:tcPr>
            <w:tcW w:w="4920" w:type="dxa"/>
            <w:vAlign w:val="bottom"/>
          </w:tcPr>
          <w:p>
            <w:pPr>
              <w:spacing w:after="0"/>
              <w:rPr>
                <w:sz w:val="12"/>
                <w:szCs w:val="12"/>
                <w:color w:val="auto"/>
              </w:rPr>
            </w:pPr>
          </w:p>
        </w:tc>
        <w:tc>
          <w:tcPr>
            <w:tcW w:w="19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 – 4.93%</w:t>
            </w:r>
          </w:p>
        </w:tc>
        <w:tc>
          <w:tcPr>
            <w:tcW w:w="4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3.88% – 5.26%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0.08 – 4.72 years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0.51 – 9.51 years</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66.3% – 73.2%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 – 62.8%</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$ 4.03</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$ 4.16</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$ 0.92</w:t>
            </w:r>
          </w:p>
        </w:tc>
        <w:tc>
          <w:tcPr>
            <w:tcW w:w="4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$ 0.74</w:t>
            </w:r>
          </w:p>
        </w:tc>
      </w:tr>
    </w:tbl>
    <w:p>
      <w:pPr>
        <w:spacing w:after="0" w:line="17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pre-funded common stock warrants has been estimated based on a probability- weighted approach of scenarios, including the scenarios that the Merger will and will not be consummated.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no Company warrants have been exercised.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reflected in the Company’s unaudited condensed consolidated statements of operations were as follows for the three and nine months ended September 30, 2024 and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120" w:type="dxa"/>
            <w:vAlign w:val="bottom"/>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6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40" w:type="dxa"/>
            <w:vAlign w:val="bottom"/>
          </w:tcPr>
          <w:p>
            <w:pPr>
              <w:spacing w:after="0"/>
              <w:rPr>
                <w:sz w:val="12"/>
                <w:szCs w:val="12"/>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Company’s operating leases had a weighted average remaining lease term of 3.4 years and a weighted average discount rate related to the Company’s right-of-use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Supplemental information related to operating leases was as follows for the three and nine months ended September 30, 2024 and 2023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6"/>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2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2023 </w:t>
            </w:r>
          </w:p>
        </w:tc>
        <w:tc>
          <w:tcPr>
            <w:tcW w:w="64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40" w:type="dxa"/>
            <w:vAlign w:val="bottom"/>
          </w:tcPr>
          <w:p>
            <w:pPr>
              <w:spacing w:after="0"/>
              <w:rPr>
                <w:sz w:val="12"/>
                <w:szCs w:val="12"/>
                <w:color w:val="auto"/>
              </w:rPr>
            </w:pPr>
          </w:p>
        </w:tc>
      </w:tr>
      <w:tr>
        <w:trPr>
          <w:trHeight w:val="178"/>
        </w:trPr>
        <w:tc>
          <w:tcPr>
            <w:tcW w:w="58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r>
      <w:tr>
        <w:trPr>
          <w:trHeight w:val="364"/>
        </w:trPr>
        <w:tc>
          <w:tcPr>
            <w:tcW w:w="580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F-75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2024, future minimum lease payments under the Company’s non-cancelable operating leases are as follows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short-term operating lease liabilities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Redeemable Convertible Preferred Stock</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authorized, issued and outstanding shares of the redeemable convertible preferred stock and liquidation preferences as of September 30, 2024 and December 31, 2023 were as follows (dollars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9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5,032,238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2,020,309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15,174,130</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4,573,935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18,392,046</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12,234,661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13,722,052</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10,211,548</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3,990,707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4,707,494</w:t>
            </w:r>
          </w:p>
        </w:tc>
        <w:tc>
          <w:tcPr>
            <w:tcW w:w="3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239,405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3,662,318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D-1</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Shadow Preferred</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3,935,839</w:t>
            </w:r>
          </w:p>
        </w:tc>
        <w:tc>
          <w:tcPr>
            <w:tcW w:w="3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D-2</w:t>
            </w:r>
          </w:p>
        </w:tc>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Shadow Preferred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27,042,965</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7,561,820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37,595</w:t>
            </w:r>
          </w:p>
        </w:tc>
        <w:tc>
          <w:tcPr>
            <w:tcW w:w="0" w:type="dxa"/>
            <w:vAlign w:val="bottom"/>
          </w:tcPr>
          <w:p>
            <w:pPr>
              <w:spacing w:after="0"/>
              <w:rPr>
                <w:sz w:val="1"/>
                <w:szCs w:val="1"/>
                <w:color w:val="auto"/>
              </w:rPr>
            </w:pPr>
          </w:p>
        </w:tc>
      </w:tr>
      <w:tr>
        <w:trPr>
          <w:trHeight w:val="223"/>
        </w:trPr>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96,650,097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net of issuance cost including cash, issuance of preferred stock warrants &amp; dividend contribution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nine months ended September 30, 2023, the Pull-Through Exchange resulted in incremental value to the investors in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60"/>
          </w:cols>
          <w:pgMar w:left="320" w:top="455" w:right="51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P2P Notes of $30.6 million, measured as the difference in the fair value of the Shadow Preferred Stock shares held after the Pull-Through Exchange to the fair value of the Converted Common held just prior to the Pull-Through Exchange, which has been accounted for as a Pay- to-Play financing charge in the accompanying condensed consolidated statements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Common stock and 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11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there were 175,095,000 shares of common stock authorized, respectively, and 17,482,174 and 17,454,353 shares issued and outstanding, respectively.</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Common stock reserved for issuance as of September 30, 2024 and December 31, 2023,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220" w:type="dxa"/>
            <w:vAlign w:val="bottom"/>
            <w:tcBorders>
              <w:bottom w:val="single" w:sz="8" w:color="CCEEFF"/>
            </w:tcBorders>
          </w:tcPr>
          <w:p>
            <w:pPr>
              <w:spacing w:after="0"/>
              <w:rPr>
                <w:sz w:val="15"/>
                <w:szCs w:val="15"/>
                <w:color w:val="auto"/>
              </w:rPr>
            </w:pPr>
          </w:p>
        </w:tc>
        <w:tc>
          <w:tcPr>
            <w:tcW w:w="73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10"/>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Shadow Preferred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2,020,309</w:t>
            </w:r>
          </w:p>
        </w:tc>
        <w:tc>
          <w:tcPr>
            <w:tcW w:w="2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4,573,935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4,573,935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Shadow Preferred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12,234,661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12,234,661</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10,211,548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10,211,548</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Shadow Preferred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3,990,707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3,990,707</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 Exchange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239,405</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239,405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D-1 Shadow Preferred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3,662,318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3,662,318</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D-2 Shadow Preferred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7,561,820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7,561,820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Series D Shadow and Series D-2 Shadow preferred stock</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756,172</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outstanding for future issuance of common stock</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764,330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721,086</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300" w:type="dxa"/>
            <w:vAlign w:val="bottom"/>
            <w:gridSpan w:val="2"/>
          </w:tcPr>
          <w:p>
            <w:pPr>
              <w:jc w:val="right"/>
              <w:ind w:right="2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1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(  )</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2,000,000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7,007,582</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4,500,000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21,130,207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21,354,809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available for future issuance</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1,036,487</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839,706</w:t>
            </w:r>
          </w:p>
        </w:tc>
      </w:tr>
      <w:tr>
        <w:trPr>
          <w:trHeight w:val="27"/>
        </w:trPr>
        <w:tc>
          <w:tcPr>
            <w:tcW w:w="12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74,681,899</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75,514,616</w:t>
            </w:r>
          </w:p>
        </w:tc>
      </w:tr>
      <w:tr>
        <w:trPr>
          <w:trHeight w:val="20"/>
        </w:trPr>
        <w:tc>
          <w:tcPr>
            <w:tcW w:w="12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2" w:lineRule="exact"/>
        <w:rPr>
          <w:sz w:val="20"/>
          <w:szCs w:val="20"/>
          <w:color w:val="auto"/>
        </w:rPr>
      </w:pPr>
    </w:p>
    <w:p>
      <w:pPr>
        <w:ind w:left="540" w:right="280" w:hanging="424"/>
        <w:spacing w:after="0" w:line="282"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September 30, 2024 and December 31 ,2023 due to the variable settlement terms (see Note 8).</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4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service-based options outstanding to purchase a total of 16,330,351 shares of common stock under the Plan and 4,799,856 unvested RSUs. As of September 30, 2024, 1,036,487 shares of common stock were available for issuance for either option or RSU grants under the 2011 Amended Plan.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option activity for the nine months ended September 30, 2024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16,437,980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1.12</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(27,821)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(76,558)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11.17</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 at 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16,330,351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1.07</w:t>
            </w:r>
          </w:p>
        </w:tc>
        <w:tc>
          <w:tcPr>
            <w:tcW w:w="4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Vested/expected to vest at September 30, 2024</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16,330,351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options at September 30, 2024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6,772,090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approximately $2.4 million of total unrecognized compensation cost related to unvested options granted, which is expected to be recognized over the weighted-average period of 1.9 years.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during the three and nine months ended September 30, 2024 and 2023, as follows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2023 </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10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4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2023 </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F-78</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nine months ended September 30, 2024.</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Restricted-Stock Units: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inclusive of the six million RSUs issued to an investor (see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7 and 13), for the nine months ended September 30, 2024 is as follows: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4,916,829</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14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center"/>
              <w:ind w:left="134"/>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(116,973)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4,799,856</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September 30, 2024, no stock-based compensation expense was recognized for the periods presented. The probability will be evaluated each reporting period. As of September 30, 2024, there was $4.4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2024, the Company had outstanding purchase orders and contractual obligations totaling $0.3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three and nine months ended September 30, 2024 and 2023, the Company purchased inventories due to this obligation as follows (in thousands):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0" w:type="dxa"/>
            <w:vAlign w:val="bottom"/>
          </w:tcPr>
          <w:p>
            <w:pPr>
              <w:spacing w:after="0"/>
              <w:rPr>
                <w:sz w:val="13"/>
                <w:szCs w:val="13"/>
                <w:color w:val="auto"/>
              </w:rPr>
            </w:pPr>
          </w:p>
        </w:tc>
        <w:tc>
          <w:tcPr>
            <w:tcW w:w="1300" w:type="dxa"/>
            <w:vAlign w:val="bottom"/>
            <w:gridSpan w:val="4"/>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7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600" w:type="dxa"/>
            <w:vAlign w:val="bottom"/>
          </w:tcPr>
          <w:p>
            <w:pPr>
              <w:spacing w:after="0"/>
              <w:rPr>
                <w:sz w:val="15"/>
                <w:szCs w:val="15"/>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32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9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30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2023 </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76"/>
              </w:rPr>
              <w:t>2023 </w:t>
            </w:r>
          </w:p>
        </w:tc>
        <w:tc>
          <w:tcPr>
            <w:tcW w:w="6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purchases related to purchase obligation</w:t>
            </w: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346</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$ 4,088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Company finished goods, these components are considered in the Company’s reserve estimate for excess and obsolete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inventory. Furthermore, the Company accrues for losses on commitments for the future purchase on non- 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September 30, 2024 and December 31, 2023, the liability balance of the Company’s accrued losses on accrued purchase commitments equaled $1.4 million and $3.6 million, respectively, on the condensed consolidated balance sheets.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unaudited condensed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2024, BurTech, Merger Sub, the Company and Burkhan entered into an Amendment No. 2 to Agreement and Plan of Merger (the “Second Amendment to Merger Agreement”). See Note 16.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19, 2024, the Company entered into an engagement letter with KeyBanc Capital Markets Inc. (“KBCM”) to serve as its</w:t>
      </w:r>
    </w:p>
    <w:p>
      <w:pPr>
        <w:spacing w:after="0" w:line="27" w:lineRule="exact"/>
        <w:rPr>
          <w:sz w:val="20"/>
          <w:szCs w:val="20"/>
          <w:color w:val="auto"/>
        </w:rPr>
      </w:pPr>
    </w:p>
    <w:p>
      <w:pPr>
        <w:ind w:left="5460" w:right="4900" w:hanging="5344"/>
        <w:spacing w:after="0" w:line="433" w:lineRule="auto"/>
        <w:tabs>
          <w:tab w:leader="none" w:pos="33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strategic advisor in connection with the Business Combination, (ii) sole F-80</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but KBCM has used reasonable best efforts to secure such a private placement, a fee of $500,000 promptly (but not later than two business days) following the closing of the Business Combination. Additionally, a sale transaction fee will be paid, calculated as the greater of $3,000,000 or 1% of the transaction value.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Related Party Transactions and Balances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revenues of approximately $0.8 million, or approximately 97% of its total revenue, from sales to one minority stockholder. During the nine months ended September 30, 2024, the Company recognized revenues of approximately $1.5 million, or approximately 98% of its total revenue, from sales to two minority stockholders representing 77% and 21%, respectively. During the three and nine months ended September 30, 2023, the Company recognized revenues of approximately $0.6 million and $3.4 million, respectively, or 97% and nearly 100% of its total revenues, from sales to one minority stockholder. As of September 30, 2024 and December 31, 2023, there was zero and $0.5 million of accounts receivables from one of these customers, respectively, all of which was unbilled.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7)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September 30, 2024, the related party 2023 Convertible Note and 2023 Convertible Note Warrants approximate $7.9 million and $0.5 million, respectively. As of December 31, 2023, the related party 2023 Convertible Note and 2023 Convertible Note Warrants approximate $7.3 million and $0.9 million, respectively. During the three and nine months ended September 30, 2024, the change in fair value for the 2023 Convertible Note and 2023 Convertible Note Warrants equaled $0.3 million and $0.6 million, respectively, and ($37,000) and ($0.4) million, respectively (see Note 4).</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the Company had a revenue arrangement, representing zero percent of revenue for the three months ended September 30, 2024 and 2023, and 21% and zero percent of revenue for the nine months ended September 30, 2024 and 2023, respectively,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September 30, 2024, the related party P2P Note and P2P Warrants approximate $4.2 million and $0.2 million, respectively. As of December 31, 2023, the related party P2P Note and P2P Warrants approximate $3.9 million and $0.3 million, respectively. During the three and nine months ended September 30, 2024, the change in fair value for the P2P Note and P2P Warrants equaled ($17,000) and $0.4 million, and ($1,000) and ($13,000), respectively (see Note 4).</w:t>
      </w:r>
    </w:p>
    <w:p>
      <w:pPr>
        <w:spacing w:after="0" w:line="188"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December 2022, one of the minority stockholders with which the Company had a revenue arrangement, representing 97% of total revenues for the three months ended September 30, 2024 and 2023, and 77% and nearly 100% of total revenues for the nine months ended September 30, 2024 and 2023, and zero percent and 98% of accounts receivable as of September 30, 2024 and December 31, 2023, respectively, also invested in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September 30, 2024, the fair value of the related party P2P Note and P2P Warrants approximate $0.5 million and $28,000, respectively. As of December 31, 2023, the related party P2P Note and P2P Warrants approximate $0.4 million and $29,000, respectively. During the three and nine months ended September 30, 2024, the change in fair value for the P2P Note equaled ($2,000) and $41,000, respectively (see Note 4). During the three and nine months ended September 30, 2024, the change in fair value for the P2P Note Warrants was immaterial (see Note 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Shareholders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 attributable to common stockholders for the three and nine months ended September 30, 2024 and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500" w:type="dxa"/>
            <w:vAlign w:val="bottom"/>
            <w:tcBorders>
              <w:top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500" w:type="dxa"/>
            <w:vAlign w:val="bottom"/>
            <w:tcBorders>
              <w:top w:val="single" w:sz="8" w:color="auto"/>
            </w:tcBorders>
            <w:gridSpan w:val="2"/>
          </w:tcPr>
          <w:p>
            <w:pPr>
              <w:jc w:val="right"/>
              <w:ind w:right="8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2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20" w:type="dxa"/>
            <w:vAlign w:val="bottom"/>
          </w:tcPr>
          <w:p>
            <w:pPr>
              <w:spacing w:after="0"/>
              <w:rPr>
                <w:sz w:val="12"/>
                <w:szCs w:val="12"/>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(11,994)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(54,503)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(62,864)</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 net loss per share attributable to common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17,478,371</w:t>
            </w:r>
          </w:p>
        </w:tc>
        <w:tc>
          <w:tcPr>
            <w:tcW w:w="1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3,551,881</w:t>
            </w:r>
          </w:p>
        </w:tc>
        <w:tc>
          <w:tcPr>
            <w:tcW w:w="12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17,466,606</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3,551,881</w:t>
            </w:r>
          </w:p>
        </w:tc>
      </w:tr>
      <w:tr>
        <w:trPr>
          <w:trHeight w:val="198"/>
        </w:trPr>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 for the three and nine months ended September 30, 2024 and 2023:</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20" w:type="dxa"/>
            <w:vAlign w:val="bottom"/>
          </w:tcPr>
          <w:p>
            <w:pPr>
              <w:spacing w:after="0"/>
              <w:rPr>
                <w:sz w:val="12"/>
                <w:szCs w:val="12"/>
                <w:color w:val="auto"/>
              </w:rPr>
            </w:pPr>
          </w:p>
        </w:tc>
        <w:tc>
          <w:tcPr>
            <w:tcW w:w="1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2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220" w:type="dxa"/>
            <w:vAlign w:val="bottom"/>
          </w:tcPr>
          <w:p>
            <w:pPr>
              <w:spacing w:after="0"/>
              <w:rPr>
                <w:sz w:val="12"/>
                <w:szCs w:val="12"/>
                <w:color w:val="auto"/>
              </w:rPr>
            </w:pPr>
          </w:p>
        </w:tc>
      </w:tr>
      <w:tr>
        <w:trPr>
          <w:trHeight w:val="210"/>
        </w:trPr>
        <w:tc>
          <w:tcPr>
            <w:tcW w:w="5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44,494,703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16,330,351</w:t>
            </w:r>
          </w:p>
        </w:tc>
        <w:tc>
          <w:tcPr>
            <w:tcW w:w="6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16,444,551</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16,330,351</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16,444,551</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4,799,856</w:t>
            </w:r>
          </w:p>
        </w:tc>
        <w:tc>
          <w:tcPr>
            <w:tcW w:w="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10,945,814</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4,799,856</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10,945,814</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Series D and D-2 preferred stock warrants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756,172</w:t>
            </w:r>
          </w:p>
        </w:tc>
        <w:tc>
          <w:tcPr>
            <w:tcW w:w="6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1,094,667</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756,172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1,094,667</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warrants (estimated See Note 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764,330</w:t>
            </w:r>
          </w:p>
        </w:tc>
        <w:tc>
          <w:tcPr>
            <w:tcW w:w="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801,463</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764,330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801,463</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Notes warrants – 2023</w:t>
            </w:r>
          </w:p>
        </w:tc>
        <w:tc>
          <w:tcPr>
            <w:tcW w:w="1460" w:type="dxa"/>
            <w:vAlign w:val="bottom"/>
            <w:gridSpan w:val="3"/>
          </w:tcPr>
          <w:p>
            <w:pPr>
              <w:ind w:left="6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580" w:type="dxa"/>
            <w:vAlign w:val="bottom"/>
            <w:gridSpan w:val="2"/>
          </w:tcPr>
          <w:p>
            <w:pPr>
              <w:jc w:val="right"/>
              <w:ind w:right="4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520" w:type="dxa"/>
            <w:vAlign w:val="bottom"/>
            <w:gridSpan w:val="2"/>
          </w:tcPr>
          <w:p>
            <w:pPr>
              <w:ind w:left="72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c>
          <w:tcPr>
            <w:tcW w:w="114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 xml:space="preserve"> </w:t>
            </w:r>
            <w:r>
              <w:rPr>
                <w:rFonts w:ascii="Times New Roman" w:cs="Times New Roman" w:eastAsia="Times New Roman" w:hAnsi="Times New Roman"/>
                <w:sz w:val="11"/>
                <w:szCs w:val="11"/>
                <w:color w:val="auto"/>
              </w:rPr>
              <w:t xml:space="preserve">  (a)</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2,063</w:t>
            </w:r>
          </w:p>
        </w:tc>
        <w:tc>
          <w:tcPr>
            <w:tcW w:w="15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Pre-funded warrant (estimated See Note 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6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2,000,000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 April 2024 (estimated See Note 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6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73,645,412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73,783,261</w:t>
            </w:r>
          </w:p>
        </w:tc>
        <w:tc>
          <w:tcPr>
            <w:tcW w:w="6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73,645,412</w:t>
            </w:r>
          </w:p>
        </w:tc>
        <w:tc>
          <w:tcPr>
            <w:tcW w:w="6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73,783,261</w:t>
            </w:r>
          </w:p>
        </w:tc>
        <w:tc>
          <w:tcPr>
            <w:tcW w:w="2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r>
    </w:tbl>
    <w:p>
      <w:pPr>
        <w:spacing w:after="0" w:line="22" w:lineRule="exact"/>
        <w:rPr>
          <w:sz w:val="20"/>
          <w:szCs w:val="20"/>
          <w:color w:val="auto"/>
        </w:rPr>
      </w:pPr>
    </w:p>
    <w:p>
      <w:pPr>
        <w:ind w:left="540" w:right="280" w:hanging="424"/>
        <w:spacing w:after="0" w:line="282"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shares to be issued upon exercise of the 2023 Convertible Note Warrants is not determinable as of September 30, 2024 due to the variable settlement terms (see Note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ind w:left="120" w:right="980" w:firstLine="440"/>
        <w:spacing w:after="0" w:line="282"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meeting certain age and service requirements. The Company makes discretionary contributions to the 401(k) plan. The Company recorded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$0.2 million and $0.6 million, respectively and $0.1 million and $0.4 million, respectively in matching contributions for the three and nine months ended September 30, 2024 and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September 30, 2024 and December 31, 2023, the related liability is included within accrued compensation on the condensed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November 11, 2024, the date on which these condensed consolidated financial statements were available to be issued and has determined that the following subsequent events are reportable other than those disclosed elsewhere in the condensed consolidated financial statements.</w:t>
      </w:r>
    </w:p>
    <w:p>
      <w:pPr>
        <w:spacing w:after="0" w:line="176"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October 24, 2024, BurTech, Merger Sub, the Company and Burkhan entered into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64" w:lineRule="exact"/>
        <w:rPr>
          <w:sz w:val="20"/>
          <w:szCs w:val="20"/>
          <w:color w:val="auto"/>
        </w:rPr>
      </w:pPr>
    </w:p>
    <w:p>
      <w:pPr>
        <w:jc w:val="both"/>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On October 24, 2024, the Company’s Board of Directors approved the issuance of a total of 900,000 common stock options to a director and an executive officer. Additionally, contingent on shareholder approval for an increase in the number of shares issuable under the 2011 Amended Plan, the Board approved the issuance of 21,329,457 contingently exercisable common stock options and the cancellation of 135,400 restricted stock units.</w:t>
      </w:r>
    </w:p>
    <w:p>
      <w:pPr>
        <w:spacing w:after="0" w:line="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Finally, contingent upon the close of the proposed merger on or before December 31, 2024 and continued employment or services to the Company on the applicable grant date, the Board approved the issuance of 6,936,285 restricted stock units under the New Blaize equity plan.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BurTech Acquisition Corp. and Subsidiary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BurTech Acquisition Corp. and Subsidiary (the “Company”) as of December 31, 2023 and 2022, the related consolidated statements of operations,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1 to the financial statements, the Company is a Special Purpose Acquisition Corporation that was formed for the purpose of completing a merger, capital stock exchange, asset acquisition, stock purchase, reorganization or similar business combination with one or more businesses or entities on or before December 15, 2024. The Company entered into a definitive business combination agreement with a business combination target on December 22, 2023; however, the completion of this transaction is subject to the approval of the Company’s stockholders among other conditions. There is no assurance that the Company will obtain the necessary approvals, satisfy the required closing conditions, raise the additional capital it needs to fund its operations, and complete the transaction prior to December 15, 2024, if at all. The Company also has no approved plan in place to extend the business combination deadline and fund operations for any period of time after December 15, 2024, in the event that it is unable to complete a business combination by that date. These matters raise substantial doubt about the Company’s ability to continue as a going concern. Management’s plans with regard to these matters are also described in Note 1. The financial statements do not include any adjustments that may be necessary should the Company be unable to continue as a going concern.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7, 2024</w:t>
      </w:r>
    </w:p>
    <w:p>
      <w:pPr>
        <w:spacing w:after="0" w:line="13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0740"/>
          </w:cols>
          <w:pgMar w:left="320" w:top="455" w:right="8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4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843,313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24,539,002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186,532</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46,893,175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295,802,694</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296,011,458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2,123,846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304,952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24,539,002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810,345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1,027,644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2,523,150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10,062,500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10,062,500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11,359,210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and 28,750,000 shares at redemption value of</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$10.81 and $10.25 as of December 31, 2023 and 2022, respectively</w:t>
            </w:r>
          </w:p>
        </w:tc>
        <w:tc>
          <w:tcPr>
            <w:tcW w:w="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46,991,932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294,796,918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8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10,817,000 and 1,329,500 shares</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2,285,040 shares to be redeemed as of December 31, 2023 and excluding</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4,345,663 and 28,750,000 shares subject to possible redemption) as of December 31, 2023 and 2022,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0 and 9,487,500 shares issued and</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80" w:type="dxa"/>
            <w:vAlign w:val="bottom"/>
          </w:tcPr>
          <w:p>
            <w:pPr>
              <w:spacing w:after="0"/>
              <w:rPr>
                <w:sz w:val="20"/>
                <w:szCs w:val="20"/>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(15,839,811)</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(10,145,752)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(15,838,729)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(10,144,670)</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296,011,458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8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860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$ 3,040,539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(3,384,810)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(1,523,929)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5,751,596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3,989,294</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5,751,596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2,366,786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2,465,365</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(1,027,644)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194"/>
        </w:trPr>
        <w:tc>
          <w:tcPr>
            <w:tcW w:w="86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1,339,142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1,673,607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 subject to redemption,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10,578,271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28,750,000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Class A subject to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non-redeemable Class A common stock,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stock, non-redeemable Class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of Class B common stock,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9,071,610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 AND 2022</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1,329,500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9,487,500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949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(8,834,941)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(8,833,859)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Accretion for common stock subject to redemption amount</w:t>
            </w: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(2,984,418)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(2,984,418)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1,673,607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1,673,607</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9,487,500</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949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(10,145,752)</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(10,144,670)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Class B to Class A Shares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(9,487,500)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Non-Redemption Agreement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8,758,683</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8,758,683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 Non-Redemption Agreement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(8,758,683)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(8,758,683)</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Excise tax liability arising from redemption of Class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(2,523,150)</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(2,523,150)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common stock subject to redemption amount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(4,510,051)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(4,510,051)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1,339,142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10,817,000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(15,839,811)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(15,838,729)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BURTECH ACQUISITION CORP. AND SUBSIDIARY</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6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1,339,142</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1,673,607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(5,751,596)</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(3,989,294)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186,532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201,664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1,618,895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(232,122)</w:t>
            </w: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35,800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188,914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235,886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791,758</w:t>
            </w: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to related party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(2,335,341)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(1,372,570)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(130,370)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withdrawn from Trust Account used to pay franchise and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1,314,246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843,313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318,888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227,776,035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230,122,112</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810,345</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note payable-related party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(144,746)</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(227,776,035)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(226,965,690)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(144,746)</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821,081</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(1,517,316)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1,539,548</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year</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843,313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791,758</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2,523,150</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4,510,051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2,984,418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1,539,548</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Beginning of Year</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 Beginning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1,539,548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End of Year</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843,313</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Restricted Cash – End of Year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843,313</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March 2, 2021 (inception) through December 31,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 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w:t>
      </w:r>
    </w:p>
    <w:p>
      <w:pPr>
        <w:spacing w:after="0" w:line="3" w:lineRule="exact"/>
        <w:rPr>
          <w:sz w:val="20"/>
          <w:szCs w:val="20"/>
          <w:color w:val="auto"/>
        </w:rPr>
      </w:pPr>
    </w:p>
    <w:p>
      <w:pPr>
        <w:ind w:left="120" w:right="40" w:hanging="4"/>
        <w:spacing w:after="0" w:line="251" w:lineRule="auto"/>
        <w:tabs>
          <w:tab w:leader="none" w:pos="38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March 2023, the Company and Sponsor entered into non-redemption agreements (“Non- Redemption Agreements”) with various unaffiliated third parties in exchange for such third parties agreeing not to redeem up to an aggregate of 4,597,648 shares of the Company’s Class A common stock sold in its initial public offering (“Non-Redeemed Shares”) in connection with the special meeting of the stockholders called by the Company held on March 10, 2023 (the “Special Meeting”). In exchange for the foregoing commitments not to redeem such Non-Redeemed Shares, the Sponsor has agreed to transfer to such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8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 expired.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thorough initial negotiations, the Company has chosen not to pursue the business combination.</w:t>
      </w:r>
    </w:p>
    <w:p>
      <w:pPr>
        <w:spacing w:after="0" w:line="20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3" w:lineRule="auto"/>
        <w:rPr>
          <w:sz w:val="20"/>
          <w:szCs w:val="20"/>
          <w:color w:val="auto"/>
        </w:rPr>
      </w:pPr>
      <w:r>
        <w:rPr>
          <w:rFonts w:ascii="Times New Roman" w:cs="Times New Roman" w:eastAsia="Times New Roman" w:hAnsi="Times New Roman"/>
          <w:sz w:val="18"/>
          <w:szCs w:val="18"/>
          <w:color w:val="auto"/>
        </w:rPr>
        <w:t>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40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March 12, 2024 and April 10, 2024, the Sponsor deposited $130,370 on each date into the Trust account to extend the life of the Company from January 15, 2024 to May 15, 2024.</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w:t>
      </w:r>
    </w:p>
    <w:p>
      <w:pPr>
        <w:spacing w:after="0" w:line="2" w:lineRule="exact"/>
        <w:rPr>
          <w:sz w:val="20"/>
          <w:szCs w:val="20"/>
          <w:color w:val="auto"/>
        </w:rPr>
      </w:pPr>
    </w:p>
    <w:p>
      <w:pPr>
        <w:ind w:left="120" w:right="60" w:hanging="4"/>
        <w:spacing w:after="0" w:line="253" w:lineRule="auto"/>
        <w:tabs>
          <w:tab w:leader="none" w:pos="43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$843,313 in its restricted cash account and $71,432,177 in investments held in trust. Restricted cash is held exclusively for payment of current tax liabilities. The investments held in trust are to be used for Business Combination or to repurchase or redeem its Public shares, which includes $24,539,002 restricted to pay its current redemption liability. As of December 31, 2023, $5,751,596 of the amount on deposit in the Trust Account represents interest income.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liquidity needs up to December 31, 2023 had been satisfied through a payment from our sponsor of $25,000 for the Founder Shares to cover certain offering costs, the loan under an unsecured promissory note from the Sponsor of $810,345 and the net proceeds from the consummation of the Initial Public Offering held outside of the trust account. As of December 31, 2023, the Company had $810,345 outstanding under a Convertible Promissory Note. As of December 31, 2023, no working capital loans were outstanding.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consolidated financial statements are issued.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year ended December 31, 2023, the Company withdrew $1,162,201 from the trust account for the purposes of settling its current tax liabilities. However, the Company identified that $318,888 was erroneously withdrawn from the trust account and used for operating expenses during the year, which is not a permitted use of the trust funds per the trust agreement. As a result, the Company recorded a receivable due from the sponsor and related payable to the trust for this amount. The receivable reflects the amount due to be reimbursed to the trust account from the sponsor for the funds used for operating expenses. The sponsor has committed to reimburse the Company for this amount, ensuring that the trust account will be made whole. As of December 31, 2023, the balance of this withdrawal is included in restricted cash in the amount of $843,313 on the accompanying balance sheet, which represents the amounts withheld from the trust account available exclusively for payment of current tax liabilities.</w:t>
      </w:r>
    </w:p>
    <w:p>
      <w:pPr>
        <w:spacing w:after="0" w:line="292" w:lineRule="exact"/>
        <w:rPr>
          <w:sz w:val="20"/>
          <w:szCs w:val="20"/>
          <w:color w:val="auto"/>
        </w:rPr>
      </w:pPr>
    </w:p>
    <w:p>
      <w:pPr>
        <w:ind w:left="120" w:right="28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NOTE 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 is presented in conformity with accounting principles generally accepted in the United States of America (“GAAP”) and pursuant to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 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As of December 31, 2023 and 2022, the Company had $0 and $22,232 in cash, respectively, and no cash equivalents. At December 31, 2023 and 2022, the Company also had $843,313 and $0 of restricted cash, respectively, related to funds withdrawn from the Trust Account reserved to the payment of taxes.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At December 31, 2023 and 2022, the Company had $71,432,177 (as of December 31, 2023, $24,539,002 of this amount was restricted for redeeming shareholders, which were redeemed in December 2023 and subsequently distributed in January 2024.) and $295,802,694,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Company’s control and subject to the occurrence of uncertain future events. Accordingly, as of December 31, 2023 and 2022, 4,345,663 and 28,750,000 Class A common stock subject to possible redemption are presented at redemption value as temporary equity, outside of the stockholders’ deficit section of the Company’s balance sheets, respectively.</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2023 and 2022, the Company’s deferred tax asset had a full valuation allowance recorded against it.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Stock</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29,698,250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potential common stocks for outstanding warrants to purchase the Company’s shares were excluded from diluted earnings per share for the year ended December 31, 2023 and 2022 because the warrants are contingently exercisable, and the contingencies have not yet been met and its inclusion would be anti- dilutive. As a result, diluted net income per common stock is the same as basic net income per common stock for the periods. The table below presents a reconciliation of the numerator and denominator used to compute basic and diluted net income per share for each class of common stock:</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2"/>
                <w:szCs w:val="12"/>
                <w:color w:val="auto"/>
              </w:rPr>
            </w:pPr>
          </w:p>
        </w:tc>
      </w:tr>
      <w:tr>
        <w:trPr>
          <w:trHeight w:val="117"/>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0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20" w:type="dxa"/>
            <w:vAlign w:val="bottom"/>
          </w:tcPr>
          <w:p>
            <w:pPr>
              <w:spacing w:after="0"/>
              <w:rPr>
                <w:sz w:val="10"/>
                <w:szCs w:val="10"/>
                <w:color w:val="auto"/>
              </w:rPr>
            </w:pPr>
          </w:p>
        </w:tc>
        <w:tc>
          <w:tcPr>
            <w:tcW w:w="10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60" w:type="dxa"/>
            <w:vAlign w:val="bottom"/>
          </w:tcPr>
          <w:p>
            <w:pPr>
              <w:spacing w:after="0"/>
              <w:rPr>
                <w:sz w:val="10"/>
                <w:szCs w:val="10"/>
                <w:color w:val="auto"/>
              </w:rPr>
            </w:pPr>
          </w:p>
        </w:tc>
      </w:tr>
      <w:tr>
        <w:trPr>
          <w:trHeight w:val="173"/>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4"/>
        </w:trPr>
        <w:tc>
          <w:tcPr>
            <w:tcW w:w="27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income</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660,301</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112,586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566,255</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1,216,069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56,235</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401,303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including common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10,578,271</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1,803,670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9,071,610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1,329,500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9,487,500</w:t>
            </w:r>
          </w:p>
        </w:tc>
      </w:tr>
      <w:tr>
        <w:trPr>
          <w:trHeight w:val="194"/>
        </w:trPr>
        <w:tc>
          <w:tcPr>
            <w:tcW w:w="27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0.06</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0.06</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0.06</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0.04</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December 31, 2023 and 2022, the Company had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62"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97" w:lineRule="exact"/>
        <w:rPr>
          <w:sz w:val="20"/>
          <w:szCs w:val="20"/>
          <w:color w:val="auto"/>
        </w:rPr>
      </w:pPr>
    </w:p>
    <w:p>
      <w:pPr>
        <w:ind w:left="1080" w:right="4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2023.</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consolidated financial statements.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common stock subject to redemption reflected on the balance sheet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2022</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291,812,500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2,984,418</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294,796,918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(252,315,037)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4,510,051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46,991,932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Note 1, during the year ended December 31, 2023 an excess of $318,888 was erroneously withdrawn from the interest earned in the Trust Account for operating expenses. As of December 31, 2023, the Company recorded a receivable due from the sponsor to reimburse the Trust Account for these funds used for operating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31, 2023 and 2022, the Company incurred $120,000 and $112,903 for the administrative service fees, respectively, of which $60,000 and $0 are recorded as accrued expenses in the balance sheets,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2023, $810,345 in working capital loans were outstanding. As of December 31, 2022, no working capital loans were outstanding.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76"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left="120" w:hanging="4"/>
        <w:spacing w:after="0" w:line="253" w:lineRule="auto"/>
        <w:tabs>
          <w:tab w:leader="none" w:pos="38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 Redeeming Stockholders not to redeem the Non-Redeemed Shares, with a corresponding charge to additional paid-in capital to recognize the fair value of the Founder Shares subject to transfer as an offering cost.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9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December 31, 2023 and concluded that it is probable that a contingent liability should be recorded. As of December 31, 2023, the Company recorded $2,523,150 of excise tax liability calculated as 1% of shares redeemed on March 10, 2023 and December 15,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Support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w:t>
      </w:r>
    </w:p>
    <w:p>
      <w:pPr>
        <w:spacing w:after="0" w:line="27" w:lineRule="exact"/>
        <w:rPr>
          <w:sz w:val="20"/>
          <w:szCs w:val="20"/>
          <w:color w:val="auto"/>
        </w:rPr>
      </w:pPr>
    </w:p>
    <w:p>
      <w:pPr>
        <w:ind w:left="120" w:right="140" w:hanging="4"/>
        <w:spacing w:after="0" w:line="290" w:lineRule="auto"/>
        <w:tabs>
          <w:tab w:leader="none" w:pos="33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Agreement</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the Merger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22, 2024, the Company entered into an amendment of its Merger Agreement which modified certain terms and conditions as follows:</w:t>
      </w:r>
    </w:p>
    <w:p>
      <w:pPr>
        <w:spacing w:after="0" w:line="131" w:lineRule="exact"/>
        <w:rPr>
          <w:sz w:val="20"/>
          <w:szCs w:val="20"/>
          <w:color w:val="auto"/>
        </w:rPr>
      </w:pPr>
    </w:p>
    <w:p>
      <w:pPr>
        <w:ind w:left="1080" w:right="36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Base Purchase Price from $700 million to $767 million.</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67"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(a) the number of shares of the Excluded Company Stock multiplied by (b) the Per Company Share Merger Consideration.</w:t>
      </w:r>
    </w:p>
    <w:p>
      <w:pPr>
        <w:spacing w:after="0" w:line="67"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p>
      <w:pPr>
        <w:spacing w:after="0" w:line="81"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to Underwriting Agreement</w:t>
      </w:r>
    </w:p>
    <w:p>
      <w:pPr>
        <w:spacing w:after="0" w:line="11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11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and 2022, there were no shares of preferred stock issued or outstanding.</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December 31, 2023 and 2022, there were 10,817,000 and 1,329,500 shares issued and outstanding (excluding 2,285,040 shares to be redeemed as of December 31, 2023 and excluding 4,345,663 and 28,750,000 shares subject to possible redemption) as of December 31, 2023 and 2022, respectively.</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221" w:lineRule="exact"/>
        <w:rPr>
          <w:sz w:val="20"/>
          <w:szCs w:val="20"/>
          <w:color w:val="auto"/>
        </w:rPr>
      </w:pPr>
    </w:p>
    <w:p>
      <w:pPr>
        <w:ind w:left="120" w:right="3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20,000,000 shares of Class B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2023 and 2022, there were 0 and 9,487,500 shares of Class B common stock issued and outstanding, respectively</w:t>
      </w:r>
    </w:p>
    <w:p>
      <w:pPr>
        <w:spacing w:after="0" w:line="183"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5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net deferred tax assets (liability) at December 31, 2023 and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 (liability)</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475,133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287,868</w:t>
            </w: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 (liability)</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475,133</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287,868</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(475,133)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(287,868)</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(liability), net of allowance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2023 and 2022 consists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00" w:type="dxa"/>
            <w:vAlign w:val="bottom"/>
          </w:tcPr>
          <w:p>
            <w:pPr>
              <w:spacing w:after="0"/>
              <w:rPr>
                <w:sz w:val="15"/>
                <w:szCs w:val="15"/>
                <w:color w:val="auto"/>
              </w:rPr>
            </w:pPr>
          </w:p>
        </w:tc>
        <w:tc>
          <w:tcPr>
            <w:tcW w:w="8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5"/>
              </w:rPr>
              <w:t>$ 1,027,644</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791,758</w:t>
            </w:r>
          </w:p>
        </w:tc>
      </w:tr>
      <w:tr>
        <w:trPr>
          <w:trHeight w:val="216"/>
        </w:trPr>
        <w:tc>
          <w:tcPr>
            <w:tcW w:w="5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w:t>
            </w:r>
          </w:p>
        </w:tc>
        <w:tc>
          <w:tcPr>
            <w:tcW w:w="152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(187,264)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(274,031)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15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187,264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274,031</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$ 1,027,644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791,758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$0, respectively, of U.S. federal operating loss carryovers available to offset future taxable income, which do not expire.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2023, the change in the valuation allowance was $187,264. For the year ended December 31, 2022, the change in the valuation allowance was $274,031.</w:t>
      </w:r>
    </w:p>
    <w:p>
      <w:pPr>
        <w:spacing w:after="0" w:line="189" w:lineRule="exact"/>
        <w:rPr>
          <w:sz w:val="20"/>
          <w:szCs w:val="20"/>
          <w:color w:val="auto"/>
        </w:rPr>
      </w:pPr>
    </w:p>
    <w:p>
      <w:pPr>
        <w:jc w:val="both"/>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Company’s effective tax rate was 43.4% and 32.1% for the year ended December 31, 2023 and 2022, respectively. The effective tax rate differs from the statutory tax rate of 21% due to the valuation allowance on the deferred tax assets and deductibility of penalties on tax obligations.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2023 and 2022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90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Fines and Penalties</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8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43.4%</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is subject to examination since inception.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FAIR VALUE MEASUREMENTS</w:t>
      </w:r>
    </w:p>
    <w:p>
      <w:pPr>
        <w:spacing w:after="0" w:line="12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2023 and 2022 and indicates the fair value hierarchy of the valuation techniques the Company utilized to determine such fair value.</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8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71,432,177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71,432,177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8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 Money Market Funds held in Trust Account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295,802,694</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295,802,694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295,802,694</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295,802,694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consolidated financial statements were issued. Based upon this review, the Company did not identify any subsequent events, other than below, that would have required adjustment or disclosure in the consolidated financial statements.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January 16, 2024, February 9, 2024, March 12, 2024 and April 10, 2024, as disclosed in Note 1, the Sponsor deposited $130,370 on each date into the Trust account to extend the life of the Company from January 15, 2024 to May 15,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22, 2024, as disclosed in Note 6, the Company amended its Merger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26, 2024, as disclosed in Note 6, the Company amended its Underwriting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26, 2024, as disclosed in Note 1, the Company received confirmation of compliance from NASDAQ.</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40"/>
          </w:cols>
          <w:pgMar w:left="320" w:top="455" w:right="4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8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gridSpan w:val="2"/>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66,621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843,313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sponsor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Trust Account – Restricted for Redeeming Shareholders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24,539,002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56,750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25,701,203</w:t>
            </w: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49,915,251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46,893,175</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50,108,063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3,119,430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2,123,846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Trust Account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Redeemed stock payable to public stockholders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24,539,002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810,345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sponsor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2,164,291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406,071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1,027,644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Backstop Subscription Agreement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446,776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2,523,150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2,523,150</w:t>
            </w:r>
          </w:p>
        </w:tc>
      </w:tr>
      <w:tr>
        <w:trPr>
          <w:trHeight w:val="22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10,379,159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31,378,675</w:t>
            </w: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10,062,500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10,062,500</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20,441,659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41,441,175</w:t>
            </w:r>
          </w:p>
        </w:tc>
        <w:tc>
          <w:tcPr>
            <w:tcW w:w="12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 possible redemption, 4,345,663 shares at redemption value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$11.4 and $10.81 as of September 30, 2024 and December 31, 2023,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49,495,242</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46,991,932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280,000,000 shares authorized; 10,816,995 shares issued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(excluding 4,345,663 shares subject to possible redemption) as of September 30, 2024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10,816,995 shares issued and outstanding (excluding 4,345,663 shares subject to possible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2,285,040 shares to be redeemed) as of December 31, 2023,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1,082</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20,000,000 shares authorized; 5 shares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(19,829,920)</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(15,839,811)</w:t>
            </w:r>
          </w:p>
        </w:tc>
      </w:tr>
      <w:tr>
        <w:trPr>
          <w:trHeight w:val="27"/>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(19,828,838)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(15,838,729)</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50,108,063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72,594,378</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3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6"/>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3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1,252,114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00" w:type="dxa"/>
            <w:vAlign w:val="bottom"/>
          </w:tcPr>
          <w:p>
            <w:pPr>
              <w:spacing w:after="0"/>
              <w:rPr>
                <w:sz w:val="18"/>
                <w:szCs w:val="18"/>
                <w:color w:val="auto"/>
              </w:rPr>
            </w:pPr>
          </w:p>
        </w:tc>
        <w:tc>
          <w:tcPr>
            <w:tcW w:w="11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156,259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294,271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(1,302,114)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(727,703)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(2,526,265)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(2,179,968)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earned on Trust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638,323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910,391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1,892,313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198"/>
        </w:trPr>
        <w:tc>
          <w:tcPr>
            <w:tcW w:w="5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derivative liability – Backstop Subscription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tcPr>
          <w:p>
            <w:pPr>
              <w:spacing w:after="0"/>
              <w:rPr>
                <w:sz w:val="20"/>
                <w:szCs w:val="20"/>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(89,929)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(446,776)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548,394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910,391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1,445,537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(753,720)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182,688</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(1,080,728)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2,629,834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(122,233)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(179,326)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(406,071)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(952,909)</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(875,953</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(1,486,799</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subject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basic and diluted</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4,345,663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6,630,703</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4,345,663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12,059,248</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common stock, Class A subject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(0.10)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of non-redeemable Class A and Class B</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 and diluted</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w w:val="96"/>
              </w:rPr>
              <w:t>10,817,000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1,329,500</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8"/>
              </w:rPr>
              <w:t>10,817,000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1,329,500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common stock, non-redeemable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and Class B common stock,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(0.06 )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(0.10 )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9,487,500</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B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3"/>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2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40" w:type="dxa"/>
            <w:vAlign w:val="bottom"/>
            <w:gridSpan w:val="2"/>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$ 1,082</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$(15,839,811)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$(15,838,729)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(800,030)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(800,030)</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(10,633)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$ 1,082</w:t>
            </w:r>
          </w:p>
        </w:tc>
        <w:tc>
          <w:tcPr>
            <w:tcW w:w="2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$(16,650,474)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$(16,649,392)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(846,082)</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(846,082)</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9"/>
              </w:rPr>
              <w:t>— </w:t>
            </w:r>
          </w:p>
        </w:tc>
        <w:tc>
          <w:tcPr>
            <w:tcW w:w="240" w:type="dxa"/>
            <w:vAlign w:val="bottom"/>
            <w:gridSpan w:val="2"/>
          </w:tcPr>
          <w:p>
            <w:pPr>
              <w:spacing w:after="0"/>
              <w:rPr>
                <w:sz w:val="17"/>
                <w:szCs w:val="17"/>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(600,213)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(600,213)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$ 1,082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$(18,096,769)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$(18,095,687)</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(857,198)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(857,198)</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(875,953)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(875,953)</w:t>
            </w:r>
          </w:p>
        </w:tc>
        <w:tc>
          <w:tcPr>
            <w:tcW w:w="0" w:type="dxa"/>
            <w:vAlign w:val="bottom"/>
          </w:tcPr>
          <w:p>
            <w:pPr>
              <w:spacing w:after="0"/>
              <w:rPr>
                <w:sz w:val="1"/>
                <w:szCs w:val="1"/>
                <w:color w:val="auto"/>
              </w:rPr>
            </w:pPr>
          </w:p>
        </w:tc>
      </w:tr>
      <w:tr>
        <w:trPr>
          <w:trHeight w:val="208"/>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10,816,995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$ 1,082</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 </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(19,829,920</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(19,828,838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8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133</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9,487,500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$(10,145,752)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$(10,144,670)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8,758,683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8,758,683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Non-Redemption Agreement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(8,758,683)</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(8,758,683)</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Excise tax liability arising from redemption of Class A shares</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(2,277,760)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(2,277,760)</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(2,276,329)</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(2,276,329)</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1,574,791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1,574,791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133</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$(13,125,050)</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$(13,123,968)</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(605,227)</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(605,227)</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98,772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1"/>
              </w:rPr>
              <w:t>133</w:t>
            </w:r>
          </w:p>
        </w:tc>
        <w:tc>
          <w:tcPr>
            <w:tcW w:w="260" w:type="dxa"/>
            <w:vAlign w:val="bottom"/>
          </w:tcPr>
          <w:p>
            <w:pPr>
              <w:spacing w:after="0"/>
              <w:rPr>
                <w:sz w:val="18"/>
                <w:szCs w:val="18"/>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9,487,500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$(13,631,505)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$(13,630,423)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for common stock subject to redemption amount</w:t>
            </w: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(681,066)</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(681,066)</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1,329,500</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133</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9,487,500</w:t>
            </w:r>
          </w:p>
        </w:tc>
        <w:tc>
          <w:tcPr>
            <w:tcW w:w="4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1"/>
              </w:rPr>
              <w:t>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(14,309,209)</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(14,308,127)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140"/>
          </w:cols>
          <w:pgMar w:left="320" w:top="455" w:right="4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(1,486,799)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1,676,925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earned on cash and investments held in Trust Account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(1,892,313)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(4,809,802)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liability – Backstop Subscription Agreement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446,776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(56,750)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129,867</w:t>
            </w:r>
          </w:p>
        </w:tc>
        <w:tc>
          <w:tcPr>
            <w:tcW w:w="0" w:type="dxa"/>
            <w:vAlign w:val="bottom"/>
          </w:tcPr>
          <w:p>
            <w:pPr>
              <w:spacing w:after="0"/>
              <w:rPr>
                <w:sz w:val="1"/>
                <w:szCs w:val="1"/>
                <w:color w:val="auto"/>
              </w:rPr>
            </w:pPr>
          </w:p>
        </w:tc>
      </w:tr>
      <w:tr>
        <w:trPr>
          <w:trHeight w:val="216"/>
        </w:trPr>
        <w:tc>
          <w:tcPr>
            <w:tcW w:w="7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612,500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67,600</w:t>
            </w:r>
          </w:p>
        </w:tc>
        <w:tc>
          <w:tcPr>
            <w:tcW w:w="0" w:type="dxa"/>
            <w:vAlign w:val="bottom"/>
          </w:tcPr>
          <w:p>
            <w:pPr>
              <w:spacing w:after="0"/>
              <w:rPr>
                <w:sz w:val="1"/>
                <w:szCs w:val="1"/>
                <w:color w:val="auto"/>
              </w:rPr>
            </w:pPr>
          </w:p>
        </w:tc>
      </w:tr>
      <w:tr>
        <w:trPr>
          <w:trHeight w:val="216"/>
        </w:trPr>
        <w:tc>
          <w:tcPr>
            <w:tcW w:w="7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161,151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(2,500,873)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(2,161,759)</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withdrawn from Trust Account to pay franchise and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43,564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2,039,910</w:t>
            </w: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deposits into Trust Account for Extension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(1,173,329)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24,539,002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227,776,035</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23,409,237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229,815,945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Advances from sponsor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2,164,291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689,655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99,975</w:t>
            </w:r>
          </w:p>
        </w:tc>
        <w:tc>
          <w:tcPr>
            <w:tcW w:w="0" w:type="dxa"/>
            <w:vAlign w:val="bottom"/>
          </w:tcPr>
          <w:p>
            <w:pPr>
              <w:spacing w:after="0"/>
              <w:rPr>
                <w:sz w:val="1"/>
                <w:szCs w:val="1"/>
                <w:color w:val="auto"/>
              </w:rPr>
            </w:pPr>
          </w:p>
        </w:tc>
      </w:tr>
      <w:tr>
        <w:trPr>
          <w:trHeight w:val="216"/>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Common Stock</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(24,539,002)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(227,776,035)</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(21,685,056)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(227,676,060)</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restricted cash</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(776,692)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the period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843,313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1,027,644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Excise tax liability arising from redemption of Class A shares</w:t>
            </w:r>
          </w:p>
        </w:tc>
        <w:tc>
          <w:tcPr>
            <w:tcW w:w="1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2,277,760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Class A common stock subject to possible redemption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2,503,310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3,562,622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Beginning of period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843,313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 Beginning of period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843,313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End of Period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66,621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 End of period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66,621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Organization, Business Operation, Liquidity and Capital Resources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one wholly owned inactive subsidiary, Burtech Merger Sub Inc. (the “Merger Sub”), a Delaware corporation, formed on December 6, 2023.</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not commenced any operations. All activity for the period from March 2, 2021 (inception) through September 30,2024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sponsor is BurTech LP LLC, (the “Sponsor”).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The Underwriting Agreement was amended subsequent to the balance sheet date, refer to Note 9.</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 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9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8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6"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w:t>
      </w:r>
    </w:p>
    <w:p>
      <w:pPr>
        <w:spacing w:after="0" w:line="3" w:lineRule="exact"/>
        <w:rPr>
          <w:sz w:val="20"/>
          <w:szCs w:val="20"/>
          <w:color w:val="auto"/>
        </w:rPr>
      </w:pPr>
    </w:p>
    <w:p>
      <w:pPr>
        <w:ind w:left="120" w:hanging="4"/>
        <w:spacing w:after="0" w:line="251" w:lineRule="auto"/>
        <w:tabs>
          <w:tab w:leader="none" w:pos="38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19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March 10, 2023, the Company and Sponsor entered into a non-redemption agreements (“Non- 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88"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30, 2023, the Company’s non-binding letter of intent for a potential business combination with CleanBay Renewables Inc. expired.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thorough initial negotiations, the Company has chosen not to pursue the business combination.</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080"/>
          </w:cols>
          <w:pgMar w:left="320" w:top="455"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and March 12, 2024, the Sponsor deposited $130,370 on each date into the Trust account to extend the life of the Company from January 15, 2024 to April 15, 2024.</w:t>
      </w:r>
    </w:p>
    <w:p>
      <w:pPr>
        <w:spacing w:after="0" w:line="188"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On April 10, 2024, May 10, 2024, June 12, 2024, July 12, 2024, August 14, 2024, September 21, 2024 and October 15, 2024 the Sponsor deposited $130,370 on each date into the Trust account to extend the life of the Company from April 15, 2024 to November 15, 2024.</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6"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w:t>
      </w:r>
    </w:p>
    <w:p>
      <w:pPr>
        <w:spacing w:after="0" w:line="2" w:lineRule="exact"/>
        <w:rPr>
          <w:sz w:val="20"/>
          <w:szCs w:val="20"/>
          <w:color w:val="auto"/>
        </w:rPr>
      </w:pPr>
    </w:p>
    <w:p>
      <w:pPr>
        <w:ind w:left="120" w:right="60" w:hanging="4"/>
        <w:spacing w:after="0" w:line="253" w:lineRule="auto"/>
        <w:tabs>
          <w:tab w:leader="none" w:pos="43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9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June 3, 2024, the Company received a notification letter from the Listing Qualifications Department of Nasdaq indicating that, as a result of the Company’s delay in filing its Quarterly Report on Form 10-Q for the period ended September 30, 2024 with SEC, the Company was not in compliance with the requirements for continued listing under Nasdaq Listing Rule 5250(c)(1).</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July 18, 2024, the Company and Blaize filed the registration statement Form S-4 Related to Proposed Business Combination detailed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$66,621 in its restricted cash account and $49,915,251 in investments held in trust. Restricted cash is held exclusively for payment of current tax liabilities. As of September 30, 2024, $4,633,444 of the amount on deposit in the Trust Account represents interest income.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liquidity needs up to September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September 30, 2024, the Company had $1,500,000 outstanding under a Convertible Promissory Note and $2,164,291 outstanding as advances from sponsor.</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was less than seven months from its mandatory liquidation as of the time of filing of Annual Report on Form 10-K and the Company has extended its liquidation date to December 15, 2024.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consolidated financial statements are issued.</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These condensed consolidated financial statements do not include any adjustments relating to the recovery of the recorded assets or the classification of the liabilities that might be necessary should the Company be unable to continue as a going concern.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due from sponsor and trust payable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Trust agreement, the Company is permitted to withdraw funds from the trust account to pay its tax obligations, including income and franchise taxes. During the nine months ended September 30, 2024, the Company withdrew $43,564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at September 30, 2024 and December 31, 2023 amounted to $69,441 and $318,888, respectively. As of September 30, 2024 and December 31, 2023, the balance in restricted cash in the amount of $66,621 and $843,313, respectively, on the accompanying condensed consolidated balance sheets, represents amounts withheld from the trust account available exclusively for payment of current tax liabilities.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consolidated financial statements reflect all adjustments, which</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include only normal recurring adjustments necessary for the fair statement of the balances and results for the periods presented. The interim results for the three and nine months ended September 30, 2024 are not necessarily indicative of the results to be expected for the year ending December 31, 2024 or for any future interim periods.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financial statements and notes thereto included in the Company’s Annual Report on Form 10-K as of and for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Revision to Prior Financial Statements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11, 2023, the Company converted 9,487,495 Class B Shares to Class A Shares. In prior financial statements it was reflected that 9,487,500 were transferred from Class B shares to Class A shares. This revision only impacts the condensed consolidated statements of equity whereas 5 shares are shown as Class B Shares and Class A shares are shown as 9,487,495. There are no other impacts to the Company’s financials.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 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fair value of the warrant liabilities and the derivative liability — Backstop Subscription Agreement. Such estimates may be subject to change as more current information becomes available and accordingly, the actual results could differ significantly from those estimates.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September 30, 2024 and December 31, 2023, the Company had no cash and no cash equivalents. At September 30, 2024 and December 31, 2023, the Company also had $66,621 and $843,313 of restricted cash, respectively, related to funds withdrawn from the Trust Account reserved to the payment of taxes.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September 30, 2024 and December 31, 2023, the Company had $49,915,251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from Equity.” Common stock subject to mandatory redemption (if any) is classified as a liability instrument and measured at fair value.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Conditionally redeemable common stock (including common stock that feature redemption rights that are either within the control of the holder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redemption upon the occurrence of uncertain events not solely within the Company’s control) are classified as temporary equity. At all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times, common stock is classified as stockholders’ equity. The Company’s Class A common stock feature certain redemption rights that are considered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outside of the Company’s control and subject to the occurrence of uncertain future events. Accordingly, as of September 30,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4,345,663 Class A common stock subject to possible redemption are presented at redemption value as temporary equity, outside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stockholders’ deficit section of the Company’s balance sheets.</w:t>
      </w:r>
    </w:p>
    <w:p>
      <w:pPr>
        <w:spacing w:after="0" w:line="20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SEC Staff Accounting bulletin Topic 5A — “Expenses of Offering”, and SEC Staff Accounting bulletin Topic 5T — “Accounting for Expenses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F-123</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September 30, 2024 and December 31, 2023, the Company’s deferred tax asset had a full valuation allowance recorded against it.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income taxes and unrecognized tax benefits as income tax expense. There were no unrecognized tax benefits as of September 30, 2024 and December 31, 2023. During the three and nine months ended September 30, 2024, the Company’s provision for income taxes included $41,498 for interest and penalties. The $41,498 is included in income taxes payable on the Company’s condensed balance sheets as of September 30, 2024. The Company is currently not aware of any issues under review that could result in significant payments, accruals or material deviation from its position.</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(16.22)% and 98.16% for the three months ended September 30, 2024 and 2023, respectively, and (37.57)% and 36.23% for the nine months ended September 30, 2024 and 2023, respectively. The effective tax rate differs from the statutory tax rate of 21% due to the valuation allowance on the deferred tax assets and the deductibility of penalties on tax obligations and merger and acquisition costs.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F-124</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can impact its annualized book income and its impact on the effective tax rate. As such, the Company is computing its taxable income (loss) and associated income tax provision based on actual results through September 30,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nine months ended September 30, 2024 and 2023 because the warrants are contingently exercisable, and the contingencies have not yet been met and its inclusion would be anti- dilutive. As a result, diluted net income or loss per common stock is the same as basic net income or loss per common stock for the periods. The table below presents a reconciliation of the numerator and denominator used to compute basic and diluted net income or loss per share for each class of common stock:</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Pr>
          <w:p>
            <w:pPr>
              <w:spacing w:after="0"/>
              <w:rPr>
                <w:sz w:val="12"/>
                <w:szCs w:val="12"/>
                <w:color w:val="auto"/>
              </w:rPr>
            </w:pPr>
          </w:p>
        </w:tc>
        <w:tc>
          <w:tcPr>
            <w:tcW w:w="1460" w:type="dxa"/>
            <w:vAlign w:val="bottom"/>
            <w:gridSpan w:val="3"/>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200" w:type="dxa"/>
            <w:vAlign w:val="bottom"/>
          </w:tcPr>
          <w:p>
            <w:pPr>
              <w:spacing w:after="0"/>
              <w:rPr>
                <w:sz w:val="12"/>
                <w:szCs w:val="12"/>
                <w:color w:val="auto"/>
              </w:rPr>
            </w:pPr>
          </w:p>
        </w:tc>
        <w:tc>
          <w:tcPr>
            <w:tcW w:w="820" w:type="dxa"/>
            <w:vAlign w:val="bottom"/>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2"/>
                <w:szCs w:val="12"/>
                <w:color w:val="auto"/>
              </w:rPr>
            </w:pPr>
          </w:p>
        </w:tc>
      </w:tr>
      <w:tr>
        <w:trPr>
          <w:trHeight w:val="117"/>
        </w:trPr>
        <w:tc>
          <w:tcPr>
            <w:tcW w:w="2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46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60" w:type="dxa"/>
            <w:vAlign w:val="bottom"/>
          </w:tcPr>
          <w:p>
            <w:pPr>
              <w:spacing w:after="0"/>
              <w:rPr>
                <w:sz w:val="10"/>
                <w:szCs w:val="10"/>
                <w:color w:val="auto"/>
              </w:rPr>
            </w:pPr>
          </w:p>
        </w:tc>
      </w:tr>
      <w:tr>
        <w:trPr>
          <w:trHeight w:val="173"/>
        </w:trPr>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5"/>
                <w:szCs w:val="15"/>
                <w:color w:val="auto"/>
              </w:rPr>
            </w:pPr>
          </w:p>
        </w:tc>
        <w:tc>
          <w:tcPr>
            <w:tcW w:w="146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5"/>
                <w:szCs w:val="15"/>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4"/>
        </w:trPr>
        <w:tc>
          <w:tcPr>
            <w:tcW w:w="26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Allocation of net (loss)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(251,051)</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(624,902)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including common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subject to redemption</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4,345,663</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10,817,000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6,630,703</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1,329,500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9,487,500</w:t>
            </w:r>
          </w:p>
        </w:tc>
      </w:tr>
      <w:tr>
        <w:trPr>
          <w:trHeight w:val="194"/>
        </w:trPr>
        <w:tc>
          <w:tcPr>
            <w:tcW w:w="2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(0.06)</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(0.06)</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365"/>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F-125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gridSpan w:val="4"/>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35"/>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640"/>
              <w:spacing w:after="0" w:line="13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tcBorders>
              <w:top w:val="single" w:sz="8" w:color="auto"/>
            </w:tcBorders>
            <w:gridSpan w:val="2"/>
          </w:tcPr>
          <w:p>
            <w:pPr>
              <w:ind w:left="80"/>
              <w:spacing w:after="0" w:line="136" w:lineRule="exact"/>
              <w:rPr>
                <w:sz w:val="20"/>
                <w:szCs w:val="20"/>
                <w:color w:val="auto"/>
              </w:rPr>
            </w:pPr>
            <w:r>
              <w:rPr>
                <w:rFonts w:ascii="Times New Roman" w:cs="Times New Roman" w:eastAsia="Times New Roman" w:hAnsi="Times New Roman"/>
                <w:sz w:val="14"/>
                <w:szCs w:val="14"/>
                <w:b w:val="1"/>
                <w:bCs w:val="1"/>
                <w:color w:val="auto"/>
              </w:rPr>
              <w:t>Class A and B</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75"/>
              <w:spacing w:after="0" w:line="13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95"/>
              <w:spacing w:after="0" w:line="136"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1"/>
                <w:szCs w:val="11"/>
                <w:color w:val="auto"/>
              </w:rPr>
            </w:pPr>
          </w:p>
        </w:tc>
      </w:tr>
      <w:tr>
        <w:trPr>
          <w:trHeight w:val="117"/>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420" w:type="dxa"/>
            <w:vAlign w:val="bottom"/>
          </w:tcPr>
          <w:p>
            <w:pPr>
              <w:spacing w:after="0"/>
              <w:rPr>
                <w:sz w:val="10"/>
                <w:szCs w:val="10"/>
                <w:color w:val="auto"/>
              </w:rPr>
            </w:pPr>
          </w:p>
        </w:tc>
        <w:tc>
          <w:tcPr>
            <w:tcW w:w="10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420" w:type="dxa"/>
            <w:vAlign w:val="bottom"/>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Non-redeemable</w:t>
            </w:r>
          </w:p>
        </w:tc>
        <w:tc>
          <w:tcPr>
            <w:tcW w:w="60" w:type="dxa"/>
            <w:vAlign w:val="bottom"/>
          </w:tcPr>
          <w:p>
            <w:pPr>
              <w:spacing w:after="0"/>
              <w:rPr>
                <w:sz w:val="10"/>
                <w:szCs w:val="10"/>
                <w:color w:val="auto"/>
              </w:rPr>
            </w:pPr>
          </w:p>
        </w:tc>
      </w:tr>
      <w:tr>
        <w:trPr>
          <w:trHeight w:val="173"/>
        </w:trPr>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5"/>
                <w:szCs w:val="15"/>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4"/>
        </w:trPr>
        <w:tc>
          <w:tcPr>
            <w:tcW w:w="29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Basic and diluted net (loss) income</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8"/>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(426,121)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(1,060,678)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883,994</w:t>
            </w: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97,458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695,474</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common stock subject to</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4,345,663</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10,817,000</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12,059,248</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1,329,500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9,487,500</w:t>
            </w:r>
          </w:p>
        </w:tc>
      </w:tr>
      <w:tr>
        <w:trPr>
          <w:trHeight w:val="194"/>
        </w:trPr>
        <w:tc>
          <w:tcPr>
            <w:tcW w:w="29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income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8"/>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(0.10)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0.07</w:t>
            </w:r>
          </w:p>
        </w:tc>
        <w:tc>
          <w:tcPr>
            <w:tcW w:w="30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September 30, 2024 and December 31, 2023, the Company had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fair value of the Company’s assets and liabilities, which qualify as financial instruments under the FASB ASC 820, “Fair Value Measurements and Disclosures,” approximates the carrying amounts represented in the condensed consolidated balance sheets, primarily due to its short-term nature.</w:t>
      </w:r>
    </w:p>
    <w:p>
      <w:pPr>
        <w:spacing w:after="0" w:line="140"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97" w:lineRule="exact"/>
        <w:rPr>
          <w:sz w:val="20"/>
          <w:szCs w:val="20"/>
          <w:color w:val="auto"/>
        </w:rPr>
      </w:pPr>
    </w:p>
    <w:p>
      <w:pPr>
        <w:ind w:left="1080" w:right="4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F-126</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Liabilities — Backstop Subscription Agreement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 measurement at each balance sheet date until exercised, and any change in fair value is recognized in the statements of operations. The Backstop Subscription Agreement is valued using a Probability Weighted Expected Return Method (“PWERM”).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Classification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F-127</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7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(“ASU 2016-13”). </w:t>
      </w:r>
      <w:r>
        <w:rPr>
          <w:rFonts w:ascii="Times New Roman" w:cs="Times New Roman" w:eastAsia="Times New Roman" w:hAnsi="Times New Roman"/>
          <w:sz w:val="18"/>
          <w:szCs w:val="18"/>
          <w:color w:val="auto"/>
        </w:rPr>
        <w:t>This update requires financial assets measured at amortized cost basis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F-128</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common stock subject to redemption reflected on the balance sheet are reconciled in the following table:</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January 1, 2023</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294,796,918</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(252,315,037)</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4,510,051</w:t>
            </w:r>
          </w:p>
        </w:tc>
        <w:tc>
          <w:tcPr>
            <w:tcW w:w="1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December 31, 2023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46,991,932</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March 31, 2024</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47,791,962</w:t>
            </w: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846,082</w:t>
            </w:r>
          </w:p>
        </w:tc>
      </w:tr>
      <w:tr>
        <w:trPr>
          <w:trHeight w:val="22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June 30,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48,638,044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857,198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September 30, 2024</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49,495,242</w:t>
            </w: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number of founder shares outstanding was determined so that the founder shares, will represent, on an as-converted basis, 24.81% of the outstanding shares after the IPO (excluding the shares of Class A common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F-129</w:t>
      </w:r>
    </w:p>
    <w:p>
      <w:pPr>
        <w:sectPr>
          <w:pgSz w:w="11900" w:h="16838" w:orient="portrait"/>
          <w:cols w:equalWidth="0" w:num="1">
            <w:col w:w="11100"/>
          </w:cols>
          <w:pgMar w:left="320" w:top="455" w:right="4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stock issued to the representative or its designees upon consummation of this offering, the placement units and securities underlying the placement units and assuming the initial stockholders do not purchase units in this offering).</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three and nine months ended September 30, 2024, the Company incurred $30,000 and $90,000 for the administrative service fees, respectively, of which $90,000 are recorded as accrued expenses in the balance sheets. For the three and nine months ended September 30, 2023, the Company incurred and paid $30,000 and $90,000 for the administrative service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September 30, 2024 and December 31, 2023, $1,500,000 and $810,345 in working capital loans were outstanding, respectively.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F-130</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Advances from Sponsor</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2024, the Sponsor provided working capital and extension deposits on behalf of the Company. These amounts are reflected on the condensed consolidated balance sheets as advances from Sponsor. The advances are non-interest bearing and are payable on demand. At September 30, 2024, the Company had advances owed to the Sponsor in the amount of $2,164,291. At December 31, 2023, the Company had no such advances owed to the Sponsor.</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received $844,000 from its Sponsor for payment of operating expenses and ongoing business operations. Additionally, during the three months ended September 30, 2024, the Sponsor paid $260,740 to the trust for extension payments.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15, 2021, the Company paid a cash underwriting discount of 1.0% per Unit, or $2,875,000, as part of the underwriting fee.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Representative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76"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w:t>
      </w:r>
    </w:p>
    <w:p>
      <w:pPr>
        <w:spacing w:after="0" w:line="2" w:lineRule="exact"/>
        <w:rPr>
          <w:sz w:val="20"/>
          <w:szCs w:val="20"/>
          <w:color w:val="auto"/>
        </w:rPr>
      </w:pPr>
    </w:p>
    <w:p>
      <w:pPr>
        <w:ind w:left="120" w:right="540" w:hanging="4"/>
        <w:spacing w:after="0" w:line="260" w:lineRule="auto"/>
        <w:tabs>
          <w:tab w:leader="none" w:pos="3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such shares if the Company fails to complete its initial Business Combination within 15 months from the closing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F-131</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IPO. The representative shares are deemed to be underwriters’ compensation by FINRA pursuant to FINRA Rule 5110. Please see Note 8 for valuation methodology and assumptions used to determine the fair value of the Representative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 Redeeming Stockholders not to redeem the Non-Redeemed Shares, with a corresponding charge to additional paid-in capital to recognize the fair value of the Founder Shares subject to transfer as an offering cost.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 (the “IR Act”)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F-132</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the current status and probability of completing a Business Combination as of September 30, 2024 and concluded that it is probable that a contingent liability should be recorded. As of September 30, 2024, the Company recorded $2,523,150 of excise tax liability calculated as 1% of shares redeemed on March 10, 2023 and December 15, 2023.</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December 22, 2023, the Company, entered into an Agreement and Plan of Merger (the “Merger Agreement”) by and among the Company, BurTech Merger Sub Inc., a Delaware corporation and a direct, wholly owned subsidiary of the Company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Advisory Agreement</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September 9, 2024, Jefferies LLC (“Jefferies”) was formally engaged by BurTech on September 9, 2024 to serve as its exclusive capital markets advisor in connection with the contemplated transaction involving Blaize (i.e., the Business Combination). In connection therewith, Jefferies is providing capital markets advice to BurTech which includes advice on communicating with the market and preparing to be a public operating company. Under the terms of such engagement, upon the closing of the Business Combination, Jefferies will receive a fee of $4,500,000 in return for such advisory services (the “Jefferies Fee”); provided, however, that up</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F-133</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to $1,000,000 of the Jefferies Fee may be deferred by BurTech for a period of up to 12 months subsequent to the closing of the Business Combination (the “Deferred transaction Fee”). Jefferies is also entitled to reimbursement of out-of-pocket fees and expenses incurred by Jefferies in connection with the provision of such advisory services (the “Jefferies Expenses”). The Jefferies Fee and the Jefferies Expenses will be paid in cash. Further, Jefferies has been granted a right of first refusal (“ROFR”), exercisable during the term of the engagement and for a period of 12 months thereafter, with respect to (a) any equity, equity-linked, debt or mezzanine financing or other investment in BurTech (if the ROFR is exercised, Jefferies is permitted to act as one of the lead bookrunning managers, one of the lead global coordinators, one of the lead placement agents and/or one of the joint lead arrangers, as applicable) or (b) any tender or exchange offer for, or consent solicitation with respect to, debt (including, without limitation, convertible debt) securities (if the ROFR is exercised, Jefferies is permitted to act as a nonexclusive solicitation agent for such tender or exchange offer and/or consent solicitation), with compensation in each case payable to Jefferies in an amount that is customary for a transaction of that type, with up to 25% of that compensation able to be offset against the Deferred Transaction Fee if the relevant ROFR transaction closes prior to the expiry of the aforementioned 12-month period.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Support Agreement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lock-up agreements (the “Lock-up Agreements”) with</w:t>
      </w:r>
    </w:p>
    <w:p>
      <w:pPr>
        <w:spacing w:after="0" w:line="27" w:lineRule="exact"/>
        <w:rPr>
          <w:sz w:val="20"/>
          <w:szCs w:val="20"/>
          <w:color w:val="auto"/>
        </w:rPr>
      </w:pPr>
    </w:p>
    <w:p>
      <w:pPr>
        <w:ind w:left="120" w:right="140" w:hanging="4"/>
        <w:spacing w:after="0" w:line="253" w:lineRule="auto"/>
        <w:tabs>
          <w:tab w:leader="none" w:pos="3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F-134</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Merger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22,2024, the Company entered into an amendment of its Merger Agreement which modified certain terms and conditions as follows:</w:t>
      </w:r>
    </w:p>
    <w:p>
      <w:pPr>
        <w:spacing w:after="0" w:line="131" w:lineRule="exact"/>
        <w:rPr>
          <w:sz w:val="20"/>
          <w:szCs w:val="20"/>
          <w:color w:val="auto"/>
        </w:rPr>
      </w:pPr>
    </w:p>
    <w:p>
      <w:pPr>
        <w:ind w:left="1080" w:right="32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which modified its convertible note financing and certain lock-up provisions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an additional letter agreement in connection with its convertible note financing subject to funding conditions which will exist in the closing of the Company’s Business Combination.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entered into an additional letter agreement, under which the Sponsor agreed to forfeit 2,000,000 Company Shares to be effective immediately prior to the closing of the Business Combination.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Amendment also revised the aggregate reserve size under the Equity Incentive Plan and ESPP to 20% and the evergreen percentage for the Equity Incentive Plan to 7%.</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Merger Sub, Blaize and Burkhan amended the Agreement and Plan of Merger, amending the original Merger Agreement to make the following adjustments: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Base Purchase Price from $700 million to $767 million.</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Acknowledged that the Blaize Note Financing and the Blaize Warrant Financing constitute a Company Financing for all purposes of the Merger Agreement.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“Base Merger Consideration”, which is the product of (a) the number of shares of the Excluded Company Stock multiplied by (b) the Per Company Share Merger Consideration.</w:t>
      </w:r>
    </w:p>
    <w:p>
      <w:pPr>
        <w:spacing w:after="0" w:line="67"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w:t>
      </w:r>
    </w:p>
    <w:p>
      <w:pPr>
        <w:spacing w:after="0" w:line="81"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F-135</w:t>
      </w:r>
    </w:p>
    <w:p>
      <w:pPr>
        <w:sectPr>
          <w:pgSz w:w="11900" w:h="16838" w:orient="portrait"/>
          <w:cols w:equalWidth="0" w:num="1">
            <w:col w:w="11080"/>
          </w:cols>
          <w:pgMar w:left="320" w:top="455"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Underwriting Agreement</w:t>
      </w:r>
    </w:p>
    <w:p>
      <w:pPr>
        <w:spacing w:after="0" w:line="12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Backstop Subscription Agreement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w:t>
      </w:r>
    </w:p>
    <w:p>
      <w:pPr>
        <w:spacing w:after="0" w:line="16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STOCKHOLDERS’ DEFICIT</w:t>
      </w:r>
    </w:p>
    <w:p>
      <w:pPr>
        <w:spacing w:after="0" w:line="11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and December 31, 2023, there were no shares of preferred stock issued or outstanding.</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280,000,000 shares of Class A common stock with a par value of $0.0001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September 30, 2024 and December 31, 2023, there were 10,816,995 shares issued and outstanding (excluding 2,285,040 shares to be redeemed as of December 31, 2023 and excluding 4,345,663 shares subject to possible redemption) as of September 30, 2024 and December 31, 2023.</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10, 2023, the Company’s stockholders redeemed 22,119,297 shares at approximately $10.30 per share.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F-136</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0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 B Common Stock </w:t>
      </w:r>
      <w:r>
        <w:rPr>
          <w:rFonts w:ascii="Times New Roman" w:cs="Times New Roman" w:eastAsia="Times New Roman" w:hAnsi="Times New Roman"/>
          <w:sz w:val="17"/>
          <w:szCs w:val="17"/>
          <w:color w:val="auto"/>
        </w:rPr>
        <w:t>— The Company is authorized to issue 20,000,000 shares of Class B common stock with a par value of $0.0001 per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September 30, 2024 and December 31, 2023, there were 5 shares of Class B common stock issued and outstanding.</w:t>
      </w:r>
    </w:p>
    <w:p>
      <w:pPr>
        <w:spacing w:after="0" w:line="165"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5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F-137</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85"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Class A common stock underlying such warrants.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87"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F-138</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were measured at fair value on a recurring basis as of September 30, 2024 and December 31, 2023 and indicates the fair value hierarchy of the valuation techniques the Company utilized to determine such fair value.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0" w:type="dxa"/>
            <w:vAlign w:val="bottom"/>
            <w:gridSpan w:val="3"/>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7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Money Market Funds held in Trust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49,915,251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49,915,251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Derivative Liability – Backstop Subscription</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446,776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446,776</w:t>
            </w:r>
          </w:p>
        </w:tc>
        <w:tc>
          <w:tcPr>
            <w:tcW w:w="0" w:type="dxa"/>
            <w:vAlign w:val="bottom"/>
          </w:tcPr>
          <w:p>
            <w:pPr>
              <w:spacing w:after="0"/>
              <w:rPr>
                <w:sz w:val="1"/>
                <w:szCs w:val="1"/>
                <w:color w:val="auto"/>
              </w:rPr>
            </w:pPr>
          </w:p>
        </w:tc>
      </w:tr>
      <w:tr>
        <w:trPr>
          <w:trHeight w:val="340"/>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0" w:type="dxa"/>
            <w:vAlign w:val="bottom"/>
            <w:gridSpan w:val="3"/>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7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Money Market Funds held in Trust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71,432,177</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71,432,177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71,432,177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Backstop Subscription Agreement is valued using Probability Weighted Expected Return Model (“PWERM”). The PWERM is a multistep process in which value is estimated based on the probability- weighted present value of various future outcomes. The estimated fair value of the Backstop Subscription Agreement liability is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fair value of the Backstop Subscription Agreement as of September 30, 2024 was $446,776, which resulted in a change in fair value of the Backstop Subscription Agreement of $89,929 for the three months and nine months ended September 30, 2024.</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F-139</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key inputs of the models used to value the Company’s Backstop Subscription Agreement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50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880" w:type="dxa"/>
            <w:vAlign w:val="bottom"/>
            <w:gridSpan w:val="3"/>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April 22, 2024</w:t>
            </w:r>
          </w:p>
        </w:tc>
        <w:tc>
          <w:tcPr>
            <w:tcW w:w="200" w:type="dxa"/>
            <w:vAlign w:val="bottom"/>
          </w:tcPr>
          <w:p>
            <w:pPr>
              <w:spacing w:after="0"/>
              <w:rPr>
                <w:sz w:val="15"/>
                <w:szCs w:val="15"/>
                <w:color w:val="auto"/>
              </w:rPr>
            </w:pPr>
          </w:p>
        </w:tc>
        <w:tc>
          <w:tcPr>
            <w:tcW w:w="68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w:t>
            </w:r>
          </w:p>
        </w:tc>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Terms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0.48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Implied Likelihood of Initial Business Combination</w:t>
            </w:r>
          </w:p>
        </w:tc>
        <w:tc>
          <w:tcPr>
            <w:tcW w:w="160" w:type="dxa"/>
            <w:vAlign w:val="bottom"/>
          </w:tcPr>
          <w:p>
            <w:pPr>
              <w:spacing w:after="0"/>
              <w:rPr>
                <w:sz w:val="20"/>
                <w:szCs w:val="20"/>
                <w:color w:val="auto"/>
              </w:rPr>
            </w:pPr>
          </w:p>
        </w:tc>
        <w:tc>
          <w:tcPr>
            <w:tcW w:w="17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 for the three and nine months ended September 30,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Subscription</w:t>
            </w:r>
          </w:p>
        </w:tc>
      </w:tr>
      <w:tr>
        <w:trPr>
          <w:trHeight w:val="148"/>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r>
      <w:tr>
        <w:trPr>
          <w:trHeight w:val="173"/>
        </w:trPr>
        <w:tc>
          <w:tcPr>
            <w:tcW w:w="658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Agreement</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January 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 on April 22, 2024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361,124</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(4,277)</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356,847</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89,929</w:t>
            </w: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September 30, 2024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446,776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other than below, that would have required adjustment or disclosure in the unaudited condensed consolidated financial statements.</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October 15, 2024, the Sponsor deposited $130,370 into the Trust account to extend the life of the Company from October 15, 2024 to November 15, 2024.</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October 10, 2024 and October 30, 2024 the Company was advanced an additional $10,000 and $80,000, respectively on each date, from its Sponsor for payment of operating expenses and ongoing business operations.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F-140</w:t>
      </w:r>
    </w:p>
    <w:p>
      <w:pPr>
        <w:sectPr>
          <w:pgSz w:w="11900" w:h="16838" w:orient="portrait"/>
          <w:cols w:equalWidth="0" w:num="1">
            <w:col w:w="11020"/>
          </w:cols>
          <w:pgMar w:left="320" w:top="455" w:right="5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166,494.45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Agent’s fees and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each person who was or is a party or threatened to be made a party to any threatened, pending or completed action, suit or proceeding (other than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9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320" w:lineRule="exact"/>
        <w:rPr>
          <w:sz w:val="20"/>
          <w:szCs w:val="20"/>
          <w:color w:val="auto"/>
        </w:rPr>
      </w:pPr>
    </w:p>
    <w:p>
      <w:pPr>
        <w:ind w:left="540" w:hanging="424"/>
        <w:spacing w:after="0"/>
        <w:tabs>
          <w:tab w:leader="none" w:pos="5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306" w:lineRule="exact"/>
        <w:rPr>
          <w:sz w:val="20"/>
          <w:szCs w:val="20"/>
          <w:color w:val="auto"/>
        </w:rPr>
      </w:pPr>
    </w:p>
    <w:p>
      <w:pPr>
        <w:ind w:left="540" w:hanging="424"/>
        <w:spacing w:after="0"/>
        <w:tabs>
          <w:tab w:leader="none" w:pos="54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Secured Promissory Note and Pledge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13, 2025, in connection with the consummation of the Business Combination and as contemplated by the Merger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issued a secured promissory note and pledge agreement (the “Sponsor Note”) to BurTech (the “Holder”)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$8,753,744.21, bearing an interest rate of 7% with annual compounding, compounded on December 31 each year the Sponsor Note remains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remaining principal amount of the Sponsor Note as at the maturity date, until such remaining principal amount is paid. Pursuant to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the Sponsor granted a first priority security interest in, and pledges, 2,000,000 shares of Class A Stock and all additions, accessions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substitutions to the Holder to secure the satisfaction by the Sponsor of all its obligations to the Holder under this Sponsor Note. This Sponsor Note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issued in connection with the consummation of the Business Combination in satisfaction of the Acquiror Transaction Expenses (as defined in the Merger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that were due to third-party service providers on or immediately following Closing. As consideration for entry into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issued 750,000 shares of Class A Stock (“Sponsor Note Shares”) to the Sponsor in accordance with the terms of the Sponsor Note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Issuance” and together with the PIPE Investment, the “Private Placements”). The shares of Class A Stock issued in consideration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Note were offered in a private placement under the Securities Act, pursuant to the Sponsor Note.</w:t>
      </w:r>
    </w:p>
    <w:p>
      <w:pPr>
        <w:spacing w:after="0" w:line="351" w:lineRule="exact"/>
        <w:rPr>
          <w:sz w:val="20"/>
          <w:szCs w:val="20"/>
          <w:color w:val="auto"/>
        </w:rPr>
      </w:pPr>
    </w:p>
    <w:p>
      <w:pPr>
        <w:ind w:left="540" w:hanging="424"/>
        <w:spacing w:after="0"/>
        <w:tabs>
          <w:tab w:leader="none" w:pos="5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Market Advisors.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February 10, 2025, in connection with that certain Letter Agreement, dated December 23, 2024, by and between the Company and Roth Capital Partners, LLC (“Roth”), the Company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 (i) 31,792 shares of Common Stock to Craig-Hallum and</w:t>
      </w:r>
    </w:p>
    <w:p>
      <w:pPr>
        <w:spacing w:after="0" w:line="3" w:lineRule="exact"/>
        <w:rPr>
          <w:sz w:val="20"/>
          <w:szCs w:val="20"/>
          <w:color w:val="auto"/>
        </w:rPr>
      </w:pPr>
    </w:p>
    <w:p>
      <w:pPr>
        <w:ind w:left="120" w:right="520" w:hanging="4"/>
        <w:spacing w:after="0" w:line="260" w:lineRule="auto"/>
        <w:tabs>
          <w:tab w:leader="none" w:pos="3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exercisable for up to 50,000 shares of Common Stock at a price of $11.50 per share (the “CMA Warrants”), in each case, in a private placement under the Securities Act.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1" w:lineRule="exact"/>
        <w:rPr>
          <w:sz w:val="20"/>
          <w:szCs w:val="20"/>
          <w:color w:val="auto"/>
        </w:rPr>
      </w:pPr>
    </w:p>
    <w:p>
      <w:pPr>
        <w:ind w:left="540" w:hanging="424"/>
        <w:spacing w:after="0"/>
        <w:tabs>
          <w:tab w:leader="none" w:pos="54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5"/>
        </w:trPr>
        <w:tc>
          <w:tcPr>
            <w:tcW w:w="800" w:type="dxa"/>
            <w:vAlign w:val="bottom"/>
            <w:tcBorders>
              <w:bottom w:val="single" w:sz="8" w:color="auto"/>
            </w:tcBorders>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72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356">
              <w:r>
                <w:rPr>
                  <w:rFonts w:ascii="Times New Roman" w:cs="Times New Roman" w:eastAsia="Times New Roman" w:hAnsi="Times New Roman"/>
                  <w:sz w:val="18"/>
                  <w:szCs w:val="18"/>
                  <w:color w:val="0000EE"/>
                </w:rPr>
                <w:t>Agreement and Plan of Merger, dated as of December 22, 2023, by and among BurTech Acquisition</w:t>
              </w:r>
            </w:hyperlink>
          </w:p>
        </w:tc>
        <w:tc>
          <w:tcPr>
            <w:tcW w:w="660" w:type="dxa"/>
            <w:vAlign w:val="bottom"/>
            <w:gridSpan w:val="3"/>
          </w:tcPr>
          <w:p>
            <w:pPr>
              <w:spacing w:after="0"/>
              <w:rPr>
                <w:sz w:val="23"/>
                <w:szCs w:val="23"/>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56">
              <w:r>
                <w:rPr>
                  <w:rFonts w:ascii="Times New Roman" w:cs="Times New Roman" w:eastAsia="Times New Roman" w:hAnsi="Times New Roman"/>
                  <w:sz w:val="18"/>
                  <w:szCs w:val="18"/>
                  <w:color w:val="0000EE"/>
                  <w:w w:val="99"/>
                </w:rPr>
                <w:t>Corp., BurTech Merger Sub, Inc., Blaize, Inc. and for the limited purposes set forth therein, Burkhan</w:t>
              </w:r>
            </w:hyperlink>
          </w:p>
        </w:tc>
        <w:tc>
          <w:tcPr>
            <w:tcW w:w="6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56">
              <w:r>
                <w:rPr>
                  <w:rFonts w:ascii="Times New Roman" w:cs="Times New Roman" w:eastAsia="Times New Roman" w:hAnsi="Times New Roman"/>
                  <w:sz w:val="18"/>
                  <w:szCs w:val="18"/>
                  <w:color w:val="0000EE"/>
                  <w:w w:val="98"/>
                </w:rPr>
                <w:t>Capital LLC.</w:t>
              </w:r>
            </w:hyperlink>
          </w:p>
        </w:tc>
        <w:tc>
          <w:tcPr>
            <w:tcW w:w="698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w:t>
            </w:r>
          </w:p>
        </w:tc>
        <w:tc>
          <w:tcPr>
            <w:tcW w:w="71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357">
              <w:r>
                <w:rPr>
                  <w:rFonts w:ascii="Times New Roman" w:cs="Times New Roman" w:eastAsia="Times New Roman" w:hAnsi="Times New Roman"/>
                  <w:sz w:val="18"/>
                  <w:szCs w:val="18"/>
                  <w:color w:val="0000EE"/>
                </w:rPr>
                <w:t>Amendment to Agreement and Plan of Merger, dated as of April 22, 2024, by and among BurTech</w:t>
              </w:r>
            </w:hyperlink>
          </w:p>
        </w:tc>
        <w:tc>
          <w:tcPr>
            <w:tcW w:w="800" w:type="dxa"/>
            <w:vAlign w:val="bottom"/>
            <w:gridSpan w:val="5"/>
          </w:tcPr>
          <w:p>
            <w:pPr>
              <w:spacing w:after="0"/>
              <w:rPr>
                <w:sz w:val="24"/>
                <w:szCs w:val="2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7/19/2024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57">
              <w:r>
                <w:rPr>
                  <w:rFonts w:ascii="Times New Roman" w:cs="Times New Roman" w:eastAsia="Times New Roman" w:hAnsi="Times New Roman"/>
                  <w:sz w:val="18"/>
                  <w:szCs w:val="18"/>
                  <w:color w:val="0000EE"/>
                  <w:w w:val="99"/>
                </w:rPr>
                <w:t>Acquisition Corp., BurTech Merger Sub, Inc., Blaize, Inc. and for the limited purposes set forth therein,</w:t>
              </w:r>
            </w:hyperlink>
          </w:p>
        </w:tc>
        <w:tc>
          <w:tcPr>
            <w:tcW w:w="4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40" w:type="dxa"/>
            <w:vAlign w:val="bottom"/>
            <w:gridSpan w:val="10"/>
          </w:tcPr>
          <w:p>
            <w:pPr>
              <w:spacing w:after="0" w:line="196" w:lineRule="exact"/>
              <w:rPr>
                <w:rFonts w:ascii="Times New Roman" w:cs="Times New Roman" w:eastAsia="Times New Roman" w:hAnsi="Times New Roman"/>
                <w:sz w:val="18"/>
                <w:szCs w:val="18"/>
                <w:color w:val="0000EE"/>
              </w:rPr>
            </w:pPr>
            <w:hyperlink r:id="rId357">
              <w:r>
                <w:rPr>
                  <w:rFonts w:ascii="Times New Roman" w:cs="Times New Roman" w:eastAsia="Times New Roman" w:hAnsi="Times New Roman"/>
                  <w:sz w:val="18"/>
                  <w:szCs w:val="18"/>
                  <w:color w:val="0000EE"/>
                </w:rPr>
                <w:t>Burkhan Capital LLC.</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w:t>
            </w:r>
          </w:p>
        </w:tc>
        <w:tc>
          <w:tcPr>
            <w:tcW w:w="7940" w:type="dxa"/>
            <w:vAlign w:val="bottom"/>
            <w:gridSpan w:val="10"/>
          </w:tcPr>
          <w:p>
            <w:pPr>
              <w:spacing w:after="0"/>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Amendment No. 2 to Agreement and Plan of Merger, dated as of October 24, 2024, by and among</w:t>
              </w:r>
            </w:hyperlink>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40" w:type="dxa"/>
            <w:vAlign w:val="bottom"/>
            <w:gridSpan w:val="10"/>
          </w:tcPr>
          <w:p>
            <w:pPr>
              <w:spacing w:after="0" w:line="196" w:lineRule="exact"/>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BurTech Acquisition Corp., BurTech Merger Sub, Inc., Blaize, Inc. and for the limited purposes set forth</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58">
              <w:r>
                <w:rPr>
                  <w:rFonts w:ascii="Times New Roman" w:cs="Times New Roman" w:eastAsia="Times New Roman" w:hAnsi="Times New Roman"/>
                  <w:sz w:val="18"/>
                  <w:szCs w:val="18"/>
                  <w:color w:val="0000EE"/>
                </w:rPr>
                <w:t>therein, Burkhan Capital LLC.</w:t>
              </w:r>
            </w:hyperlink>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spacing w:after="0" w:line="115" w:lineRule="exact"/>
        <w:rPr>
          <w:sz w:val="20"/>
          <w:szCs w:val="20"/>
          <w:color w:val="auto"/>
        </w:rPr>
      </w:pPr>
    </w:p>
    <w:p>
      <w:pPr>
        <w:ind w:left="960" w:hanging="844"/>
        <w:spacing w:after="0" w:line="266"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2.4</w:t>
      </w:r>
      <w:hyperlink r:id="rId360">
        <w:r>
          <w:rPr>
            <w:rFonts w:ascii="Times New Roman" w:cs="Times New Roman" w:eastAsia="Times New Roman" w:hAnsi="Times New Roman"/>
            <w:sz w:val="18"/>
            <w:szCs w:val="18"/>
            <w:u w:val="single" w:color="auto"/>
            <w:color w:val="0000EE"/>
          </w:rPr>
          <w:t>Amendment No. 3 to Agreement and Plan of Merger, dated as of November 21, 2024, by and among</w:t>
        </w:r>
      </w:hyperlink>
      <w:r>
        <w:rPr>
          <w:rFonts w:ascii="Times New Roman" w:cs="Times New Roman" w:eastAsia="Times New Roman" w:hAnsi="Times New Roman"/>
          <w:sz w:val="18"/>
          <w:szCs w:val="18"/>
          <w:u w:val="single" w:color="auto"/>
          <w:color w:val="0000EE"/>
        </w:rPr>
        <w:t xml:space="preserve"> </w:t>
      </w:r>
      <w:hyperlink r:id="rId360">
        <w:r>
          <w:rPr>
            <w:rFonts w:ascii="Times New Roman" w:cs="Times New Roman" w:eastAsia="Times New Roman" w:hAnsi="Times New Roman"/>
            <w:sz w:val="18"/>
            <w:szCs w:val="18"/>
            <w:u w:val="single" w:color="auto"/>
            <w:color w:val="0000EE"/>
          </w:rPr>
          <w:t>BurTech Acquisition Corp., BurTech Merger Sub, Inc., Blaize, Inc. and for the limited purposes set</w:t>
        </w:r>
      </w:hyperlink>
      <w:r>
        <w:rPr>
          <w:rFonts w:ascii="Times New Roman" w:cs="Times New Roman" w:eastAsia="Times New Roman" w:hAnsi="Times New Roman"/>
          <w:sz w:val="18"/>
          <w:szCs w:val="18"/>
          <w:u w:val="single" w:color="auto"/>
          <w:color w:val="0000EE"/>
        </w:rPr>
        <w:t xml:space="preserve"> </w:t>
      </w:r>
      <w:hyperlink r:id="rId360">
        <w:r>
          <w:rPr>
            <w:rFonts w:ascii="Times New Roman" w:cs="Times New Roman" w:eastAsia="Times New Roman" w:hAnsi="Times New Roman"/>
            <w:sz w:val="18"/>
            <w:szCs w:val="18"/>
            <w:u w:val="single" w:color="auto"/>
            <w:color w:val="0000EE"/>
          </w:rPr>
          <w:t>forth therein, Burkhan Capital LLC.</w:t>
        </w:r>
      </w:hyperlink>
    </w:p>
    <w:p>
      <w:pPr>
        <w:spacing w:after="0" w:line="6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  3.1</w:t>
      </w:r>
      <w:hyperlink r:id="rId361">
        <w:r>
          <w:rPr>
            <w:rFonts w:ascii="Times New Roman" w:cs="Times New Roman" w:eastAsia="Times New Roman" w:hAnsi="Times New Roman"/>
            <w:sz w:val="18"/>
            <w:szCs w:val="18"/>
            <w:u w:val="single" w:color="auto"/>
            <w:color w:val="0000EE"/>
          </w:rPr>
          <w:t>Third Amended and Restated Certificate of Incorporation of Blaize Holdings, Inc.</w:t>
        </w:r>
      </w:hyperlink>
    </w:p>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3.2</w:t>
      </w:r>
      <w:hyperlink r:id="rId362">
        <w:r>
          <w:rPr>
            <w:rFonts w:ascii="Times New Roman" w:cs="Times New Roman" w:eastAsia="Times New Roman" w:hAnsi="Times New Roman"/>
            <w:sz w:val="17"/>
            <w:szCs w:val="17"/>
            <w:u w:val="single" w:color="auto"/>
            <w:color w:val="0000EE"/>
          </w:rPr>
          <w:t>Amended and Restated Bylaws of Blaize Holdings, Inc.</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  4.1</w:t>
      </w:r>
      <w:hyperlink r:id="rId363">
        <w:r>
          <w:rPr>
            <w:rFonts w:ascii="Times New Roman" w:cs="Times New Roman" w:eastAsia="Times New Roman" w:hAnsi="Times New Roman"/>
            <w:sz w:val="18"/>
            <w:szCs w:val="18"/>
            <w:u w:val="single" w:color="auto"/>
            <w:color w:val="0000EE"/>
          </w:rPr>
          <w:t>Specimen Common Stock Certificate.</w:t>
        </w:r>
      </w:hyperlink>
    </w:p>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4.2</w:t>
      </w:r>
      <w:hyperlink r:id="rId364">
        <w:r>
          <w:rPr>
            <w:rFonts w:ascii="Times New Roman" w:cs="Times New Roman" w:eastAsia="Times New Roman" w:hAnsi="Times New Roman"/>
            <w:sz w:val="17"/>
            <w:szCs w:val="17"/>
            <w:u w:val="single" w:color="auto"/>
            <w:color w:val="0000EE"/>
          </w:rPr>
          <w:t>Specimen Warrant Certificate.</w:t>
        </w:r>
      </w:hyperlink>
    </w:p>
    <w:p>
      <w:pPr>
        <w:spacing w:after="0" w:line="128" w:lineRule="exact"/>
        <w:rPr>
          <w:rFonts w:ascii="Times New Roman" w:cs="Times New Roman" w:eastAsia="Times New Roman" w:hAnsi="Times New Roman"/>
          <w:sz w:val="17"/>
          <w:szCs w:val="17"/>
          <w:u w:val="single" w:color="auto"/>
          <w:color w:val="0000EE"/>
        </w:rPr>
      </w:pPr>
    </w:p>
    <w:p>
      <w:pPr>
        <w:ind w:left="960" w:right="12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65">
        <w:r>
          <w:rPr>
            <w:rFonts w:ascii="Times New Roman" w:cs="Times New Roman" w:eastAsia="Times New Roman" w:hAnsi="Times New Roman"/>
            <w:sz w:val="18"/>
            <w:szCs w:val="18"/>
            <w:u w:val="single" w:color="auto"/>
            <w:color w:val="0000EE"/>
          </w:rPr>
          <w:t>Warrant Agreement, dated as of December 10, 2021, by and between the Company and Continental</w:t>
        </w:r>
      </w:hyperlink>
      <w:r>
        <w:rPr>
          <w:rFonts w:ascii="Times New Roman" w:cs="Times New Roman" w:eastAsia="Times New Roman" w:hAnsi="Times New Roman"/>
          <w:sz w:val="18"/>
          <w:szCs w:val="18"/>
          <w:u w:val="single" w:color="auto"/>
          <w:color w:val="0000EE"/>
        </w:rPr>
        <w:t xml:space="preserve"> </w:t>
      </w:r>
      <w:hyperlink r:id="rId365">
        <w:r>
          <w:rPr>
            <w:rFonts w:ascii="Times New Roman" w:cs="Times New Roman" w:eastAsia="Times New Roman" w:hAnsi="Times New Roman"/>
            <w:sz w:val="18"/>
            <w:szCs w:val="18"/>
            <w:u w:val="single" w:color="auto"/>
            <w:color w:val="0000EE"/>
          </w:rPr>
          <w:t>Stock Transfer &amp; Trust Company, as warrant agent.</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0000EE"/>
        </w:rPr>
        <w:t>Opinion of Latham &amp; Watkins LLP.</w:t>
      </w:r>
    </w:p>
    <w:p>
      <w:pPr>
        <w:spacing w:after="0" w:line="140" w:lineRule="exact"/>
        <w:rPr>
          <w:rFonts w:ascii="Times New Roman" w:cs="Times New Roman" w:eastAsia="Times New Roman" w:hAnsi="Times New Roman"/>
          <w:sz w:val="16"/>
          <w:szCs w:val="16"/>
          <w:color w:val="auto"/>
        </w:rPr>
      </w:pPr>
    </w:p>
    <w:p>
      <w:pPr>
        <w:ind w:left="960" w:right="40" w:hanging="844"/>
        <w:spacing w:after="0" w:line="266"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hyperlink r:id="rId366">
        <w:r>
          <w:rPr>
            <w:rFonts w:ascii="Times New Roman" w:cs="Times New Roman" w:eastAsia="Times New Roman" w:hAnsi="Times New Roman"/>
            <w:sz w:val="18"/>
            <w:szCs w:val="18"/>
            <w:u w:val="single" w:color="auto"/>
            <w:color w:val="0000EE"/>
          </w:rPr>
          <w:t>Amended and Restated Registration Rights Agreement, dated as of January 13, 2025, by and among</w:t>
        </w:r>
      </w:hyperlink>
      <w:r>
        <w:rPr>
          <w:rFonts w:ascii="Times New Roman" w:cs="Times New Roman" w:eastAsia="Times New Roman" w:hAnsi="Times New Roman"/>
          <w:sz w:val="18"/>
          <w:szCs w:val="18"/>
          <w:u w:val="single" w:color="auto"/>
          <w:color w:val="0000EE"/>
        </w:rPr>
        <w:t xml:space="preserve"> </w:t>
      </w:r>
      <w:hyperlink r:id="rId366">
        <w:r>
          <w:rPr>
            <w:rFonts w:ascii="Times New Roman" w:cs="Times New Roman" w:eastAsia="Times New Roman" w:hAnsi="Times New Roman"/>
            <w:sz w:val="18"/>
            <w:szCs w:val="18"/>
            <w:u w:val="single" w:color="auto"/>
            <w:color w:val="0000EE"/>
          </w:rPr>
          <w:t>the Company, certain stockholders of BurTech named therein and certain stockholders of Legacy</w:t>
        </w:r>
      </w:hyperlink>
      <w:r>
        <w:rPr>
          <w:rFonts w:ascii="Times New Roman" w:cs="Times New Roman" w:eastAsia="Times New Roman" w:hAnsi="Times New Roman"/>
          <w:sz w:val="18"/>
          <w:szCs w:val="18"/>
          <w:u w:val="single" w:color="auto"/>
          <w:color w:val="0000EE"/>
        </w:rPr>
        <w:t xml:space="preserve"> </w:t>
      </w:r>
      <w:hyperlink r:id="rId366">
        <w:r>
          <w:rPr>
            <w:rFonts w:ascii="Times New Roman" w:cs="Times New Roman" w:eastAsia="Times New Roman" w:hAnsi="Times New Roman"/>
            <w:sz w:val="18"/>
            <w:szCs w:val="18"/>
            <w:u w:val="single" w:color="auto"/>
            <w:color w:val="0000EE"/>
          </w:rPr>
          <w:t>Blaize named therein.</w:t>
        </w:r>
      </w:hyperlink>
    </w:p>
    <w:p>
      <w:pPr>
        <w:spacing w:after="0" w:line="67" w:lineRule="exact"/>
        <w:rPr>
          <w:rFonts w:ascii="Times New Roman" w:cs="Times New Roman" w:eastAsia="Times New Roman" w:hAnsi="Times New Roman"/>
          <w:sz w:val="18"/>
          <w:szCs w:val="18"/>
          <w:u w:val="single" w:color="auto"/>
          <w:color w:val="0000EE"/>
        </w:rPr>
      </w:pPr>
    </w:p>
    <w:p>
      <w:pPr>
        <w:ind w:left="960" w:right="50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hyperlink r:id="rId367">
        <w:r>
          <w:rPr>
            <w:rFonts w:ascii="Times New Roman" w:cs="Times New Roman" w:eastAsia="Times New Roman" w:hAnsi="Times New Roman"/>
            <w:sz w:val="18"/>
            <w:szCs w:val="18"/>
            <w:u w:val="single" w:color="auto"/>
            <w:color w:val="0000EE"/>
          </w:rPr>
          <w:t>Letter Agreement, dated as of December 10, 2021, by and among BurTech, its officers and its</w:t>
        </w:r>
      </w:hyperlink>
      <w:r>
        <w:rPr>
          <w:rFonts w:ascii="Times New Roman" w:cs="Times New Roman" w:eastAsia="Times New Roman" w:hAnsi="Times New Roman"/>
          <w:sz w:val="18"/>
          <w:szCs w:val="18"/>
          <w:u w:val="single" w:color="auto"/>
          <w:color w:val="0000EE"/>
        </w:rPr>
        <w:t xml:space="preserve"> </w:t>
      </w:r>
      <w:hyperlink r:id="rId367">
        <w:r>
          <w:rPr>
            <w:rFonts w:ascii="Times New Roman" w:cs="Times New Roman" w:eastAsia="Times New Roman" w:hAnsi="Times New Roman"/>
            <w:sz w:val="18"/>
            <w:szCs w:val="18"/>
            <w:u w:val="single" w:color="auto"/>
            <w:color w:val="0000EE"/>
          </w:rPr>
          <w:t>directors, Sponsor and certain other stockholders party thereto.</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10.3</w:t>
      </w:r>
      <w:hyperlink r:id="rId368">
        <w:r>
          <w:rPr>
            <w:rFonts w:ascii="Times New Roman" w:cs="Times New Roman" w:eastAsia="Times New Roman" w:hAnsi="Times New Roman"/>
            <w:sz w:val="18"/>
            <w:szCs w:val="18"/>
            <w:u w:val="single" w:color="auto"/>
            <w:color w:val="0000EE"/>
          </w:rPr>
          <w:t>Form of Indemnification Agreement.</w:t>
        </w:r>
      </w:hyperlink>
    </w:p>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10.4</w:t>
      </w:r>
      <w:hyperlink r:id="rId369">
        <w:r>
          <w:rPr>
            <w:rFonts w:ascii="Times New Roman" w:cs="Times New Roman" w:eastAsia="Times New Roman" w:hAnsi="Times New Roman"/>
            <w:sz w:val="17"/>
            <w:szCs w:val="17"/>
            <w:u w:val="single" w:color="auto"/>
            <w:color w:val="0000EE"/>
          </w:rPr>
          <w:t>Blaize, Inc. Amended and Restated 2011 Stock Plan.</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10.5</w:t>
      </w:r>
      <w:hyperlink r:id="rId370">
        <w:r>
          <w:rPr>
            <w:rFonts w:ascii="Times New Roman" w:cs="Times New Roman" w:eastAsia="Times New Roman" w:hAnsi="Times New Roman"/>
            <w:sz w:val="17"/>
            <w:szCs w:val="17"/>
            <w:u w:val="single" w:color="auto"/>
            <w:color w:val="0000EE"/>
          </w:rPr>
          <w:t>Blaize Holdings, Inc. 2025 Incentive Award Plan.</w:t>
        </w:r>
      </w:hyperlink>
    </w:p>
    <w:p>
      <w:pPr>
        <w:spacing w:after="0" w:line="128" w:lineRule="exact"/>
        <w:rPr>
          <w:rFonts w:ascii="Times New Roman" w:cs="Times New Roman" w:eastAsia="Times New Roman" w:hAnsi="Times New Roman"/>
          <w:sz w:val="17"/>
          <w:szCs w:val="17"/>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10.6</w:t>
      </w:r>
      <w:hyperlink r:id="rId371">
        <w:r>
          <w:rPr>
            <w:rFonts w:ascii="Times New Roman" w:cs="Times New Roman" w:eastAsia="Times New Roman" w:hAnsi="Times New Roman"/>
            <w:sz w:val="18"/>
            <w:szCs w:val="18"/>
            <w:u w:val="single" w:color="auto"/>
            <w:color w:val="0000EE"/>
          </w:rPr>
          <w:t>Blaize Holdings, Inc. 2025 Employee Stock Purchase Plan.</w:t>
        </w:r>
      </w:hyperlink>
    </w:p>
    <w:p>
      <w:pPr>
        <w:spacing w:after="0" w:line="117" w:lineRule="exact"/>
        <w:rPr>
          <w:rFonts w:ascii="Times New Roman" w:cs="Times New Roman" w:eastAsia="Times New Roman" w:hAnsi="Times New Roman"/>
          <w:sz w:val="18"/>
          <w:szCs w:val="18"/>
          <w:u w:val="single" w:color="auto"/>
          <w:color w:val="0000EE"/>
        </w:rPr>
      </w:pPr>
    </w:p>
    <w:p>
      <w:pPr>
        <w:ind w:left="960" w:right="22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hyperlink r:id="rId372">
        <w:r>
          <w:rPr>
            <w:rFonts w:ascii="Times New Roman" w:cs="Times New Roman" w:eastAsia="Times New Roman" w:hAnsi="Times New Roman"/>
            <w:sz w:val="18"/>
            <w:szCs w:val="18"/>
            <w:u w:val="single" w:color="auto"/>
            <w:color w:val="0000EE"/>
          </w:rPr>
          <w:t>Form of Stock Option Grant Agreement (Installment Exercise) and Grant Notice under the Blaize,</w:t>
        </w:r>
      </w:hyperlink>
      <w:r>
        <w:rPr>
          <w:rFonts w:ascii="Times New Roman" w:cs="Times New Roman" w:eastAsia="Times New Roman" w:hAnsi="Times New Roman"/>
          <w:sz w:val="18"/>
          <w:szCs w:val="18"/>
          <w:u w:val="single" w:color="auto"/>
          <w:color w:val="0000EE"/>
        </w:rPr>
        <w:t xml:space="preserve"> </w:t>
      </w:r>
      <w:hyperlink r:id="rId372">
        <w:r>
          <w:rPr>
            <w:rFonts w:ascii="Times New Roman" w:cs="Times New Roman" w:eastAsia="Times New Roman" w:hAnsi="Times New Roman"/>
            <w:sz w:val="18"/>
            <w:szCs w:val="18"/>
            <w:u w:val="single" w:color="auto"/>
            <w:color w:val="0000EE"/>
          </w:rPr>
          <w:t>Inc. Amended and Restated 2011 Stock Plan.</w:t>
        </w:r>
      </w:hyperlink>
    </w:p>
    <w:p>
      <w:pPr>
        <w:spacing w:after="0" w:line="53" w:lineRule="exact"/>
        <w:rPr>
          <w:rFonts w:ascii="Times New Roman" w:cs="Times New Roman" w:eastAsia="Times New Roman" w:hAnsi="Times New Roman"/>
          <w:sz w:val="18"/>
          <w:szCs w:val="18"/>
          <w:u w:val="single" w:color="auto"/>
          <w:color w:val="0000EE"/>
        </w:rPr>
      </w:pPr>
    </w:p>
    <w:p>
      <w:pPr>
        <w:ind w:left="960" w:right="20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hyperlink r:id="rId373">
        <w:r>
          <w:rPr>
            <w:rFonts w:ascii="Times New Roman" w:cs="Times New Roman" w:eastAsia="Times New Roman" w:hAnsi="Times New Roman"/>
            <w:sz w:val="18"/>
            <w:szCs w:val="18"/>
            <w:u w:val="single" w:color="auto"/>
            <w:color w:val="0000EE"/>
          </w:rPr>
          <w:t>Form of Restricted Stock Unit Grant Agreement and Grant Notice under the Blaize, Inc. Amended</w:t>
        </w:r>
      </w:hyperlink>
      <w:r>
        <w:rPr>
          <w:rFonts w:ascii="Times New Roman" w:cs="Times New Roman" w:eastAsia="Times New Roman" w:hAnsi="Times New Roman"/>
          <w:sz w:val="18"/>
          <w:szCs w:val="18"/>
          <w:u w:val="single" w:color="auto"/>
          <w:color w:val="0000EE"/>
        </w:rPr>
        <w:t xml:space="preserve"> </w:t>
      </w:r>
      <w:hyperlink r:id="rId373">
        <w:r>
          <w:rPr>
            <w:rFonts w:ascii="Times New Roman" w:cs="Times New Roman" w:eastAsia="Times New Roman" w:hAnsi="Times New Roman"/>
            <w:sz w:val="18"/>
            <w:szCs w:val="18"/>
            <w:u w:val="single" w:color="auto"/>
            <w:color w:val="0000EE"/>
          </w:rPr>
          <w:t>and Restated 2011 Stock Plan.</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10.9</w:t>
      </w:r>
      <w:hyperlink r:id="rId374">
        <w:r>
          <w:rPr>
            <w:rFonts w:ascii="Times New Roman" w:cs="Times New Roman" w:eastAsia="Times New Roman" w:hAnsi="Times New Roman"/>
            <w:sz w:val="18"/>
            <w:szCs w:val="18"/>
            <w:u w:val="single" w:color="auto"/>
            <w:color w:val="0000EE"/>
          </w:rPr>
          <w:t>Form of Non-Redemption Agreement.</w:t>
        </w:r>
      </w:hyperlink>
    </w:p>
    <w:p>
      <w:pPr>
        <w:spacing w:after="0" w:line="117"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10.10</w:t>
      </w:r>
      <w:hyperlink r:id="rId375">
        <w:r>
          <w:rPr>
            <w:rFonts w:ascii="Times New Roman" w:cs="Times New Roman" w:eastAsia="Times New Roman" w:hAnsi="Times New Roman"/>
            <w:sz w:val="18"/>
            <w:szCs w:val="18"/>
            <w:u w:val="single" w:color="auto"/>
            <w:color w:val="0000EE"/>
          </w:rPr>
          <w:t>Form of PIPE Agreement</w:t>
        </w:r>
      </w:hyperlink>
    </w:p>
    <w:p>
      <w:pPr>
        <w:spacing w:after="0" w:line="117" w:lineRule="exact"/>
        <w:rPr>
          <w:rFonts w:ascii="Times New Roman" w:cs="Times New Roman" w:eastAsia="Times New Roman" w:hAnsi="Times New Roman"/>
          <w:sz w:val="18"/>
          <w:szCs w:val="18"/>
          <w:u w:val="single" w:color="auto"/>
          <w:color w:val="0000EE"/>
        </w:rPr>
      </w:pPr>
    </w:p>
    <w:p>
      <w:pPr>
        <w:ind w:left="960" w:right="44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376">
        <w:r>
          <w:rPr>
            <w:rFonts w:ascii="Times New Roman" w:cs="Times New Roman" w:eastAsia="Times New Roman" w:hAnsi="Times New Roman"/>
            <w:sz w:val="18"/>
            <w:szCs w:val="18"/>
            <w:u w:val="single" w:color="auto"/>
            <w:color w:val="0000EE"/>
          </w:rPr>
          <w:t>Registration Rights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76">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960" w:right="26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377">
        <w:r>
          <w:rPr>
            <w:rFonts w:ascii="Times New Roman" w:cs="Times New Roman" w:eastAsia="Times New Roman" w:hAnsi="Times New Roman"/>
            <w:sz w:val="18"/>
            <w:szCs w:val="18"/>
            <w:u w:val="single" w:color="auto"/>
            <w:color w:val="0000EE"/>
          </w:rPr>
          <w:t>Stockholder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77">
        <w:r>
          <w:rPr>
            <w:rFonts w:ascii="Times New Roman" w:cs="Times New Roman" w:eastAsia="Times New Roman" w:hAnsi="Times New Roman"/>
            <w:sz w:val="18"/>
            <w:szCs w:val="18"/>
            <w:u w:val="single" w:color="auto"/>
            <w:color w:val="0000EE"/>
          </w:rPr>
          <w:t>certain stockholders of Legacy Blaize named therein.</w:t>
        </w:r>
      </w:hyperlink>
    </w:p>
    <w:p>
      <w:pPr>
        <w:spacing w:after="0" w:line="53" w:lineRule="exact"/>
        <w:rPr>
          <w:rFonts w:ascii="Times New Roman" w:cs="Times New Roman" w:eastAsia="Times New Roman" w:hAnsi="Times New Roman"/>
          <w:sz w:val="18"/>
          <w:szCs w:val="18"/>
          <w:u w:val="single" w:color="auto"/>
          <w:color w:val="0000EE"/>
        </w:rPr>
      </w:pPr>
    </w:p>
    <w:p>
      <w:pPr>
        <w:ind w:left="960" w:right="320" w:hanging="844"/>
        <w:spacing w:after="0" w:line="282" w:lineRule="auto"/>
        <w:tabs>
          <w:tab w:leader="none" w:pos="200" w:val="left"/>
        </w:tabs>
        <w:numPr>
          <w:ilvl w:val="0"/>
          <w:numId w:val="19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378">
        <w:r>
          <w:rPr>
            <w:rFonts w:ascii="Times New Roman" w:cs="Times New Roman" w:eastAsia="Times New Roman" w:hAnsi="Times New Roman"/>
            <w:sz w:val="18"/>
            <w:szCs w:val="18"/>
            <w:u w:val="single" w:color="auto"/>
            <w:color w:val="0000EE"/>
          </w:rPr>
          <w:t>Noteholder Lock-Up Agreement, dated as of January 13, 2025, by and among the Company and</w:t>
        </w:r>
      </w:hyperlink>
      <w:r>
        <w:rPr>
          <w:rFonts w:ascii="Times New Roman" w:cs="Times New Roman" w:eastAsia="Times New Roman" w:hAnsi="Times New Roman"/>
          <w:sz w:val="18"/>
          <w:szCs w:val="18"/>
          <w:u w:val="single" w:color="auto"/>
          <w:color w:val="0000EE"/>
        </w:rPr>
        <w:t xml:space="preserve"> </w:t>
      </w:r>
      <w:hyperlink r:id="rId378">
        <w:r>
          <w:rPr>
            <w:rFonts w:ascii="Times New Roman" w:cs="Times New Roman" w:eastAsia="Times New Roman" w:hAnsi="Times New Roman"/>
            <w:sz w:val="18"/>
            <w:szCs w:val="18"/>
            <w:u w:val="single" w:color="auto"/>
            <w:color w:val="0000EE"/>
          </w:rPr>
          <w:t>certain securityholders of Legacy Blaize named therein.</w:t>
        </w:r>
      </w:hyperlink>
    </w:p>
    <w:p>
      <w:pPr>
        <w:spacing w:after="0" w:line="94" w:lineRule="exact"/>
        <w:rPr>
          <w:rFonts w:ascii="Times New Roman" w:cs="Times New Roman" w:eastAsia="Times New Roman" w:hAnsi="Times New Roman"/>
          <w:sz w:val="18"/>
          <w:szCs w:val="18"/>
          <w:color w:val="auto"/>
        </w:rPr>
      </w:pPr>
    </w:p>
    <w:p>
      <w:pPr>
        <w:ind w:left="54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142"/>
        </w:trPr>
        <w:tc>
          <w:tcPr>
            <w:tcW w:w="50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2"/>
                <w:szCs w:val="12"/>
                <w:color w:val="auto"/>
              </w:rPr>
            </w:pPr>
          </w:p>
        </w:tc>
      </w:tr>
      <w:tr>
        <w:trPr>
          <w:trHeight w:val="30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S-4</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11/26/2024</w:t>
            </w:r>
          </w:p>
        </w:tc>
      </w:tr>
      <w:tr>
        <w:trPr>
          <w:trHeight w:val="756"/>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11/19/2021</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12/16/2021</w:t>
            </w:r>
          </w:p>
        </w:tc>
      </w:tr>
      <w:tr>
        <w:trPr>
          <w:trHeight w:val="86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756"/>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12/16/2021</w:t>
            </w:r>
          </w:p>
        </w:tc>
      </w:tr>
      <w:tr>
        <w:trPr>
          <w:trHeight w:val="540"/>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12/31/2024</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1/8/2025</w:t>
            </w:r>
          </w:p>
        </w:tc>
      </w:tr>
      <w:tr>
        <w:trPr>
          <w:trHeight w:val="324"/>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r>
        <w:trPr>
          <w:trHeight w:val="540"/>
        </w:trPr>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r>
    </w:tbl>
    <w:p>
      <w:pPr>
        <w:sectPr>
          <w:pgSz w:w="11900" w:h="16838" w:orient="portrait"/>
          <w:cols w:equalWidth="0" w:num="2">
            <w:col w:w="8260" w:space="300"/>
            <w:col w:w="2500"/>
          </w:cols>
          <w:pgMar w:left="320" w:top="455" w:right="5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28"/>
        </w:trPr>
        <w:tc>
          <w:tcPr>
            <w:tcW w:w="9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920" w:type="dxa"/>
            <w:vAlign w:val="bottom"/>
            <w:gridSpan w:val="2"/>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10.14</w:t>
            </w:r>
          </w:p>
        </w:tc>
        <w:tc>
          <w:tcPr>
            <w:tcW w:w="7600" w:type="dxa"/>
            <w:vAlign w:val="bottom"/>
            <w:gridSpan w:val="9"/>
          </w:tcPr>
          <w:p>
            <w:pPr>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Secured Promissory Note and Pledge Agreement, dated as of January 13, 2025, by and among</w:t>
              </w:r>
            </w:hyperlink>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8-K</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10.14</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80">
              <w:r>
                <w:rPr>
                  <w:rFonts w:ascii="Times New Roman" w:cs="Times New Roman" w:eastAsia="Times New Roman" w:hAnsi="Times New Roman"/>
                  <w:sz w:val="18"/>
                  <w:szCs w:val="18"/>
                  <w:color w:val="0000EE"/>
                  <w:w w:val="98"/>
                </w:rPr>
                <w:t>BurTech LP LLC and BurTech.</w:t>
              </w:r>
            </w:hyperlink>
          </w:p>
        </w:tc>
        <w:tc>
          <w:tcPr>
            <w:tcW w:w="4500" w:type="dxa"/>
            <w:vAlign w:val="bottom"/>
            <w:tcBorders>
              <w:top w:val="single" w:sz="8" w:color="0000EE"/>
            </w:tcBorders>
            <w:gridSpan w:val="5"/>
          </w:tcPr>
          <w:p>
            <w:pPr>
              <w:spacing w:after="0"/>
              <w:rPr>
                <w:sz w:val="17"/>
                <w:szCs w:val="17"/>
                <w:color w:val="auto"/>
              </w:rPr>
            </w:pPr>
          </w:p>
        </w:tc>
        <w:tc>
          <w:tcPr>
            <w:tcW w:w="8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10.15*</w:t>
            </w:r>
          </w:p>
        </w:tc>
        <w:tc>
          <w:tcPr>
            <w:tcW w:w="7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81">
              <w:r>
                <w:rPr>
                  <w:rFonts w:ascii="Times New Roman" w:cs="Times New Roman" w:eastAsia="Times New Roman" w:hAnsi="Times New Roman"/>
                  <w:sz w:val="18"/>
                  <w:szCs w:val="18"/>
                  <w:color w:val="0000EE"/>
                  <w:w w:val="99"/>
                </w:rPr>
                <w:t>Letter Agreement, dated as of January 13, 2025, by and among BurTech, Merger Sub, Blaize and</w:t>
              </w:r>
            </w:hyperlink>
          </w:p>
        </w:tc>
        <w:tc>
          <w:tcPr>
            <w:tcW w:w="600" w:type="dxa"/>
            <w:vAlign w:val="bottom"/>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0" w:type="dxa"/>
            <w:vAlign w:val="bottom"/>
            <w:gridSpan w:val="9"/>
          </w:tcPr>
          <w:p>
            <w:pPr>
              <w:spacing w:after="0" w:line="196" w:lineRule="exact"/>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Burkhan BurTech LP LLC and Blaize.</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10.16</w:t>
            </w:r>
          </w:p>
        </w:tc>
        <w:tc>
          <w:tcPr>
            <w:tcW w:w="7600" w:type="dxa"/>
            <w:vAlign w:val="bottom"/>
            <w:gridSpan w:val="9"/>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Offer Letter, dated as of June 18, 2018, by and between ThinCI, Inc. and Dinakar Munagala.</w:t>
              </w:r>
            </w:hyperlink>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10.17</w:t>
            </w:r>
          </w:p>
        </w:tc>
        <w:tc>
          <w:tcPr>
            <w:tcW w:w="600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Offer Letter, dated as of June 20, 2018, by and between ThinCI, Inc. and Val Cook.</w:t>
              </w:r>
            </w:hyperlink>
          </w:p>
        </w:tc>
        <w:tc>
          <w:tcPr>
            <w:tcW w:w="660" w:type="dxa"/>
            <w:vAlign w:val="bottom"/>
            <w:tcBorders>
              <w:top w:val="single" w:sz="8" w:color="0000EE"/>
            </w:tcBorders>
            <w:gridSpan w:val="2"/>
          </w:tcPr>
          <w:p>
            <w:pPr>
              <w:spacing w:after="0"/>
              <w:rPr>
                <w:sz w:val="24"/>
                <w:szCs w:val="24"/>
                <w:color w:val="auto"/>
              </w:rPr>
            </w:pPr>
          </w:p>
        </w:tc>
        <w:tc>
          <w:tcPr>
            <w:tcW w:w="940" w:type="dxa"/>
            <w:vAlign w:val="bottom"/>
            <w:gridSpan w:val="3"/>
          </w:tcPr>
          <w:p>
            <w:pPr>
              <w:spacing w:after="0"/>
              <w:rPr>
                <w:sz w:val="24"/>
                <w:szCs w:val="24"/>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10.18</w:t>
            </w:r>
          </w:p>
        </w:tc>
        <w:tc>
          <w:tcPr>
            <w:tcW w:w="7600" w:type="dxa"/>
            <w:vAlign w:val="bottom"/>
            <w:gridSpan w:val="9"/>
          </w:tcPr>
          <w:p>
            <w:pPr>
              <w:spacing w:after="0"/>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Offer Letter, dated as of November 15, 2018, by and between ThinCI, Inc. and Dmitry</w:t>
              </w:r>
            </w:hyperlink>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10.18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1/17/2025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Zakharchenko.</w:t>
              </w:r>
            </w:hyperlink>
          </w:p>
        </w:tc>
        <w:tc>
          <w:tcPr>
            <w:tcW w:w="138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9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10.19</w:t>
      </w:r>
      <w:hyperlink r:id="rId385">
        <w:r>
          <w:rPr>
            <w:rFonts w:ascii="Times New Roman" w:cs="Times New Roman" w:eastAsia="Times New Roman" w:hAnsi="Times New Roman"/>
            <w:sz w:val="17"/>
            <w:szCs w:val="17"/>
            <w:u w:val="single" w:color="auto"/>
            <w:color w:val="0000EE"/>
          </w:rPr>
          <w:t>Amendment to Offer Letter, dated as of February 22, 2022, by and between ThinCI, Inc. and Dmitry</w:t>
        </w:r>
      </w:hyperlink>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7440" w:type="dxa"/>
            <w:vAlign w:val="bottom"/>
            <w:gridSpan w:val="4"/>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Zakharchenko.</w:t>
              </w:r>
            </w:hyperlink>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20"/>
        </w:trPr>
        <w:tc>
          <w:tcPr>
            <w:tcW w:w="9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7440" w:type="dxa"/>
            <w:vAlign w:val="bottom"/>
            <w:gridSpan w:val="4"/>
          </w:tcPr>
          <w:p>
            <w:pPr>
              <w:spacing w:after="0"/>
              <w:rPr>
                <w:rFonts w:ascii="Times New Roman" w:cs="Times New Roman" w:eastAsia="Times New Roman" w:hAnsi="Times New Roman"/>
                <w:sz w:val="18"/>
                <w:szCs w:val="18"/>
                <w:color w:val="0000EE"/>
              </w:rPr>
            </w:pPr>
            <w:hyperlink r:id="rId386">
              <w:r>
                <w:rPr>
                  <w:rFonts w:ascii="Times New Roman" w:cs="Times New Roman" w:eastAsia="Times New Roman" w:hAnsi="Times New Roman"/>
                  <w:sz w:val="18"/>
                  <w:szCs w:val="18"/>
                  <w:color w:val="0000EE"/>
                </w:rPr>
                <w:t>Offer Letter, dated as of July 4, 2018, by and between ThinCI, Inc. and Santiago Fernandez-Gomez.</w:t>
              </w:r>
            </w:hyperlink>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10.21</w:t>
            </w:r>
          </w:p>
        </w:tc>
        <w:tc>
          <w:tcPr>
            <w:tcW w:w="51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387">
              <w:r>
                <w:rPr>
                  <w:rFonts w:ascii="Times New Roman" w:cs="Times New Roman" w:eastAsia="Times New Roman" w:hAnsi="Times New Roman"/>
                  <w:sz w:val="18"/>
                  <w:szCs w:val="18"/>
                  <w:color w:val="0000EE"/>
                  <w:w w:val="99"/>
                </w:rPr>
                <w:t>Blaize Holdings, Inc. Non-Employee Director Compensation Program.</w:t>
              </w:r>
            </w:hyperlink>
          </w:p>
        </w:tc>
        <w:tc>
          <w:tcPr>
            <w:tcW w:w="20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117" w:lineRule="exact"/>
        <w:rPr>
          <w:sz w:val="20"/>
          <w:szCs w:val="20"/>
          <w:color w:val="auto"/>
        </w:rPr>
      </w:pPr>
    </w:p>
    <w:p>
      <w:pPr>
        <w:ind w:left="200" w:hanging="84"/>
        <w:spacing w:after="0"/>
        <w:tabs>
          <w:tab w:leader="none" w:pos="200" w:val="left"/>
        </w:tabs>
        <w:numPr>
          <w:ilvl w:val="0"/>
          <w:numId w:val="19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10.22</w:t>
      </w:r>
      <w:hyperlink r:id="rId388">
        <w:r>
          <w:rPr>
            <w:rFonts w:ascii="Times New Roman" w:cs="Times New Roman" w:eastAsia="Times New Roman" w:hAnsi="Times New Roman"/>
            <w:sz w:val="18"/>
            <w:szCs w:val="18"/>
            <w:u w:val="single" w:color="auto"/>
            <w:color w:val="0000EE"/>
          </w:rPr>
          <w:t>Form of Stock Option Grant Agreement (Contingent Exercise) and Grant Notice under the Blaize,</w:t>
        </w:r>
      </w:hyperlink>
    </w:p>
    <w:tbl>
      <w:tblPr>
        <w:tblLayout w:type="fixed"/>
        <w:tblInd w:w="12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3260" w:type="dxa"/>
            <w:vAlign w:val="bottom"/>
            <w:tcBorders>
              <w:bottom w:val="single" w:sz="8" w:color="0000EE"/>
            </w:tcBorders>
            <w:gridSpan w:val="2"/>
          </w:tcPr>
          <w:p>
            <w:pPr>
              <w:spacing w:after="0" w:line="203" w:lineRule="exact"/>
              <w:rPr>
                <w:rFonts w:ascii="Times New Roman" w:cs="Times New Roman" w:eastAsia="Times New Roman" w:hAnsi="Times New Roman"/>
                <w:sz w:val="18"/>
                <w:szCs w:val="18"/>
                <w:color w:val="0000EE"/>
                <w:w w:val="99"/>
              </w:rPr>
            </w:pPr>
            <w:hyperlink r:id="rId388">
              <w:r>
                <w:rPr>
                  <w:rFonts w:ascii="Times New Roman" w:cs="Times New Roman" w:eastAsia="Times New Roman" w:hAnsi="Times New Roman"/>
                  <w:sz w:val="18"/>
                  <w:szCs w:val="18"/>
                  <w:color w:val="0000EE"/>
                  <w:w w:val="99"/>
                </w:rPr>
                <w:t>Inc. Amended and Restated 2011 Stock Plan.</w:t>
              </w:r>
            </w:hyperlink>
          </w:p>
        </w:tc>
        <w:tc>
          <w:tcPr>
            <w:tcW w:w="2200" w:type="dxa"/>
            <w:vAlign w:val="bottom"/>
          </w:tcPr>
          <w:p>
            <w:pPr>
              <w:spacing w:after="0"/>
              <w:rPr>
                <w:sz w:val="17"/>
                <w:szCs w:val="17"/>
                <w:color w:val="auto"/>
              </w:rPr>
            </w:pPr>
          </w:p>
        </w:tc>
        <w:tc>
          <w:tcPr>
            <w:tcW w:w="2720" w:type="dxa"/>
            <w:vAlign w:val="bottom"/>
          </w:tcPr>
          <w:p>
            <w:pPr>
              <w:ind w:left="2220"/>
              <w:spacing w:after="0" w:line="203" w:lineRule="exact"/>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10.22</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1/17/2025</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266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389">
              <w:r>
                <w:rPr>
                  <w:rFonts w:ascii="Times New Roman" w:cs="Times New Roman" w:eastAsia="Times New Roman" w:hAnsi="Times New Roman"/>
                  <w:sz w:val="18"/>
                  <w:szCs w:val="18"/>
                  <w:color w:val="0000EE"/>
                  <w:w w:val="99"/>
                </w:rPr>
                <w:t>Subsidiaries of Blaize Holdings, Inc.</w:t>
              </w:r>
            </w:hyperlink>
          </w:p>
        </w:tc>
        <w:tc>
          <w:tcPr>
            <w:tcW w:w="2800" w:type="dxa"/>
            <w:vAlign w:val="bottom"/>
            <w:gridSpan w:val="2"/>
          </w:tcPr>
          <w:p>
            <w:pPr>
              <w:spacing w:after="0"/>
              <w:rPr>
                <w:sz w:val="24"/>
                <w:szCs w:val="24"/>
                <w:color w:val="auto"/>
              </w:rPr>
            </w:pPr>
          </w:p>
        </w:tc>
        <w:tc>
          <w:tcPr>
            <w:tcW w:w="27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1/17/2025</w:t>
            </w:r>
          </w:p>
        </w:tc>
      </w:tr>
    </w:tbl>
    <w:p>
      <w:pPr>
        <w:spacing w:after="0" w:line="117" w:lineRule="exact"/>
        <w:rPr>
          <w:sz w:val="20"/>
          <w:szCs w:val="20"/>
          <w:color w:val="auto"/>
        </w:rPr>
      </w:pPr>
    </w:p>
    <w:p>
      <w:pPr>
        <w:ind w:left="200" w:hanging="84"/>
        <w:spacing w:after="0"/>
        <w:tabs>
          <w:tab w:leader="none" w:pos="20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Marcum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UHY LLP.</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w:t>
      </w:r>
      <w:r>
        <w:rPr>
          <w:rFonts w:ascii="Times New Roman" w:cs="Times New Roman" w:eastAsia="Times New Roman" w:hAnsi="Times New Roman"/>
          <w:sz w:val="17"/>
          <w:szCs w:val="17"/>
          <w:u w:val="single" w:color="auto"/>
          <w:color w:val="0000EE"/>
        </w:rPr>
        <w:t>Consent of Latham &amp; Watkins LLP (included in Exhibit 5.1).</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9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24.1</w:t>
      </w:r>
      <w:hyperlink r:id="rId390">
        <w:r>
          <w:rPr>
            <w:rFonts w:ascii="Times New Roman" w:cs="Times New Roman" w:eastAsia="Times New Roman" w:hAnsi="Times New Roman"/>
            <w:sz w:val="18"/>
            <w:szCs w:val="18"/>
            <w:u w:val="single" w:color="auto"/>
            <w:color w:val="0000EE"/>
          </w:rPr>
          <w:t>Power of Attorney (included on signature page of the initial filing of this Registration Statement).</w:t>
        </w:r>
      </w:hyperlink>
    </w:p>
    <w:p>
      <w:pPr>
        <w:spacing w:after="0" w:line="117" w:lineRule="exact"/>
        <w:rPr>
          <w:rFonts w:ascii="Times New Roman" w:cs="Times New Roman" w:eastAsia="Times New Roman" w:hAnsi="Times New Roman"/>
          <w:sz w:val="18"/>
          <w:szCs w:val="18"/>
          <w:u w:val="single" w:color="auto"/>
          <w:color w:val="0000EE"/>
        </w:rPr>
      </w:pPr>
    </w:p>
    <w:p>
      <w:pPr>
        <w:ind w:left="12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line="261"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ind w:left="540" w:hanging="424"/>
        <w:spacing w:after="0"/>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51"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w:t>
      </w:r>
    </w:p>
    <w:p>
      <w:pPr>
        <w:spacing w:after="0" w:line="5" w:lineRule="exact"/>
        <w:rPr>
          <w:sz w:val="20"/>
          <w:szCs w:val="20"/>
          <w:color w:val="auto"/>
        </w:rPr>
      </w:pPr>
    </w:p>
    <w:p>
      <w:pPr>
        <w:ind w:left="120" w:right="220" w:hanging="4"/>
        <w:spacing w:after="0" w:line="253" w:lineRule="auto"/>
        <w:tabs>
          <w:tab w:leader="none" w:pos="43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   that, for the purpose of determining liability under the Securities Act to any purchaser:</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any preliminary prospectus or prospectus of the undersigned registrant relating to the offering required to be filed pursuant to Rule 424;</w:t>
      </w:r>
    </w:p>
    <w:p>
      <w:pPr>
        <w:spacing w:after="0" w:line="117"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(b)  any free writing prospectus relating to the offering prepared by or on behalf of the undersigned registrant or used or referred to by the undersigned registrant;</w:t>
      </w:r>
    </w:p>
    <w:p>
      <w:pPr>
        <w:spacing w:after="0" w:line="54"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(c)  the portion of any other free writing prospectus relating to the offering containing material information about the undersigned registrant or its securities provided by or on behalf of an undersigned registrant; and</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any other communication that is an offer in the offering made by the undersigned registrant to the purchaser.</w:t>
      </w:r>
    </w:p>
    <w:p>
      <w:pPr>
        <w:spacing w:after="0" w:line="22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20"/>
          </w:cols>
          <w:pgMar w:left="320" w:top="455" w:right="5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80" w:firstLine="44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to be signed on its behalf by the undersigned hereunto duly authorized, on this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2025</w:t>
      </w:r>
    </w:p>
    <w:p>
      <w:pPr>
        <w:spacing w:after="0" w:line="4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pacing w:after="0" w:line="19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Dinakar Munagala and Harminder Sehmi,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Chief Executive Officer and</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178"/>
        </w:trPr>
        <w:tc>
          <w:tcPr>
            <w:tcW w:w="28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Dinakar Munagala</w:t>
            </w: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20" w:type="dxa"/>
            <w:vAlign w:val="bottom"/>
            <w:gridSpan w:val="3"/>
          </w:tcPr>
          <w:p>
            <w:pPr>
              <w:jc w:val="center"/>
              <w:ind w:left="170"/>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5"/>
        </w:trPr>
        <w:tc>
          <w:tcPr>
            <w:tcW w:w="2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178"/>
        </w:trPr>
        <w:tc>
          <w:tcPr>
            <w:tcW w:w="28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Harminder Sehmi</w:t>
            </w: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20" w:type="dxa"/>
            <w:vAlign w:val="bottom"/>
            <w:gridSpan w:val="3"/>
          </w:tcPr>
          <w:p>
            <w:pPr>
              <w:jc w:val="center"/>
              <w:ind w:left="19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5"/>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Lane Bess</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1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5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Dinakar Munagala</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232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c>
          <w:tcPr>
            <w:tcW w:w="16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II-8</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22" w:name="page323"/>
    <w:bookmarkEnd w:id="3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997585</wp:posOffset>
            </wp:positionV>
            <wp:extent cx="2065655"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20656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4659 Golden Foothill Parkway, STE 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Dorado Hills, California 95762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Blaize Holdings, Inc. – Registration Statement on Form S-1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+1.713.546.5400 Fax: +1.713.546.5401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www.lw.com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7"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Milan</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Century City</w:t>
      </w:r>
      <w:r>
        <w:rPr>
          <w:sz w:val="20"/>
          <w:szCs w:val="20"/>
          <w:color w:val="auto"/>
        </w:rPr>
        <w:tab/>
      </w: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San Diego</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Düsseldorf</w:t>
      </w:r>
      <w:r>
        <w:rPr>
          <w:sz w:val="20"/>
          <w:szCs w:val="20"/>
          <w:color w:val="auto"/>
        </w:rPr>
        <w:tab/>
      </w: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Seoul</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Silicon Valley</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Singapore</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Tel Aviv</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Tokyo</w:t>
      </w:r>
    </w:p>
    <w:p>
      <w:pPr>
        <w:spacing w:after="0" w:line="9"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7"/>
          <w:szCs w:val="17"/>
          <w:color w:val="auto"/>
        </w:rPr>
        <w:t>Washington, D.C.</w:t>
      </w:r>
    </w:p>
    <w:p>
      <w:pPr>
        <w:spacing w:after="0" w:line="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7"/>
          <w:szCs w:val="17"/>
          <w:color w:val="auto"/>
        </w:rPr>
        <w:t>Madrid</w:t>
      </w:r>
    </w:p>
    <w:p>
      <w:pPr>
        <w:spacing w:after="0" w:line="970" w:lineRule="exact"/>
        <w:rPr>
          <w:sz w:val="20"/>
          <w:szCs w:val="20"/>
          <w:color w:val="auto"/>
        </w:rPr>
      </w:pPr>
    </w:p>
    <w:p>
      <w:pPr>
        <w:sectPr>
          <w:pgSz w:w="11900" w:h="16838" w:orient="portrait"/>
          <w:cols w:equalWidth="0" w:num="2">
            <w:col w:w="6680" w:space="720"/>
            <w:col w:w="3620"/>
          </w:cols>
          <w:pgMar w:left="440" w:top="117" w:right="439" w:bottom="1440" w:gutter="0" w:footer="0" w:header="0"/>
        </w:sect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have acted as special counsel to Blaize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registration statement on Form S-1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relating to the registration of (i) the offer and sale from time to time of (a) 89,550,141 outstanding shares (the “</w:t>
      </w:r>
      <w:r>
        <w:rPr>
          <w:rFonts w:ascii="Times New Roman" w:cs="Times New Roman" w:eastAsia="Times New Roman" w:hAnsi="Times New Roman"/>
          <w:sz w:val="18"/>
          <w:szCs w:val="18"/>
          <w:b w:val="1"/>
          <w:bCs w:val="1"/>
          <w:i w:val="1"/>
          <w:iCs w:val="1"/>
          <w:color w:val="auto"/>
        </w:rPr>
        <w:t>Resale Shares</w:t>
      </w:r>
      <w:r>
        <w:rPr>
          <w:rFonts w:ascii="Times New Roman" w:cs="Times New Roman" w:eastAsia="Times New Roman" w:hAnsi="Times New Roman"/>
          <w:sz w:val="18"/>
          <w:szCs w:val="18"/>
          <w:color w:val="auto"/>
        </w:rPr>
        <w:t>”)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and (b) 898,250 warrants (the “</w:t>
      </w:r>
      <w:r>
        <w:rPr>
          <w:rFonts w:ascii="Times New Roman" w:cs="Times New Roman" w:eastAsia="Times New Roman" w:hAnsi="Times New Roman"/>
          <w:sz w:val="18"/>
          <w:szCs w:val="18"/>
          <w:b w:val="1"/>
          <w:bCs w:val="1"/>
          <w:i w:val="1"/>
          <w:iCs w:val="1"/>
          <w:color w:val="auto"/>
        </w:rPr>
        <w:t>Resale Warrants</w:t>
      </w:r>
      <w:r>
        <w:rPr>
          <w:rFonts w:ascii="Times New Roman" w:cs="Times New Roman" w:eastAsia="Times New Roman" w:hAnsi="Times New Roman"/>
          <w:sz w:val="18"/>
          <w:szCs w:val="18"/>
          <w:color w:val="auto"/>
        </w:rPr>
        <w:t>”) to acquire shares of common stock, in each case, by the selling securityholders named in the Registration Statement and (ii) the issuance by the Company of up to 29,698,250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of common stock upon the exercise of warrants to purchase shares of common stock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prospectus or prospectus supplement (collectively,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other than as expressly stated herein with respect to the resale of the Resale Shares and Resale Warrants and the issue of the Warrant Shares.</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with respect to the opinions set forth in paragraph 2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ectPr>
          <w:pgSz w:w="11900" w:h="16838" w:orient="portrait"/>
          <w:cols w:equalWidth="0" w:num="1">
            <w:col w:w="11020"/>
          </w:cols>
          <w:pgMar w:left="440" w:top="117" w:right="439" w:bottom="1440" w:gutter="0" w:footer="0" w:header="0"/>
          <w:type w:val="continuous"/>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10,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31290"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1431290" cy="1200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w:t>
      </w:r>
    </w:p>
    <w:p>
      <w:pPr>
        <w:spacing w:after="0" w:line="131" w:lineRule="exact"/>
        <w:rPr>
          <w:sz w:val="20"/>
          <w:szCs w:val="20"/>
          <w:color w:val="auto"/>
        </w:rPr>
      </w:pPr>
    </w:p>
    <w:p>
      <w:pPr>
        <w:ind w:left="960" w:right="460" w:hanging="532"/>
        <w:spacing w:after="0" w:line="282"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Shares have been duly authorized by all necessary corporate action of the Company and are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Warrants are the legally valid and binding obligations of the Company, enforceable against the Company in accordance with their terms.</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Warrant Shares shall have been duly registered on the books of the transfer agent and registrar therefor in the name of or on behalf of the Warrant holders and have been issued by the Company against payment therefor (not less than par value) in the circumstances contemplated by the Warrants, the Warrant Shares will have been duly authorized by all necessary corporate action of the Company and will be validly issued, fully paid and nonassessable. In rendering the foregoing opinion, we have assumed that the Company will comply with all applicable notice requirements regarding uncertificated shares provided in the DGCL.</w:t>
      </w:r>
    </w:p>
    <w:p>
      <w:pPr>
        <w:spacing w:after="0" w:line="183"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Our opinions set forth in numbered paragraph 2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the creation, validity, attachment, perfection, or priority of any lien or security interest,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(m)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(n) the severability, if invalid, of provisions to the foregoing effect.</w:t>
      </w:r>
    </w:p>
    <w:p>
      <w:pPr>
        <w:sectPr>
          <w:pgSz w:w="11900" w:h="16838" w:orient="portrait"/>
          <w:cols w:equalWidth="0" w:num="1">
            <w:col w:w="11000"/>
          </w:cols>
          <w:pgMar w:left="440" w:top="266" w:right="459" w:bottom="1440" w:gutter="0" w:footer="0" w:header="0"/>
        </w:sectPr>
      </w:pPr>
    </w:p>
    <w:bookmarkStart w:id="324" w:name="page325"/>
    <w:bookmarkEnd w:id="32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February 10, 2025</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431290" cy="1200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1431290" cy="1200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With your consent, we have assumed (a) that the Warrants and the warrant agreement, dated December 10, 2021, between the Company and Continental Stock Transfer &amp; Trust Company, as warrant agent, relating to the Warrants, have been duly authorized, executed and delivered by the parties thereto other than the Company, (b) that the Warrants and the warrant agreement constitute or will constitute legally valid and binding obligations of the parties thereto other than the Company, enforceable against each of them in accordance with their respective terms and (c) that the status of the Warrants as legally valid and binding obligations of the parties will not be affected by any (i) breaches of, or defaults under, agreements or instruments,</w:t>
      </w:r>
    </w:p>
    <w:p>
      <w:pPr>
        <w:spacing w:after="0" w:line="3" w:lineRule="exact"/>
        <w:rPr>
          <w:sz w:val="20"/>
          <w:szCs w:val="20"/>
          <w:color w:val="auto"/>
        </w:rPr>
      </w:pPr>
    </w:p>
    <w:p>
      <w:pPr>
        <w:ind w:left="4" w:right="20" w:hanging="4"/>
        <w:spacing w:after="0" w:line="260" w:lineRule="auto"/>
        <w:tabs>
          <w:tab w:leader="none" w:pos="26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statutes, rules, regulations or court or governmental orders or (iii) failures to obtain required consents, approvals or authorizations from, or to make required registrations, declarations or filings with, governmental authorities.</w:t>
      </w:r>
    </w:p>
    <w:p>
      <w:pPr>
        <w:spacing w:after="0" w:line="181"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ectPr>
          <w:pgSz w:w="11900" w:h="16838" w:orient="portrait"/>
          <w:cols w:equalWidth="0" w:num="1">
            <w:col w:w="11004"/>
          </w:cols>
          <w:pgMar w:left="436" w:top="266" w:right="45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Blaize Holdings Inc. on Amendment No. 1 to Form S-1 of our report on the financial statements of BurTech Acquisition Corp. and Subsidiary (the “Company”) dated May 7, 2024, which includes an explanatory paragraph as to the Company’s ability to continue as a going concern, with respect to our audits of the consolidated financial statements of the Company as of December 31, 2023 and 2022 and for the two years in the period ended December 31, 2023, which is part of this Registration Statement. On January 13, 2025 we were informed by the Company that we would be replaced by UHY following the completion of our audit for the year ended December 31, 2024. We also consent to the reference to our Firm under the heading “Experts” in such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ectPr>
          <w:pgSz w:w="11900" w:h="16838" w:orient="portrait"/>
          <w:cols w:equalWidth="0" w:num="1">
            <w:col w:w="11020"/>
          </w:cols>
          <w:pgMar w:left="440" w:top="117" w:right="4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Blaize Holdings, Inc. (the “Company”) on Amendment No. 1 to Form S-1 of our report dated June 11, 2024, except notes 2, 14 and 17 as to which the date is September 5, 2024, which includes an explanatory paragraph as to Blaize, Inc. and Subsidiaries’ ability to continue as a going concern, with respect to our audits of the consolidated financial statements of Blaize, Inc. and Subsidiaries as of December 31, 2023 and 2022 and for the years then ended.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Independent Member of Urbach Hacker Young International</w:t>
      </w:r>
    </w:p>
    <w:p>
      <w:pPr>
        <w:sectPr>
          <w:pgSz w:w="11900" w:h="16838" w:orient="portrait"/>
          <w:cols w:equalWidth="0" w:num="1">
            <w:col w:w="11020"/>
          </w:cols>
          <w:pgMar w:left="440" w:top="117" w:right="439" w:bottom="1440" w:gutter="0" w:footer="0" w:header="0"/>
        </w:sectPr>
      </w:pPr>
    </w:p>
    <w:bookmarkStart w:id="327" w:name="page328"/>
    <w:bookmarkEnd w:id="327"/>
    <w:p>
      <w:pPr>
        <w:ind w:left="10164"/>
        <w:spacing w:after="0"/>
        <w:rPr>
          <w:sz w:val="20"/>
          <w:szCs w:val="20"/>
          <w:color w:val="auto"/>
        </w:rPr>
      </w:pPr>
      <w:r>
        <w:rPr>
          <w:rFonts w:ascii="Times New Roman" w:cs="Times New Roman" w:eastAsia="Times New Roman" w:hAnsi="Times New Roman"/>
          <w:sz w:val="18"/>
          <w:szCs w:val="18"/>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53"/>
        </w:trPr>
        <w:tc>
          <w:tcPr>
            <w:tcW w:w="740" w:type="dxa"/>
            <w:vAlign w:val="bottom"/>
            <w:tcBorders>
              <w:top w:val="single" w:sz="8" w:color="auto"/>
              <w:left w:val="single" w:sz="8" w:color="auto"/>
              <w:right w:val="single" w:sz="8" w:color="auto"/>
            </w:tcBorders>
          </w:tcPr>
          <w:p>
            <w:pPr>
              <w:spacing w:after="0"/>
              <w:rPr>
                <w:sz w:val="13"/>
                <w:szCs w:val="13"/>
                <w:color w:val="auto"/>
              </w:rPr>
            </w:pPr>
          </w:p>
        </w:tc>
        <w:tc>
          <w:tcPr>
            <w:tcW w:w="3700" w:type="dxa"/>
            <w:vAlign w:val="bottom"/>
            <w:tcBorders>
              <w:top w:val="single" w:sz="8" w:color="auto"/>
              <w:right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Proposed</w:t>
            </w:r>
          </w:p>
        </w:tc>
        <w:tc>
          <w:tcPr>
            <w:tcW w:w="166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11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9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3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66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vMerge w:val="continue"/>
          </w:tcPr>
          <w:p>
            <w:pPr>
              <w:spacing w:after="0"/>
              <w:rPr>
                <w:sz w:val="12"/>
                <w:szCs w:val="12"/>
                <w:color w:val="auto"/>
              </w:rPr>
            </w:pPr>
          </w:p>
        </w:tc>
        <w:tc>
          <w:tcPr>
            <w:tcW w:w="3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11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98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0" w:type="dxa"/>
            <w:vAlign w:val="bottom"/>
          </w:tcPr>
          <w:p>
            <w:pPr>
              <w:spacing w:after="0"/>
              <w:rPr>
                <w:sz w:val="1"/>
                <w:szCs w:val="1"/>
                <w:color w:val="auto"/>
              </w:rPr>
            </w:pPr>
          </w:p>
        </w:tc>
      </w:tr>
      <w:tr>
        <w:trPr>
          <w:trHeight w:val="207"/>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r>
              <w:rPr>
                <w:rFonts w:ascii="Times New Roman" w:cs="Times New Roman" w:eastAsia="Times New Roman" w:hAnsi="Times New Roman"/>
                <w:sz w:val="10"/>
                <w:szCs w:val="10"/>
                <w:color w:val="auto"/>
              </w:rPr>
              <w:t>(1)(2)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0" w:type="dxa"/>
            <w:vAlign w:val="bottom"/>
          </w:tcPr>
          <w:p>
            <w:pPr>
              <w:spacing w:after="0"/>
              <w:rPr>
                <w:sz w:val="1"/>
                <w:szCs w:val="1"/>
                <w:color w:val="auto"/>
              </w:rPr>
            </w:pPr>
          </w:p>
        </w:tc>
      </w:tr>
      <w:tr>
        <w:trPr>
          <w:trHeight w:val="255"/>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89,405,192</w:t>
            </w:r>
          </w:p>
        </w:tc>
        <w:tc>
          <w:tcPr>
            <w:tcW w:w="840" w:type="dxa"/>
            <w:vAlign w:val="bottom"/>
            <w:tcBorders>
              <w:bottom w:val="single" w:sz="8" w:color="auto"/>
              <w:right w:val="single" w:sz="8" w:color="auto"/>
            </w:tcBorders>
          </w:tcPr>
          <w:p>
            <w:pPr>
              <w:jc w:val="center"/>
              <w:spacing w:after="0" w:line="255" w:lineRule="exact"/>
              <w:rPr>
                <w:sz w:val="20"/>
                <w:szCs w:val="20"/>
                <w:color w:val="auto"/>
              </w:rPr>
            </w:pPr>
            <w:r>
              <w:rPr>
                <w:rFonts w:ascii="Times New Roman" w:cs="Times New Roman" w:eastAsia="Times New Roman" w:hAnsi="Times New Roman"/>
                <w:sz w:val="18"/>
                <w:szCs w:val="18"/>
                <w:color w:val="auto"/>
                <w:w w:val="95"/>
              </w:rPr>
              <w:t>$8.35</w:t>
            </w:r>
            <w:r>
              <w:rPr>
                <w:rFonts w:ascii="Times New Roman" w:cs="Times New Roman" w:eastAsia="Times New Roman" w:hAnsi="Times New Roman"/>
                <w:sz w:val="26"/>
                <w:szCs w:val="26"/>
                <w:color w:val="auto"/>
                <w:w w:val="95"/>
                <w:vertAlign w:val="superscript"/>
              </w:rPr>
              <w:t>(3)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$746,533,353.20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$114,294.26</w:t>
            </w: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144,949</w:t>
            </w:r>
          </w:p>
        </w:tc>
        <w:tc>
          <w:tcPr>
            <w:tcW w:w="8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5"/>
              </w:rPr>
              <w:t>$5.47</w:t>
            </w:r>
            <w:r>
              <w:rPr>
                <w:rFonts w:ascii="Times New Roman" w:cs="Times New Roman" w:eastAsia="Times New Roman" w:hAnsi="Times New Roman"/>
                <w:sz w:val="26"/>
                <w:szCs w:val="26"/>
                <w:color w:val="auto"/>
                <w:w w:val="95"/>
                <w:vertAlign w:val="superscript"/>
              </w:rPr>
              <w:t>(4)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$792,871.03</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$121.39</w:t>
            </w: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898,250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7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Common stock, $0.0001 par value per share</w:t>
            </w:r>
            <w:r>
              <w:rPr>
                <w:rFonts w:ascii="Times New Roman" w:cs="Times New Roman" w:eastAsia="Times New Roman" w:hAnsi="Times New Roman"/>
                <w:sz w:val="26"/>
                <w:szCs w:val="26"/>
                <w:color w:val="auto"/>
                <w:w w:val="98"/>
                <w:vertAlign w:val="superscript"/>
              </w:rPr>
              <w:t>(6)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29,648,250</w:t>
            </w:r>
          </w:p>
        </w:tc>
        <w:tc>
          <w:tcPr>
            <w:tcW w:w="8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$11.50</w:t>
            </w:r>
            <w:r>
              <w:rPr>
                <w:rFonts w:ascii="Times New Roman" w:cs="Times New Roman" w:eastAsia="Times New Roman" w:hAnsi="Times New Roman"/>
                <w:sz w:val="26"/>
                <w:szCs w:val="26"/>
                <w:color w:val="auto"/>
                <w:w w:val="94"/>
                <w:vertAlign w:val="superscript"/>
              </w:rPr>
              <w:t>(7)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$340,954,875.00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$52,200.19</w:t>
            </w:r>
          </w:p>
        </w:tc>
        <w:tc>
          <w:tcPr>
            <w:tcW w:w="0" w:type="dxa"/>
            <w:vAlign w:val="bottom"/>
          </w:tcPr>
          <w:p>
            <w:pPr>
              <w:spacing w:after="0"/>
              <w:rPr>
                <w:sz w:val="1"/>
                <w:szCs w:val="1"/>
                <w:color w:val="auto"/>
              </w:rPr>
            </w:pPr>
          </w:p>
        </w:tc>
      </w:tr>
      <w:tr>
        <w:trPr>
          <w:trHeight w:val="250"/>
        </w:trPr>
        <w:tc>
          <w:tcPr>
            <w:tcW w:w="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37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8"/>
              </w:rPr>
              <w:t>Common stock, $0.0001 par value per share</w:t>
            </w:r>
            <w:r>
              <w:rPr>
                <w:rFonts w:ascii="Times New Roman" w:cs="Times New Roman" w:eastAsia="Times New Roman" w:hAnsi="Times New Roman"/>
                <w:sz w:val="26"/>
                <w:szCs w:val="26"/>
                <w:color w:val="auto"/>
                <w:w w:val="98"/>
                <w:vertAlign w:val="superscript"/>
              </w:rPr>
              <w:t>(6)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84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$11.50</w:t>
            </w:r>
            <w:r>
              <w:rPr>
                <w:rFonts w:ascii="Times New Roman" w:cs="Times New Roman" w:eastAsia="Times New Roman" w:hAnsi="Times New Roman"/>
                <w:sz w:val="26"/>
                <w:szCs w:val="26"/>
                <w:color w:val="auto"/>
                <w:w w:val="94"/>
                <w:vertAlign w:val="superscript"/>
              </w:rPr>
              <w:t>(7)</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$575,000.00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28"/>
        </w:trPr>
        <w:tc>
          <w:tcPr>
            <w:tcW w:w="740" w:type="dxa"/>
            <w:vAlign w:val="bottom"/>
            <w:tcBorders>
              <w:left w:val="single" w:sz="8" w:color="auto"/>
            </w:tcBorders>
          </w:tcPr>
          <w:p>
            <w:pPr>
              <w:spacing w:after="0"/>
              <w:rPr>
                <w:sz w:val="19"/>
                <w:szCs w:val="19"/>
                <w:color w:val="auto"/>
              </w:rPr>
            </w:pPr>
          </w:p>
        </w:tc>
        <w:tc>
          <w:tcPr>
            <w:tcW w:w="370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8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$1,088,856,099.23</w:t>
            </w: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$166,494.87</w:t>
            </w:r>
          </w:p>
        </w:tc>
        <w:tc>
          <w:tcPr>
            <w:tcW w:w="0" w:type="dxa"/>
            <w:vAlign w:val="bottom"/>
          </w:tcPr>
          <w:p>
            <w:pPr>
              <w:spacing w:after="0"/>
              <w:rPr>
                <w:sz w:val="1"/>
                <w:szCs w:val="1"/>
                <w:color w:val="auto"/>
              </w:rPr>
            </w:pPr>
          </w:p>
        </w:tc>
      </w:tr>
      <w:tr>
        <w:trPr>
          <w:trHeight w:val="22"/>
        </w:trPr>
        <w:tc>
          <w:tcPr>
            <w:tcW w:w="740" w:type="dxa"/>
            <w:vAlign w:val="bottom"/>
            <w:tcBorders>
              <w:left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40" w:type="dxa"/>
            <w:vAlign w:val="bottom"/>
            <w:tcBorders>
              <w:left w:val="single" w:sz="8" w:color="auto"/>
            </w:tcBorders>
          </w:tcPr>
          <w:p>
            <w:pPr>
              <w:spacing w:after="0"/>
              <w:rPr>
                <w:sz w:val="19"/>
                <w:szCs w:val="19"/>
                <w:color w:val="auto"/>
              </w:rPr>
            </w:pPr>
          </w:p>
        </w:tc>
        <w:tc>
          <w:tcPr>
            <w:tcW w:w="370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8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$1,087,488,228.20</w:t>
            </w: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$166,494.45</w:t>
            </w:r>
          </w:p>
        </w:tc>
        <w:tc>
          <w:tcPr>
            <w:tcW w:w="0" w:type="dxa"/>
            <w:vAlign w:val="bottom"/>
          </w:tcPr>
          <w:p>
            <w:pPr>
              <w:spacing w:after="0"/>
              <w:rPr>
                <w:sz w:val="1"/>
                <w:szCs w:val="1"/>
                <w:color w:val="auto"/>
              </w:rPr>
            </w:pPr>
          </w:p>
        </w:tc>
      </w:tr>
      <w:tr>
        <w:trPr>
          <w:trHeight w:val="22"/>
        </w:trPr>
        <w:tc>
          <w:tcPr>
            <w:tcW w:w="740" w:type="dxa"/>
            <w:vAlign w:val="bottom"/>
            <w:tcBorders>
              <w:left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40" w:type="dxa"/>
            <w:vAlign w:val="bottom"/>
            <w:tcBorders>
              <w:left w:val="single" w:sz="8" w:color="auto"/>
            </w:tcBorders>
          </w:tcPr>
          <w:p>
            <w:pPr>
              <w:spacing w:after="0"/>
              <w:rPr>
                <w:sz w:val="19"/>
                <w:szCs w:val="19"/>
                <w:color w:val="auto"/>
              </w:rPr>
            </w:pPr>
          </w:p>
        </w:tc>
        <w:tc>
          <w:tcPr>
            <w:tcW w:w="370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8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740" w:type="dxa"/>
            <w:vAlign w:val="bottom"/>
            <w:tcBorders>
              <w:left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40" w:type="dxa"/>
            <w:vAlign w:val="bottom"/>
            <w:tcBorders>
              <w:left w:val="single" w:sz="8" w:color="auto"/>
            </w:tcBorders>
          </w:tcPr>
          <w:p>
            <w:pPr>
              <w:spacing w:after="0"/>
              <w:rPr>
                <w:sz w:val="19"/>
                <w:szCs w:val="19"/>
                <w:color w:val="auto"/>
              </w:rPr>
            </w:pPr>
          </w:p>
        </w:tc>
        <w:tc>
          <w:tcPr>
            <w:tcW w:w="3700" w:type="dxa"/>
            <w:vAlign w:val="bottom"/>
          </w:tcPr>
          <w:p>
            <w:pPr>
              <w:jc w:val="center"/>
              <w:ind w:left="1192"/>
              <w:spacing w:after="0"/>
              <w:rPr>
                <w:sz w:val="20"/>
                <w:szCs w:val="20"/>
                <w:color w:val="auto"/>
              </w:rPr>
            </w:pPr>
            <w:r>
              <w:rPr>
                <w:rFonts w:ascii="Times New Roman" w:cs="Times New Roman" w:eastAsia="Times New Roman" w:hAnsi="Times New Roman"/>
                <w:sz w:val="18"/>
                <w:szCs w:val="18"/>
                <w:color w:val="auto"/>
                <w:w w:val="98"/>
              </w:rPr>
              <w:t>Net Fee Due</w:t>
            </w:r>
          </w:p>
        </w:tc>
        <w:tc>
          <w:tcPr>
            <w:tcW w:w="88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$209.42</w:t>
            </w:r>
          </w:p>
        </w:tc>
        <w:tc>
          <w:tcPr>
            <w:tcW w:w="0" w:type="dxa"/>
            <w:vAlign w:val="bottom"/>
          </w:tcPr>
          <w:p>
            <w:pPr>
              <w:spacing w:after="0"/>
              <w:rPr>
                <w:sz w:val="1"/>
                <w:szCs w:val="1"/>
                <w:color w:val="auto"/>
              </w:rPr>
            </w:pPr>
          </w:p>
        </w:tc>
      </w:tr>
      <w:tr>
        <w:trPr>
          <w:trHeight w:val="22"/>
        </w:trPr>
        <w:tc>
          <w:tcPr>
            <w:tcW w:w="740" w:type="dxa"/>
            <w:vAlign w:val="bottom"/>
            <w:tcBorders>
              <w:left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57"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U.S. Securities Act of 1933, as amended (the “Securities Act”), there are also being registered an indeterminable number of additional securities as may be issued to prevent dilution resulting from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(a) 54,536,826 shares of common stock, $0.0001 par value per share (“Common Stock”), of Blaize Holdings, Inc. issued in connection with the Business Combination described in the prospectus forming part of this registration statement, (b) 1,540,300 shares of Common Stock issued in the PIPE Investment described in the prospectus forming part of this registration statement, (c) up to 750,000 shares of Common Stock issued in connection with the Sponsor Note described in the prospectus forming part of this registration statement, (d) up to 28,049,416 shares of Common Stock that are reserved for issuance upon the exercise of options to purchase common stock, (e) up to 3,630,400 shares of common stock reserved for issuance upon the settlement of restricted stock units, (f) the resale of up to 898,250 shares of Common Stock that are issuable upon the exercise of the Private Placement Warrants described in the prospectus forming part of this registration statement, (g) the resale of 94,949 shares of Common Stock issued to certain capital markets advisors as deferred compensation in satisfaction of transaction fees for acting as a financial advisor by certain of the Selling Securityholders and (h) the resale of up to 50,000 shares of Common Stock that are issuable upon the exercise of the warrants issued to certain capital markets advisors at an exercise price of $11.50 per share by a certain selling securityholder named in this prospectus.</w:t>
      </w:r>
    </w:p>
    <w:p>
      <w:pPr>
        <w:spacing w:after="0" w:line="4"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proposed maximum offering price per security and proposed maximum aggregate offering price are based on the average of the high and low prices of the Common Stock on The Nasdaq Stock Market LLC (“Nasdaq”) on January 16, 2025 (such date being within five business days of the date that this registration statement was filed with the U.S. Securities and Exchange Commission).</w:t>
      </w:r>
    </w:p>
    <w:p>
      <w:pPr>
        <w:spacing w:after="0" w:line="1"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proposed maximum offering price per security and proposed maximum aggregate offering price are based on the average of the high and low prices of the Common Stock on The Nasdaq Stock Market LLC (“Nasdaq”) on February 6, 2025 (such date being within five business days of the date that this registration statement was filed with the U.S. Securities and Exchange Commission).</w:t>
      </w:r>
    </w:p>
    <w:p>
      <w:pPr>
        <w:spacing w:after="0" w:line="1" w:lineRule="exact"/>
        <w:rPr>
          <w:rFonts w:ascii="Times New Roman" w:cs="Times New Roman" w:eastAsia="Times New Roman" w:hAnsi="Times New Roman"/>
          <w:sz w:val="18"/>
          <w:szCs w:val="18"/>
          <w:color w:val="auto"/>
        </w:rPr>
      </w:pPr>
    </w:p>
    <w:p>
      <w:pPr>
        <w:ind w:left="424" w:right="220" w:hanging="424"/>
        <w:spacing w:after="0" w:line="260" w:lineRule="auto"/>
        <w:tabs>
          <w:tab w:leader="none" w:pos="4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457(g), the entire registration fee for the Warrants is allocated to the shares of Common Stock underlying the Warrants, and no separate fee is payable for the Warrants.</w:t>
      </w:r>
    </w:p>
    <w:p>
      <w:pPr>
        <w:sectPr>
          <w:pgSz w:w="11900" w:h="16838" w:orient="portrait"/>
          <w:cols w:equalWidth="0" w:num="1">
            <w:col w:w="11024"/>
          </w:cols>
          <w:pgMar w:left="436" w:top="121" w:right="439" w:bottom="1440" w:gutter="0" w:footer="0" w:header="0"/>
        </w:sectPr>
      </w:pPr>
    </w:p>
    <w:bookmarkStart w:id="328" w:name="page329"/>
    <w:bookmarkEnd w:id="328"/>
    <w:p>
      <w:pPr>
        <w:ind w:left="424" w:hanging="424"/>
        <w:spacing w:after="0" w:line="261" w:lineRule="auto"/>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shares of Common Stock that may be issued upon exercise of outstanding Warrants, for an exercise price of $11.50 per share of Common Stock.</w:t>
      </w:r>
    </w:p>
    <w:p>
      <w:pPr>
        <w:ind w:left="424" w:hanging="424"/>
        <w:spacing w:after="0"/>
        <w:tabs>
          <w:tab w:leader="none" w:pos="4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457(g) under the Securities Act, based on the exercise price of the Warrants.</w:t>
      </w:r>
    </w:p>
    <w:sectPr>
      <w:pgSz w:w="11900" w:h="16838" w:orient="portrait"/>
      <w:cols w:equalWidth="0" w:num="1">
        <w:col w:w="10504"/>
      </w:cols>
      <w:pgMar w:left="436" w:top="270"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
      <w:numFmt w:val="bullet"/>
      <w:start w:val="1"/>
    </w:lvl>
  </w:abstractNum>
  <w:abstractNum w:abstractNumId="5">
    <w:nsid w:val="6A3DD3E8"/>
    <w:multiLevelType w:val="hybridMultilevel"/>
    <w:lvl w:ilvl="0">
      <w:lvlJc w:val="left"/>
      <w:lvlText w:val="•"/>
      <w:numFmt w:val="bullet"/>
      <w:start w:val="1"/>
    </w:lvl>
  </w:abstractNum>
  <w:abstractNum w:abstractNumId="6">
    <w:nsid w:val="71C91298"/>
    <w:multiLevelType w:val="hybridMultilevel"/>
    <w:lvl w:ilvl="0">
      <w:lvlJc w:val="left"/>
      <w:lvlText w:val="•"/>
      <w:numFmt w:val="bullet"/>
      <w:start w:val="1"/>
    </w:lvl>
  </w:abstractNum>
  <w:abstractNum w:abstractNumId="7">
    <w:nsid w:val="9DAF632"/>
    <w:multiLevelType w:val="hybridMultilevel"/>
    <w:lvl w:ilvl="0">
      <w:lvlJc w:val="left"/>
      <w:lvlText w:val="•"/>
      <w:numFmt w:val="bullet"/>
      <w:start w:val="1"/>
    </w:lvl>
  </w:abstractNum>
  <w:abstractNum w:abstractNumId="8">
    <w:nsid w:val="53299938"/>
    <w:multiLevelType w:val="hybridMultilevel"/>
    <w:lvl w:ilvl="0">
      <w:lvlJc w:val="left"/>
      <w:lvlText w:val="•"/>
      <w:numFmt w:val="bullet"/>
      <w:start w:val="1"/>
    </w:lvl>
  </w:abstractNum>
  <w:abstractNum w:abstractNumId="9">
    <w:nsid w:val="1FBFE8E0"/>
    <w:multiLevelType w:val="hybridMultilevel"/>
    <w:lvl w:ilvl="0">
      <w:lvlJc w:val="left"/>
      <w:lvlText w:val="•"/>
      <w:numFmt w:val="bullet"/>
      <w:start w:val="1"/>
    </w:lvl>
  </w:abstractNum>
  <w:abstractNum w:abstractNumId="10">
    <w:nsid w:val="5092CA79"/>
    <w:multiLevelType w:val="hybridMultilevel"/>
    <w:lvl w:ilvl="0">
      <w:lvlJc w:val="left"/>
      <w:lvlText w:val="•"/>
      <w:numFmt w:val="bullet"/>
      <w:start w:val="1"/>
    </w:lvl>
  </w:abstractNum>
  <w:abstractNum w:abstractNumId="11">
    <w:nsid w:val="1D545C4D"/>
    <w:multiLevelType w:val="hybridMultilevel"/>
    <w:lvl w:ilvl="0">
      <w:lvlJc w:val="left"/>
      <w:lvlText w:val="•"/>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
      <w:numFmt w:val="bullet"/>
      <w:start w:val="1"/>
    </w:lvl>
  </w:abstractNum>
  <w:abstractNum w:abstractNumId="14">
    <w:nsid w:val="2A155DBC"/>
    <w:multiLevelType w:val="hybridMultilevel"/>
    <w:lvl w:ilvl="0">
      <w:lvlJc w:val="left"/>
      <w:lvlText w:val="•"/>
      <w:numFmt w:val="bullet"/>
      <w:start w:val="1"/>
    </w:lvl>
  </w:abstractNum>
  <w:abstractNum w:abstractNumId="15">
    <w:nsid w:val="1D9F6E5F"/>
    <w:multiLevelType w:val="hybridMultilevel"/>
    <w:lvl w:ilvl="0">
      <w:lvlJc w:val="left"/>
      <w:lvlText w:val="•"/>
      <w:numFmt w:val="bullet"/>
      <w:start w:val="1"/>
    </w:lvl>
  </w:abstractNum>
  <w:abstractNum w:abstractNumId="16">
    <w:nsid w:val="97E1B4E"/>
    <w:multiLevelType w:val="hybridMultilevel"/>
    <w:lvl w:ilvl="0">
      <w:lvlJc w:val="left"/>
      <w:lvlText w:val="•"/>
      <w:numFmt w:val="bullet"/>
      <w:start w:val="1"/>
    </w:lvl>
  </w:abstractNum>
  <w:abstractNum w:abstractNumId="17">
    <w:nsid w:val="51088277"/>
    <w:multiLevelType w:val="hybridMultilevel"/>
    <w:lvl w:ilvl="0">
      <w:lvlJc w:val="left"/>
      <w:lvlText w:val="(%1)"/>
      <w:numFmt w:val="upperLetter"/>
      <w:start w:val="3"/>
    </w:lvl>
  </w:abstractNum>
  <w:abstractNum w:abstractNumId="18">
    <w:nsid w:val="1CA0C5FA"/>
    <w:multiLevelType w:val="hybridMultilevel"/>
    <w:lvl w:ilvl="0">
      <w:lvlJc w:val="left"/>
      <w:lvlText w:val="(%1)"/>
      <w:numFmt w:val="upperLetter"/>
      <w:start w:val="2"/>
    </w:lvl>
  </w:abstractNum>
  <w:abstractNum w:abstractNumId="19">
    <w:nsid w:val="53584BCB"/>
    <w:multiLevelType w:val="hybridMultilevel"/>
    <w:lvl w:ilvl="0">
      <w:lvlJc w:val="left"/>
      <w:lvlText w:val="•"/>
      <w:numFmt w:val="bullet"/>
      <w:start w:val="1"/>
    </w:lvl>
  </w:abstractNum>
  <w:abstractNum w:abstractNumId="20">
    <w:nsid w:val="415E286C"/>
    <w:multiLevelType w:val="hybridMultilevel"/>
    <w:lvl w:ilvl="0">
      <w:lvlJc w:val="left"/>
      <w:lvlText w:val="•"/>
      <w:numFmt w:val="bullet"/>
      <w:start w:val="1"/>
    </w:lvl>
  </w:abstractNum>
  <w:abstractNum w:abstractNumId="21">
    <w:nsid w:val="7C58FD05"/>
    <w:multiLevelType w:val="hybridMultilevel"/>
    <w:lvl w:ilvl="0">
      <w:lvlJc w:val="left"/>
      <w:lvlText w:val="%1."/>
      <w:numFmt w:val="lowerLetter"/>
      <w:start w:val="1"/>
    </w:lvl>
  </w:abstractNum>
  <w:abstractNum w:abstractNumId="22">
    <w:nsid w:val="23D86AAC"/>
    <w:multiLevelType w:val="hybridMultilevel"/>
    <w:lvl w:ilvl="0">
      <w:lvlJc w:val="left"/>
      <w:lvlText w:val="%1."/>
      <w:numFmt w:val="lowerLetter"/>
      <w:start w:val="2"/>
    </w:lvl>
  </w:abstractNum>
  <w:abstractNum w:abstractNumId="23">
    <w:nsid w:val="45E6D486"/>
    <w:multiLevelType w:val="hybridMultilevel"/>
    <w:lvl w:ilvl="0">
      <w:lvlJc w:val="left"/>
      <w:lvlText w:val="%1."/>
      <w:numFmt w:val="lowerRoman"/>
      <w:start w:val="1"/>
    </w:lvl>
  </w:abstractNum>
  <w:abstractNum w:abstractNumId="24">
    <w:nsid w:val="5C10FE21"/>
    <w:multiLevelType w:val="hybridMultilevel"/>
    <w:lvl w:ilvl="0">
      <w:lvlJc w:val="left"/>
      <w:lvlText w:val="%1."/>
      <w:numFmt w:val="lowerRoman"/>
      <w:start w:val="2"/>
    </w:lvl>
  </w:abstractNum>
  <w:abstractNum w:abstractNumId="25">
    <w:nsid w:val="E7FFA2B"/>
    <w:multiLevelType w:val="hybridMultilevel"/>
    <w:lvl w:ilvl="0">
      <w:lvlJc w:val="left"/>
      <w:lvlText w:val="%1."/>
      <w:numFmt w:val="lowerRoman"/>
      <w:start w:val="9"/>
    </w:lvl>
  </w:abstractNum>
  <w:abstractNum w:abstractNumId="26">
    <w:nsid w:val="3C5991AA"/>
    <w:multiLevelType w:val="hybridMultilevel"/>
    <w:lvl w:ilvl="0">
      <w:lvlJc w:val="left"/>
      <w:lvlText w:val="%1."/>
      <w:numFmt w:val="lowerLetter"/>
      <w:start w:val="3"/>
    </w:lvl>
  </w:abstractNum>
  <w:abstractNum w:abstractNumId="27">
    <w:nsid w:val="4BD8591A"/>
    <w:multiLevelType w:val="hybridMultilevel"/>
    <w:lvl w:ilvl="0">
      <w:lvlJc w:val="left"/>
      <w:lvlText w:val="%1."/>
      <w:numFmt w:val="lowerRoman"/>
      <w:start w:val="1"/>
    </w:lvl>
  </w:abstractNum>
  <w:abstractNum w:abstractNumId="28">
    <w:nsid w:val="78DF6A55"/>
    <w:multiLevelType w:val="hybridMultilevel"/>
    <w:lvl w:ilvl="0">
      <w:lvlJc w:val="left"/>
      <w:lvlText w:val="%1."/>
      <w:numFmt w:val="lowerLetter"/>
      <w:start w:val="4"/>
    </w:lvl>
  </w:abstractNum>
  <w:abstractNum w:abstractNumId="29">
    <w:nsid w:val="39B7AAA2"/>
    <w:multiLevelType w:val="hybridMultilevel"/>
    <w:lvl w:ilvl="0">
      <w:lvlJc w:val="left"/>
      <w:lvlText w:val="•"/>
      <w:numFmt w:val="bullet"/>
      <w:start w:val="1"/>
    </w:lvl>
  </w:abstractNum>
  <w:abstractNum w:abstractNumId="30">
    <w:nsid w:val="2B0D8DBE"/>
    <w:multiLevelType w:val="hybridMultilevel"/>
    <w:lvl w:ilvl="0">
      <w:lvlJc w:val="left"/>
      <w:lvlText w:val="%1."/>
      <w:numFmt w:val="lowerLetter"/>
      <w:start w:val="5"/>
    </w:lvl>
  </w:abstractNum>
  <w:abstractNum w:abstractNumId="31">
    <w:nsid w:val="6C80EC70"/>
    <w:multiLevelType w:val="hybridMultilevel"/>
    <w:lvl w:ilvl="0">
      <w:lvlJc w:val="left"/>
      <w:lvlText w:val="(%1)"/>
      <w:numFmt w:val="decimal"/>
      <w:start w:val="1"/>
    </w:lvl>
  </w:abstractNum>
  <w:abstractNum w:abstractNumId="32">
    <w:nsid w:val="379E21B5"/>
    <w:multiLevelType w:val="hybridMultilevel"/>
    <w:lvl w:ilvl="0">
      <w:lvlJc w:val="left"/>
      <w:lvlText w:val="(%1)"/>
      <w:numFmt w:val="decimal"/>
      <w:start w:val="2"/>
    </w:lvl>
  </w:abstractNum>
  <w:abstractNum w:abstractNumId="33">
    <w:nsid w:val="69E373"/>
    <w:multiLevelType w:val="hybridMultilevel"/>
    <w:lvl w:ilvl="0">
      <w:lvlJc w:val="left"/>
      <w:lvlText w:val="•"/>
      <w:numFmt w:val="bullet"/>
      <w:start w:val="1"/>
    </w:lvl>
  </w:abstractNum>
  <w:abstractNum w:abstractNumId="34">
    <w:nsid w:val="2C27173B"/>
    <w:multiLevelType w:val="hybridMultilevel"/>
    <w:lvl w:ilvl="0">
      <w:lvlJc w:val="left"/>
      <w:lvlText w:val="•"/>
      <w:numFmt w:val="bullet"/>
      <w:start w:val="1"/>
    </w:lvl>
  </w:abstractNum>
  <w:abstractNum w:abstractNumId="35">
    <w:nsid w:val="4C9B0904"/>
    <w:multiLevelType w:val="hybridMultilevel"/>
    <w:lvl w:ilvl="0">
      <w:lvlJc w:val="left"/>
      <w:lvlText w:val="•"/>
      <w:numFmt w:val="bullet"/>
      <w:start w:val="1"/>
    </w:lvl>
  </w:abstractNum>
  <w:abstractNum w:abstractNumId="36">
    <w:nsid w:val="6AA7B75C"/>
    <w:multiLevelType w:val="hybridMultilevel"/>
    <w:lvl w:ilvl="0">
      <w:lvlJc w:val="left"/>
      <w:lvlText w:val="(%1)"/>
      <w:numFmt w:val="upperLetter"/>
      <w:start w:val="1"/>
    </w:lvl>
  </w:abstractNum>
  <w:abstractNum w:abstractNumId="37">
    <w:nsid w:val="1DF029D3"/>
    <w:multiLevelType w:val="hybridMultilevel"/>
    <w:lvl w:ilvl="0">
      <w:lvlJc w:val="left"/>
      <w:lvlText w:val="(%1)"/>
      <w:numFmt w:val="upperLetter"/>
      <w:start w:val="1"/>
    </w:lvl>
  </w:abstractNum>
  <w:abstractNum w:abstractNumId="38">
    <w:nsid w:val="5675FF36"/>
    <w:multiLevelType w:val="hybridMultilevel"/>
    <w:lvl w:ilvl="0">
      <w:lvlJc w:val="left"/>
      <w:lvlText w:val="(%1)"/>
      <w:numFmt w:val="lowerRoman"/>
      <w:start w:val="1"/>
    </w:lvl>
  </w:abstractNum>
  <w:abstractNum w:abstractNumId="39">
    <w:nsid w:val="3DD15094"/>
    <w:multiLevelType w:val="hybridMultilevel"/>
    <w:lvl w:ilvl="0">
      <w:lvlJc w:val="left"/>
      <w:lvlText w:val="%1"/>
      <w:numFmt w:val="upperLetter"/>
      <w:start w:val="1"/>
    </w:lvl>
    <w:lvl w:ilvl="1">
      <w:lvlJc w:val="left"/>
      <w:lvlText w:val="(%2)"/>
      <w:numFmt w:val="lowerRoman"/>
      <w:start w:val="3"/>
    </w:lvl>
  </w:abstractNum>
  <w:abstractNum w:abstractNumId="40">
    <w:nsid w:val="3DB012B3"/>
    <w:multiLevelType w:val="hybridMultilevel"/>
    <w:lvl w:ilvl="0">
      <w:lvlJc w:val="left"/>
      <w:lvlText w:val="(%1)"/>
      <w:numFmt w:val="upperLetter"/>
      <w:start w:val="2"/>
    </w:lvl>
    <w:lvl w:ilvl="1">
      <w:lvlJc w:val="left"/>
      <w:lvlText w:val="%2"/>
      <w:numFmt w:val="lowerRoman"/>
      <w:start w:val="1"/>
    </w:lvl>
  </w:abstractNum>
  <w:abstractNum w:abstractNumId="41">
    <w:nsid w:val="2708C9AF"/>
    <w:multiLevelType w:val="hybridMultilevel"/>
    <w:lvl w:ilvl="0">
      <w:lvlJc w:val="left"/>
      <w:lvlText w:val="(%1)"/>
      <w:numFmt w:val="upperLetter"/>
      <w:start w:val="6"/>
    </w:lvl>
  </w:abstractNum>
  <w:abstractNum w:abstractNumId="42">
    <w:nsid w:val="5B25ACE2"/>
    <w:multiLevelType w:val="hybridMultilevel"/>
    <w:lvl w:ilvl="0">
      <w:lvlJc w:val="left"/>
      <w:lvlText w:val="(%1)"/>
      <w:numFmt w:val="upperLetter"/>
      <w:start w:val="15"/>
    </w:lvl>
  </w:abstractNum>
  <w:abstractNum w:abstractNumId="43">
    <w:nsid w:val="175DFCF0"/>
    <w:multiLevelType w:val="hybridMultilevel"/>
    <w:lvl w:ilvl="0">
      <w:lvlJc w:val="left"/>
      <w:lvlText w:val="(%1)"/>
      <w:numFmt w:val="lowerRoman"/>
      <w:start w:val="1"/>
    </w:lvl>
  </w:abstractNum>
  <w:abstractNum w:abstractNumId="44">
    <w:nsid w:val="4F97E3E4"/>
    <w:multiLevelType w:val="hybridMultilevel"/>
    <w:lvl w:ilvl="0">
      <w:lvlJc w:val="left"/>
      <w:lvlText w:val="%1"/>
      <w:numFmt w:val="upperLetter"/>
      <w:start w:val="1"/>
    </w:lvl>
    <w:lvl w:ilvl="1">
      <w:lvlJc w:val="left"/>
      <w:lvlText w:val="(%2)"/>
      <w:numFmt w:val="lowerRoman"/>
      <w:start w:val="7"/>
    </w:lvl>
  </w:abstractNum>
  <w:abstractNum w:abstractNumId="45">
    <w:nsid w:val="53B0A9E"/>
    <w:multiLevelType w:val="hybridMultilevel"/>
    <w:lvl w:ilvl="0">
      <w:lvlJc w:val="left"/>
      <w:lvlText w:val="(%1)"/>
      <w:numFmt w:val="upperLetter"/>
      <w:start w:val="16"/>
    </w:lvl>
    <w:lvl w:ilvl="1">
      <w:lvlJc w:val="left"/>
      <w:lvlText w:val="%2"/>
      <w:numFmt w:val="lowerRoman"/>
      <w:start w:val="1"/>
    </w:lvl>
  </w:abstractNum>
  <w:abstractNum w:abstractNumId="46">
    <w:nsid w:val="34FD6B4F"/>
    <w:multiLevelType w:val="hybridMultilevel"/>
    <w:lvl w:ilvl="0">
      <w:lvlJc w:val="left"/>
      <w:lvlText w:val="(%1)"/>
      <w:numFmt w:val="lowerRoman"/>
      <w:start w:val="1"/>
    </w:lvl>
  </w:abstractNum>
  <w:abstractNum w:abstractNumId="47">
    <w:nsid w:val="5915FF32"/>
    <w:multiLevelType w:val="hybridMultilevel"/>
    <w:lvl w:ilvl="0">
      <w:lvlJc w:val="left"/>
      <w:lvlText w:val="%1"/>
      <w:numFmt w:val="upperLetter"/>
      <w:start w:val="1"/>
    </w:lvl>
    <w:lvl w:ilvl="1">
      <w:lvlJc w:val="left"/>
      <w:lvlText w:val="(%2)"/>
      <w:numFmt w:val="lowerRoman"/>
      <w:start w:val="3"/>
    </w:lvl>
  </w:abstractNum>
  <w:abstractNum w:abstractNumId="48">
    <w:nsid w:val="56438D15"/>
    <w:multiLevelType w:val="hybridMultilevel"/>
    <w:lvl w:ilvl="0">
      <w:lvlJc w:val="left"/>
      <w:lvlText w:val="(%1)"/>
      <w:numFmt w:val="upperLetter"/>
      <w:start w:val="17"/>
    </w:lvl>
    <w:lvl w:ilvl="1">
      <w:lvlJc w:val="left"/>
      <w:lvlText w:val="%2"/>
      <w:numFmt w:val="lowerRoman"/>
      <w:start w:val="1"/>
    </w:lvl>
  </w:abstractNum>
  <w:abstractNum w:abstractNumId="49">
    <w:nsid w:val="519E3149"/>
    <w:multiLevelType w:val="hybridMultilevel"/>
    <w:lvl w:ilvl="0">
      <w:lvlJc w:val="left"/>
      <w:lvlText w:val="(%1)"/>
      <w:numFmt w:val="upperLetter"/>
      <w:start w:val="1"/>
    </w:lvl>
  </w:abstractNum>
  <w:abstractNum w:abstractNumId="50">
    <w:nsid w:val="2C6E4AFD"/>
    <w:multiLevelType w:val="hybridMultilevel"/>
    <w:lvl w:ilvl="0">
      <w:lvlJc w:val="left"/>
      <w:lvlText w:val="%1"/>
      <w:numFmt w:val="upperLetter"/>
      <w:start w:val="1"/>
    </w:lvl>
    <w:lvl w:ilvl="1">
      <w:lvlJc w:val="left"/>
      <w:lvlText w:val="%2."/>
      <w:numFmt w:val="lowerRoman"/>
      <w:start w:val="1"/>
    </w:lvl>
  </w:abstractNum>
  <w:abstractNum w:abstractNumId="51">
    <w:nsid w:val="17A1B582"/>
    <w:multiLevelType w:val="hybridMultilevel"/>
    <w:lvl w:ilvl="0">
      <w:lvlJc w:val="left"/>
      <w:lvlText w:val="(%1)"/>
      <w:numFmt w:val="upperLetter"/>
      <w:start w:val="2"/>
    </w:lvl>
    <w:lvl w:ilvl="1">
      <w:lvlJc w:val="left"/>
      <w:lvlText w:val="%2"/>
      <w:numFmt w:val="lowerRoman"/>
      <w:start w:val="1"/>
    </w:lvl>
  </w:abstractNum>
  <w:abstractNum w:abstractNumId="52">
    <w:nsid w:val="4DF72E4E"/>
    <w:multiLevelType w:val="hybridMultilevel"/>
    <w:lvl w:ilvl="0">
      <w:lvlJc w:val="left"/>
      <w:lvlText w:val="(%1)"/>
      <w:numFmt w:val="upperLetter"/>
      <w:start w:val="4"/>
    </w:lvl>
  </w:abstractNum>
  <w:abstractNum w:abstractNumId="53">
    <w:nsid w:val="5046B5A9"/>
    <w:multiLevelType w:val="hybridMultilevel"/>
    <w:lvl w:ilvl="0">
      <w:lvlJc w:val="left"/>
      <w:lvlText w:val="%1"/>
      <w:numFmt w:val="upperLetter"/>
      <w:start w:val="1"/>
    </w:lvl>
    <w:lvl w:ilvl="1">
      <w:lvlJc w:val="left"/>
      <w:lvlText w:val="%2."/>
      <w:numFmt w:val="lowerRoman"/>
      <w:start w:val="1"/>
    </w:lvl>
  </w:abstractNum>
  <w:abstractNum w:abstractNumId="54">
    <w:nsid w:val="5D888A08"/>
    <w:multiLevelType w:val="hybridMultilevel"/>
    <w:lvl w:ilvl="0">
      <w:lvlJc w:val="left"/>
      <w:lvlText w:val="(%1)"/>
      <w:numFmt w:val="upperLetter"/>
      <w:start w:val="5"/>
    </w:lvl>
    <w:lvl w:ilvl="1">
      <w:lvlJc w:val="left"/>
      <w:lvlText w:val="%2"/>
      <w:numFmt w:val="lowerRoman"/>
      <w:start w:val="1"/>
    </w:lvl>
  </w:abstractNum>
  <w:abstractNum w:abstractNumId="55">
    <w:nsid w:val="2A082C70"/>
    <w:multiLevelType w:val="hybridMultilevel"/>
    <w:lvl w:ilvl="0">
      <w:lvlJc w:val="left"/>
      <w:lvlText w:val="(%1)"/>
      <w:numFmt w:val="upperLetter"/>
      <w:start w:val="1"/>
    </w:lvl>
  </w:abstractNum>
  <w:abstractNum w:abstractNumId="56">
    <w:nsid w:val="5EC6AFD4"/>
    <w:multiLevelType w:val="hybridMultilevel"/>
    <w:lvl w:ilvl="0">
      <w:lvlJc w:val="left"/>
      <w:lvlText w:val="%1"/>
      <w:numFmt w:val="upperLetter"/>
      <w:start w:val="1"/>
    </w:lvl>
    <w:lvl w:ilvl="1">
      <w:lvlJc w:val="left"/>
      <w:lvlText w:val="(%2)"/>
      <w:numFmt w:val="lowerRoman"/>
      <w:start w:val="1"/>
    </w:lvl>
  </w:abstractNum>
  <w:abstractNum w:abstractNumId="57">
    <w:nsid w:val="19E21BB2"/>
    <w:multiLevelType w:val="hybridMultilevel"/>
    <w:lvl w:ilvl="0">
      <w:lvlJc w:val="left"/>
      <w:lvlText w:val="(%1)"/>
      <w:numFmt w:val="upperLetter"/>
      <w:start w:val="2"/>
    </w:lvl>
    <w:lvl w:ilvl="1">
      <w:lvlJc w:val="left"/>
      <w:lvlText w:val="%2"/>
      <w:numFmt w:val="lowerRoman"/>
      <w:start w:val="1"/>
    </w:lvl>
  </w:abstractNum>
  <w:abstractNum w:abstractNumId="58">
    <w:nsid w:val="75E0858A"/>
    <w:multiLevelType w:val="hybridMultilevel"/>
    <w:lvl w:ilvl="0">
      <w:lvlJc w:val="left"/>
      <w:lvlText w:val="(%1)"/>
      <w:numFmt w:val="upperLetter"/>
      <w:start w:val="3"/>
    </w:lvl>
  </w:abstractNum>
  <w:abstractNum w:abstractNumId="59">
    <w:nsid w:val="57A61A29"/>
    <w:multiLevelType w:val="hybridMultilevel"/>
    <w:lvl w:ilvl="0">
      <w:lvlJc w:val="left"/>
      <w:lvlText w:val="•"/>
      <w:numFmt w:val="bullet"/>
      <w:start w:val="1"/>
    </w:lvl>
  </w:abstractNum>
  <w:abstractNum w:abstractNumId="60">
    <w:nsid w:val="5399C654"/>
    <w:multiLevelType w:val="hybridMultilevel"/>
    <w:lvl w:ilvl="0">
      <w:lvlJc w:val="left"/>
      <w:lvlText w:val="%1."/>
      <w:numFmt w:val="decimal"/>
      <w:start w:val="1"/>
    </w:lvl>
  </w:abstractNum>
  <w:abstractNum w:abstractNumId="61">
    <w:nsid w:val="20EE1348"/>
    <w:multiLevelType w:val="hybridMultilevel"/>
    <w:lvl w:ilvl="0">
      <w:lvlJc w:val="left"/>
      <w:lvlText w:val="%1."/>
      <w:numFmt w:val="decimal"/>
      <w:start w:val="2"/>
    </w:lvl>
  </w:abstractNum>
  <w:abstractNum w:abstractNumId="62">
    <w:nsid w:val="4427069A"/>
    <w:multiLevelType w:val="hybridMultilevel"/>
    <w:lvl w:ilvl="0">
      <w:lvlJc w:val="left"/>
      <w:lvlText w:val="%1."/>
      <w:numFmt w:val="decimal"/>
      <w:start w:val="3"/>
    </w:lvl>
  </w:abstractNum>
  <w:abstractNum w:abstractNumId="63">
    <w:nsid w:val="B37E80A"/>
    <w:multiLevelType w:val="hybridMultilevel"/>
    <w:lvl w:ilvl="0">
      <w:lvlJc w:val="left"/>
      <w:lvlText w:val="(%1)"/>
      <w:numFmt w:val="decimal"/>
      <w:start w:val="1"/>
    </w:lvl>
  </w:abstractNum>
  <w:abstractNum w:abstractNumId="64">
    <w:nsid w:val="2157F6BC"/>
    <w:multiLevelType w:val="hybridMultilevel"/>
    <w:lvl w:ilvl="0">
      <w:lvlJc w:val="left"/>
      <w:lvlText w:val="•"/>
      <w:numFmt w:val="bullet"/>
      <w:start w:val="1"/>
    </w:lvl>
  </w:abstractNum>
  <w:abstractNum w:abstractNumId="65">
    <w:nsid w:val="704E1DD5"/>
    <w:multiLevelType w:val="hybridMultilevel"/>
    <w:lvl w:ilvl="0">
      <w:lvlJc w:val="left"/>
      <w:lvlText w:val="(%1)"/>
      <w:numFmt w:val="lowerRoman"/>
      <w:start w:val="1"/>
    </w:lvl>
  </w:abstractNum>
  <w:abstractNum w:abstractNumId="66">
    <w:nsid w:val="57D2F10E"/>
    <w:multiLevelType w:val="hybridMultilevel"/>
    <w:lvl w:ilvl="0">
      <w:lvlJc w:val="left"/>
      <w:lvlText w:val="•"/>
      <w:numFmt w:val="bullet"/>
      <w:start w:val="1"/>
    </w:lvl>
  </w:abstractNum>
  <w:abstractNum w:abstractNumId="67">
    <w:nsid w:val="BFFAE18"/>
    <w:multiLevelType w:val="hybridMultilevel"/>
    <w:lvl w:ilvl="0">
      <w:lvlJc w:val="left"/>
      <w:lvlText w:val="•"/>
      <w:numFmt w:val="bullet"/>
      <w:start w:val="1"/>
    </w:lvl>
  </w:abstractNum>
  <w:abstractNum w:abstractNumId="68">
    <w:nsid w:val="E3E47A8"/>
    <w:multiLevelType w:val="hybridMultilevel"/>
    <w:lvl w:ilvl="0">
      <w:lvlJc w:val="left"/>
      <w:lvlText w:val="•"/>
      <w:numFmt w:val="bullet"/>
      <w:start w:val="1"/>
    </w:lvl>
    <w:lvl w:ilvl="1">
      <w:lvlJc w:val="left"/>
      <w:lvlText w:val="○"/>
      <w:numFmt w:val="bullet"/>
      <w:start w:val="1"/>
    </w:lvl>
  </w:abstractNum>
  <w:abstractNum w:abstractNumId="69">
    <w:nsid w:val="2E48F044"/>
    <w:multiLevelType w:val="hybridMultilevel"/>
    <w:lvl w:ilvl="0">
      <w:lvlJc w:val="left"/>
      <w:lvlText w:val="•"/>
      <w:numFmt w:val="bullet"/>
      <w:start w:val="1"/>
    </w:lvl>
  </w:abstractNum>
  <w:abstractNum w:abstractNumId="70">
    <w:nsid w:val="49D0FEAC"/>
    <w:multiLevelType w:val="hybridMultilevel"/>
    <w:lvl w:ilvl="0">
      <w:lvlJc w:val="left"/>
      <w:lvlText w:val="•"/>
      <w:numFmt w:val="bullet"/>
      <w:start w:val="1"/>
    </w:lvl>
  </w:abstractNum>
  <w:abstractNum w:abstractNumId="71">
    <w:nsid w:val="4BEE5A5B"/>
    <w:multiLevelType w:val="hybridMultilevel"/>
    <w:lvl w:ilvl="0">
      <w:lvlJc w:val="left"/>
      <w:lvlText w:val="(%1)"/>
      <w:numFmt w:val="decimal"/>
      <w:start w:val="10"/>
    </w:lvl>
  </w:abstractNum>
  <w:abstractNum w:abstractNumId="72">
    <w:nsid w:val="5551B9F3"/>
    <w:multiLevelType w:val="hybridMultilevel"/>
    <w:lvl w:ilvl="0">
      <w:lvlJc w:val="left"/>
      <w:lvlText w:val="2"/>
      <w:numFmt w:val="bullet"/>
      <w:start w:val="1"/>
    </w:lvl>
  </w:abstractNum>
  <w:abstractNum w:abstractNumId="73">
    <w:nsid w:val="24F6AB8E"/>
    <w:multiLevelType w:val="hybridMultilevel"/>
    <w:lvl w:ilvl="0">
      <w:lvlJc w:val="left"/>
      <w:lvlText w:val="3"/>
      <w:numFmt w:val="bullet"/>
      <w:start w:val="1"/>
    </w:lvl>
  </w:abstractNum>
  <w:abstractNum w:abstractNumId="74">
    <w:nsid w:val="634C574C"/>
    <w:multiLevelType w:val="hybridMultilevel"/>
    <w:lvl w:ilvl="0">
      <w:lvlJc w:val="left"/>
      <w:lvlText w:val="4"/>
      <w:numFmt w:val="bullet"/>
      <w:start w:val="1"/>
    </w:lvl>
  </w:abstractNum>
  <w:abstractNum w:abstractNumId="75">
    <w:nsid w:val="24E99DD7"/>
    <w:multiLevelType w:val="hybridMultilevel"/>
    <w:lvl w:ilvl="0">
      <w:lvlJc w:val="left"/>
      <w:lvlText w:val="5"/>
      <w:numFmt w:val="bullet"/>
      <w:start w:val="1"/>
    </w:lvl>
  </w:abstractNum>
  <w:abstractNum w:abstractNumId="76">
    <w:nsid w:val="2A31B62D"/>
    <w:multiLevelType w:val="hybridMultilevel"/>
    <w:lvl w:ilvl="0">
      <w:lvlJc w:val="left"/>
      <w:lvlText w:val="6"/>
      <w:numFmt w:val="bullet"/>
      <w:start w:val="1"/>
    </w:lvl>
  </w:abstractNum>
  <w:abstractNum w:abstractNumId="77">
    <w:nsid w:val="1849C29B"/>
    <w:multiLevelType w:val="hybridMultilevel"/>
    <w:lvl w:ilvl="0">
      <w:lvlJc w:val="left"/>
      <w:lvlText w:val="•"/>
      <w:numFmt w:val="bullet"/>
      <w:start w:val="1"/>
    </w:lvl>
  </w:abstractNum>
  <w:abstractNum w:abstractNumId="78">
    <w:nsid w:val="7DFF9D09"/>
    <w:multiLevelType w:val="hybridMultilevel"/>
    <w:lvl w:ilvl="0">
      <w:lvlJc w:val="left"/>
      <w:lvlText w:val="•"/>
      <w:numFmt w:val="bullet"/>
      <w:start w:val="1"/>
    </w:lvl>
  </w:abstractNum>
  <w:abstractNum w:abstractNumId="79">
    <w:nsid w:val="754342"/>
    <w:multiLevelType w:val="hybridMultilevel"/>
    <w:lvl w:ilvl="0">
      <w:lvlJc w:val="left"/>
      <w:lvlText w:val="•"/>
      <w:numFmt w:val="bullet"/>
      <w:start w:val="1"/>
    </w:lvl>
  </w:abstractNum>
  <w:abstractNum w:abstractNumId="80">
    <w:nsid w:val="69E7F3E5"/>
    <w:multiLevelType w:val="hybridMultilevel"/>
    <w:lvl w:ilvl="0">
      <w:lvlJc w:val="left"/>
      <w:lvlText w:val="•"/>
      <w:numFmt w:val="bullet"/>
      <w:start w:val="1"/>
    </w:lvl>
  </w:abstractNum>
  <w:abstractNum w:abstractNumId="81">
    <w:nsid w:val="2A6DE806"/>
    <w:multiLevelType w:val="hybridMultilevel"/>
    <w:lvl w:ilvl="0">
      <w:lvlJc w:val="left"/>
      <w:lvlText w:val="%1."/>
      <w:numFmt w:val="decimal"/>
      <w:start w:val="1"/>
    </w:lvl>
  </w:abstractNum>
  <w:abstractNum w:abstractNumId="82">
    <w:nsid w:val="1816F8C4"/>
    <w:multiLevelType w:val="hybridMultilevel"/>
    <w:lvl w:ilvl="0">
      <w:lvlJc w:val="left"/>
      <w:lvlText w:val="%1."/>
      <w:numFmt w:val="decimal"/>
      <w:start w:val="4"/>
    </w:lvl>
  </w:abstractNum>
  <w:abstractNum w:abstractNumId="83">
    <w:nsid w:val="37DF2233"/>
    <w:multiLevelType w:val="hybridMultilevel"/>
    <w:lvl w:ilvl="0">
      <w:lvlJc w:val="left"/>
      <w:lvlText w:val="•"/>
      <w:numFmt w:val="bullet"/>
      <w:start w:val="1"/>
    </w:lvl>
  </w:abstractNum>
  <w:abstractNum w:abstractNumId="84">
    <w:nsid w:val="7AB49DAF"/>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85">
    <w:nsid w:val="759F82CD"/>
    <w:multiLevelType w:val="hybridMultilevel"/>
    <w:lvl w:ilvl="0">
      <w:lvlJc w:val="left"/>
      <w:lvlText w:val="%1."/>
      <w:numFmt w:val="decimal"/>
      <w:start w:val="2"/>
    </w:lvl>
  </w:abstractNum>
  <w:abstractNum w:abstractNumId="86">
    <w:nsid w:val="61E74EA3"/>
    <w:multiLevelType w:val="hybridMultilevel"/>
    <w:lvl w:ilvl="0">
      <w:lvlJc w:val="left"/>
      <w:lvlText w:val="•"/>
      <w:numFmt w:val="bullet"/>
      <w:start w:val="1"/>
    </w:lvl>
    <w:lvl w:ilvl="1">
      <w:lvlJc w:val="left"/>
      <w:lvlText w:val="%2."/>
      <w:numFmt w:val="decimal"/>
      <w:start w:val="1"/>
    </w:lvl>
  </w:abstractNum>
  <w:abstractNum w:abstractNumId="87">
    <w:nsid w:val="597B4D84"/>
    <w:multiLevelType w:val="hybridMultilevel"/>
    <w:lvl w:ilvl="0">
      <w:lvlJc w:val="left"/>
      <w:lvlText w:val="•"/>
      <w:numFmt w:val="bullet"/>
      <w:start w:val="1"/>
    </w:lvl>
  </w:abstractNum>
  <w:abstractNum w:abstractNumId="88">
    <w:nsid w:val="F819E7F"/>
    <w:multiLevelType w:val="hybridMultilevel"/>
    <w:lvl w:ilvl="0">
      <w:lvlJc w:val="left"/>
      <w:lvlText w:val="•"/>
      <w:numFmt w:val="bullet"/>
      <w:start w:val="1"/>
    </w:lvl>
  </w:abstractNum>
  <w:abstractNum w:abstractNumId="89">
    <w:nsid w:val="57C7D42D"/>
    <w:multiLevelType w:val="hybridMultilevel"/>
    <w:lvl w:ilvl="0">
      <w:lvlJc w:val="left"/>
      <w:lvlText w:val="•"/>
      <w:numFmt w:val="bullet"/>
      <w:start w:val="1"/>
    </w:lvl>
  </w:abstractNum>
  <w:abstractNum w:abstractNumId="90">
    <w:nsid w:val="312167AD"/>
    <w:multiLevelType w:val="hybridMultilevel"/>
    <w:lvl w:ilvl="0">
      <w:lvlJc w:val="left"/>
      <w:lvlText w:val="•"/>
      <w:numFmt w:val="bullet"/>
      <w:start w:val="1"/>
    </w:lvl>
  </w:abstractNum>
  <w:abstractNum w:abstractNumId="91">
    <w:nsid w:val="631B64D4"/>
    <w:multiLevelType w:val="hybridMultilevel"/>
    <w:lvl w:ilvl="0">
      <w:lvlJc w:val="left"/>
      <w:lvlText w:val="(%1)"/>
      <w:numFmt w:val="lowerRoman"/>
      <w:start w:val="3"/>
    </w:lvl>
  </w:abstractNum>
  <w:abstractNum w:abstractNumId="92">
    <w:nsid w:val="78B5E776"/>
    <w:multiLevelType w:val="hybridMultilevel"/>
    <w:lvl w:ilvl="0">
      <w:lvlJc w:val="left"/>
      <w:lvlText w:val="•"/>
      <w:numFmt w:val="bullet"/>
      <w:start w:val="1"/>
    </w:lvl>
  </w:abstractNum>
  <w:abstractNum w:abstractNumId="93">
    <w:nsid w:val="75486E47"/>
    <w:multiLevelType w:val="hybridMultilevel"/>
    <w:lvl w:ilvl="0">
      <w:lvlJc w:val="left"/>
      <w:lvlText w:val="•"/>
      <w:numFmt w:val="bullet"/>
      <w:start w:val="1"/>
    </w:lvl>
  </w:abstractNum>
  <w:abstractNum w:abstractNumId="94">
    <w:nsid w:val="6E534CDE"/>
    <w:multiLevelType w:val="hybridMultilevel"/>
    <w:lvl w:ilvl="0">
      <w:lvlJc w:val="left"/>
      <w:lvlText w:val="•"/>
      <w:numFmt w:val="bullet"/>
      <w:start w:val="1"/>
    </w:lvl>
  </w:abstractNum>
  <w:abstractNum w:abstractNumId="95">
    <w:nsid w:val="1A0DDE32"/>
    <w:multiLevelType w:val="hybridMultilevel"/>
    <w:lvl w:ilvl="0">
      <w:lvlJc w:val="left"/>
      <w:lvlText w:val="•"/>
      <w:numFmt w:val="bullet"/>
      <w:start w:val="1"/>
    </w:lvl>
  </w:abstractNum>
  <w:abstractNum w:abstractNumId="96">
    <w:nsid w:val="65968C1C"/>
    <w:multiLevelType w:val="hybridMultilevel"/>
    <w:lvl w:ilvl="0">
      <w:lvlJc w:val="left"/>
      <w:lvlText w:val="•"/>
      <w:numFmt w:val="bullet"/>
      <w:start w:val="1"/>
    </w:lvl>
  </w:abstractNum>
  <w:abstractNum w:abstractNumId="97">
    <w:nsid w:val="46263DEC"/>
    <w:multiLevelType w:val="hybridMultilevel"/>
    <w:lvl w:ilvl="0">
      <w:lvlJc w:val="left"/>
      <w:lvlText w:val="•"/>
      <w:numFmt w:val="bullet"/>
      <w:start w:val="1"/>
    </w:lvl>
  </w:abstractNum>
  <w:abstractNum w:abstractNumId="98">
    <w:nsid w:val="260D8C4A"/>
    <w:multiLevelType w:val="hybridMultilevel"/>
    <w:lvl w:ilvl="0">
      <w:lvlJc w:val="left"/>
      <w:lvlText w:val="•"/>
      <w:numFmt w:val="bullet"/>
      <w:start w:val="1"/>
    </w:lvl>
  </w:abstractNum>
  <w:abstractNum w:abstractNumId="99">
    <w:nsid w:val="73D4D3C4"/>
    <w:multiLevelType w:val="hybridMultilevel"/>
    <w:lvl w:ilvl="0">
      <w:lvlJc w:val="left"/>
      <w:lvlText w:val="•"/>
      <w:numFmt w:val="bullet"/>
      <w:start w:val="1"/>
    </w:lvl>
  </w:abstractNum>
  <w:abstractNum w:abstractNumId="100">
    <w:nsid w:val="746F2E30"/>
    <w:multiLevelType w:val="hybridMultilevel"/>
    <w:lvl w:ilvl="0">
      <w:lvlJc w:val="left"/>
      <w:lvlText w:val="(%1)"/>
      <w:numFmt w:val="decimal"/>
      <w:start w:val="1"/>
    </w:lvl>
  </w:abstractNum>
  <w:abstractNum w:abstractNumId="101">
    <w:nsid w:val="6FDE8AF6"/>
    <w:multiLevelType w:val="hybridMultilevel"/>
    <w:lvl w:ilvl="0">
      <w:lvlJc w:val="left"/>
      <w:lvlText w:val="•"/>
      <w:numFmt w:val="bullet"/>
      <w:start w:val="1"/>
    </w:lvl>
  </w:abstractNum>
  <w:abstractNum w:abstractNumId="102">
    <w:nsid w:val="3FC32E20"/>
    <w:multiLevelType w:val="hybridMultilevel"/>
    <w:lvl w:ilvl="0">
      <w:lvlJc w:val="left"/>
      <w:lvlText w:val="(%1)"/>
      <w:numFmt w:val="decimal"/>
      <w:start w:val="1"/>
    </w:lvl>
  </w:abstractNum>
  <w:abstractNum w:abstractNumId="103">
    <w:nsid w:val="49C0E823"/>
    <w:multiLevelType w:val="hybridMultilevel"/>
    <w:lvl w:ilvl="0">
      <w:lvlJc w:val="left"/>
      <w:lvlText w:val="(%1)"/>
      <w:numFmt w:val="decimal"/>
      <w:start w:val="1"/>
    </w:lvl>
  </w:abstractNum>
  <w:abstractNum w:abstractNumId="104">
    <w:nsid w:val="14D53685"/>
    <w:multiLevelType w:val="hybridMultilevel"/>
    <w:lvl w:ilvl="0">
      <w:lvlJc w:val="left"/>
      <w:lvlText w:val="•"/>
      <w:numFmt w:val="bullet"/>
      <w:start w:val="1"/>
    </w:lvl>
    <w:lvl w:ilvl="1">
      <w:lvlJc w:val="left"/>
      <w:lvlText w:val="•"/>
      <w:numFmt w:val="bullet"/>
      <w:start w:val="1"/>
    </w:lvl>
  </w:abstractNum>
  <w:abstractNum w:abstractNumId="105">
    <w:nsid w:val="230F856C"/>
    <w:multiLevelType w:val="hybridMultilevel"/>
    <w:lvl w:ilvl="0">
      <w:lvlJc w:val="left"/>
      <w:lvlText w:val="•"/>
      <w:numFmt w:val="bullet"/>
      <w:start w:val="1"/>
    </w:lvl>
    <w:lvl w:ilvl="1">
      <w:lvlJc w:val="left"/>
      <w:lvlText w:val="•"/>
      <w:numFmt w:val="bullet"/>
      <w:start w:val="1"/>
    </w:lvl>
  </w:abstractNum>
  <w:abstractNum w:abstractNumId="106">
    <w:nsid w:val="6EAA85FB"/>
    <w:multiLevelType w:val="hybridMultilevel"/>
    <w:lvl w:ilvl="0">
      <w:lvlJc w:val="left"/>
      <w:lvlText w:val="(%1)"/>
      <w:numFmt w:val="lowerRoman"/>
      <w:start w:val="1"/>
    </w:lvl>
  </w:abstractNum>
  <w:abstractNum w:abstractNumId="107">
    <w:nsid w:val="3F06ECB2"/>
    <w:multiLevelType w:val="hybridMultilevel"/>
    <w:lvl w:ilvl="0">
      <w:lvlJc w:val="left"/>
      <w:lvlText w:val="•"/>
      <w:numFmt w:val="bullet"/>
      <w:start w:val="1"/>
    </w:lvl>
  </w:abstractNum>
  <w:abstractNum w:abstractNumId="108">
    <w:nsid w:val="3B594807"/>
    <w:multiLevelType w:val="hybridMultilevel"/>
    <w:lvl w:ilvl="0">
      <w:lvlJc w:val="left"/>
      <w:lvlText w:val="(%1)"/>
      <w:numFmt w:val="lowerRoman"/>
      <w:start w:val="8"/>
    </w:lvl>
  </w:abstractNum>
  <w:abstractNum w:abstractNumId="109">
    <w:nsid w:val="6CAA2304"/>
    <w:multiLevelType w:val="hybridMultilevel"/>
    <w:lvl w:ilvl="0">
      <w:lvlJc w:val="left"/>
      <w:lvlText w:val="(%1)"/>
      <w:numFmt w:val="lowerRoman"/>
      <w:start w:val="2"/>
    </w:lvl>
  </w:abstractNum>
  <w:abstractNum w:abstractNumId="110">
    <w:nsid w:val="3F7C2FF4"/>
    <w:multiLevelType w:val="hybridMultilevel"/>
    <w:lvl w:ilvl="0">
      <w:lvlJc w:val="left"/>
      <w:lvlText w:val="(%1)"/>
      <w:numFmt w:val="lowerRoman"/>
      <w:start w:val="2"/>
    </w:lvl>
  </w:abstractNum>
  <w:abstractNum w:abstractNumId="111">
    <w:nsid w:val="25413BEC"/>
    <w:multiLevelType w:val="hybridMultilevel"/>
    <w:lvl w:ilvl="0">
      <w:lvlJc w:val="left"/>
      <w:lvlText w:val="(%1)"/>
      <w:numFmt w:val="lowerRoman"/>
      <w:start w:val="3"/>
    </w:lvl>
  </w:abstractNum>
  <w:abstractNum w:abstractNumId="112">
    <w:nsid w:val="17180B0B"/>
    <w:multiLevelType w:val="hybridMultilevel"/>
    <w:lvl w:ilvl="0">
      <w:lvlJc w:val="left"/>
      <w:lvlText w:val="(%1)"/>
      <w:numFmt w:val="lowerRoman"/>
      <w:start w:val="1"/>
    </w:lvl>
  </w:abstractNum>
  <w:abstractNum w:abstractNumId="113">
    <w:nsid w:val="579328B9"/>
    <w:multiLevelType w:val="hybridMultilevel"/>
    <w:lvl w:ilvl="0">
      <w:lvlJc w:val="left"/>
      <w:lvlText w:val="(%1)"/>
      <w:numFmt w:val="lowerRoman"/>
      <w:start w:val="1"/>
    </w:lvl>
  </w:abstractNum>
  <w:abstractNum w:abstractNumId="114">
    <w:nsid w:val="5D205E20"/>
    <w:multiLevelType w:val="hybridMultilevel"/>
    <w:lvl w:ilvl="0">
      <w:lvlJc w:val="left"/>
      <w:lvlText w:val="(%1)"/>
      <w:numFmt w:val="lowerRoman"/>
      <w:start w:val="4"/>
    </w:lvl>
  </w:abstractNum>
  <w:abstractNum w:abstractNumId="115">
    <w:nsid w:val="11CCA8BA"/>
    <w:multiLevelType w:val="hybridMultilevel"/>
    <w:lvl w:ilvl="0">
      <w:lvlJc w:val="left"/>
      <w:lvlText w:val="(%1)"/>
      <w:numFmt w:val="lowerRoman"/>
      <w:start w:val="1"/>
    </w:lvl>
  </w:abstractNum>
  <w:abstractNum w:abstractNumId="116">
    <w:nsid w:val="4D32AB86"/>
    <w:multiLevelType w:val="hybridMultilevel"/>
    <w:lvl w:ilvl="0">
      <w:lvlJc w:val="left"/>
      <w:lvlText w:val="•"/>
      <w:numFmt w:val="bullet"/>
      <w:start w:val="1"/>
    </w:lvl>
  </w:abstractNum>
  <w:abstractNum w:abstractNumId="117">
    <w:nsid w:val="3F07ACC3"/>
    <w:multiLevelType w:val="hybridMultilevel"/>
    <w:lvl w:ilvl="0">
      <w:lvlJc w:val="left"/>
      <w:lvlText w:val="*"/>
      <w:numFmt w:val="bullet"/>
      <w:start w:val="1"/>
    </w:lvl>
  </w:abstractNum>
  <w:abstractNum w:abstractNumId="118">
    <w:nsid w:val="6B47F63E"/>
    <w:multiLevelType w:val="hybridMultilevel"/>
    <w:lvl w:ilvl="0">
      <w:lvlJc w:val="left"/>
      <w:lvlText w:val="(%1)"/>
      <w:numFmt w:val="decimal"/>
      <w:start w:val="1"/>
    </w:lvl>
  </w:abstractNum>
  <w:abstractNum w:abstractNumId="119">
    <w:nsid w:val="5CB44A05"/>
    <w:multiLevelType w:val="hybridMultilevel"/>
    <w:lvl w:ilvl="0">
      <w:lvlJc w:val="left"/>
      <w:lvlText w:val="(%1)"/>
      <w:numFmt w:val="decimal"/>
      <w:start w:val="2"/>
    </w:lvl>
  </w:abstractNum>
  <w:abstractNum w:abstractNumId="120">
    <w:nsid w:val="16CF80F1"/>
    <w:multiLevelType w:val="hybridMultilevel"/>
    <w:lvl w:ilvl="0">
      <w:lvlJc w:val="left"/>
      <w:lvlText w:val="(%1)"/>
      <w:numFmt w:val="decimal"/>
      <w:start w:val="7"/>
    </w:lvl>
  </w:abstractNum>
  <w:abstractNum w:abstractNumId="121">
    <w:nsid w:val="1C695DEC"/>
    <w:multiLevelType w:val="hybridMultilevel"/>
    <w:lvl w:ilvl="0">
      <w:lvlJc w:val="left"/>
      <w:lvlText w:val="(%1)"/>
      <w:numFmt w:val="lowerRoman"/>
      <w:start w:val="3"/>
    </w:lvl>
  </w:abstractNum>
  <w:abstractNum w:abstractNumId="122">
    <w:nsid w:val="3FCFAED9"/>
    <w:multiLevelType w:val="hybridMultilevel"/>
    <w:lvl w:ilvl="0">
      <w:lvlJc w:val="left"/>
      <w:lvlText w:val="(%1)"/>
      <w:numFmt w:val="decimal"/>
      <w:start w:val="1"/>
    </w:lvl>
  </w:abstractNum>
  <w:abstractNum w:abstractNumId="123">
    <w:nsid w:val="F856867"/>
    <w:multiLevelType w:val="hybridMultilevel"/>
    <w:lvl w:ilvl="0">
      <w:lvlJc w:val="left"/>
      <w:lvlText w:val="(%1)"/>
      <w:numFmt w:val="decimal"/>
      <w:start w:val="5"/>
    </w:lvl>
  </w:abstractNum>
  <w:abstractNum w:abstractNumId="124">
    <w:nsid w:val="11B1CC33"/>
    <w:multiLevelType w:val="hybridMultilevel"/>
    <w:lvl w:ilvl="0">
      <w:lvlJc w:val="left"/>
      <w:lvlText w:val="(%1)"/>
      <w:numFmt w:val="decimal"/>
      <w:start w:val="11"/>
    </w:lvl>
  </w:abstractNum>
  <w:abstractNum w:abstractNumId="125">
    <w:nsid w:val="2E22FBB7"/>
    <w:multiLevelType w:val="hybridMultilevel"/>
    <w:lvl w:ilvl="0">
      <w:lvlJc w:val="left"/>
      <w:lvlText w:val="(%1)"/>
      <w:numFmt w:val="decimal"/>
      <w:start w:val="24"/>
    </w:lvl>
  </w:abstractNum>
  <w:abstractNum w:abstractNumId="126">
    <w:nsid w:val="29934699"/>
    <w:multiLevelType w:val="hybridMultilevel"/>
    <w:lvl w:ilvl="0">
      <w:lvlJc w:val="left"/>
      <w:lvlText w:val="(%1)"/>
      <w:numFmt w:val="decimal"/>
      <w:start w:val="37"/>
    </w:lvl>
  </w:abstractNum>
  <w:abstractNum w:abstractNumId="127">
    <w:nsid w:val="77485850"/>
    <w:multiLevelType w:val="hybridMultilevel"/>
    <w:lvl w:ilvl="0">
      <w:lvlJc w:val="left"/>
      <w:lvlText w:val="(%1)"/>
      <w:numFmt w:val="decimal"/>
      <w:start w:val="49"/>
    </w:lvl>
  </w:abstractNum>
  <w:abstractNum w:abstractNumId="128">
    <w:nsid w:val="744939A3"/>
    <w:multiLevelType w:val="hybridMultilevel"/>
    <w:lvl w:ilvl="0">
      <w:lvlJc w:val="left"/>
      <w:lvlText w:val="(%1)"/>
      <w:numFmt w:val="decimal"/>
      <w:start w:val="61"/>
    </w:lvl>
  </w:abstractNum>
  <w:abstractNum w:abstractNumId="129">
    <w:nsid w:val="4FA0D2E3"/>
    <w:multiLevelType w:val="hybridMultilevel"/>
    <w:lvl w:ilvl="0">
      <w:lvlJc w:val="left"/>
      <w:lvlText w:val="(%1)"/>
      <w:numFmt w:val="decimal"/>
      <w:start w:val="72"/>
    </w:lvl>
  </w:abstractNum>
  <w:abstractNum w:abstractNumId="130">
    <w:nsid w:val="6B1D2C14"/>
    <w:multiLevelType w:val="hybridMultilevel"/>
    <w:lvl w:ilvl="0">
      <w:lvlJc w:val="left"/>
      <w:lvlText w:val="(%1)"/>
      <w:numFmt w:val="decimal"/>
      <w:start w:val="83"/>
    </w:lvl>
  </w:abstractNum>
  <w:abstractNum w:abstractNumId="131">
    <w:nsid w:val="68B867D3"/>
    <w:multiLevelType w:val="hybridMultilevel"/>
    <w:lvl w:ilvl="0">
      <w:lvlJc w:val="left"/>
      <w:lvlText w:val="(%1)"/>
      <w:numFmt w:val="decimal"/>
      <w:start w:val="95"/>
    </w:lvl>
  </w:abstractNum>
  <w:abstractNum w:abstractNumId="132">
    <w:nsid w:val="3F7F5DD9"/>
    <w:multiLevelType w:val="hybridMultilevel"/>
    <w:lvl w:ilvl="0">
      <w:lvlJc w:val="left"/>
      <w:lvlText w:val="(%1)"/>
      <w:numFmt w:val="decimal"/>
      <w:start w:val="106"/>
    </w:lvl>
  </w:abstractNum>
  <w:abstractNum w:abstractNumId="133">
    <w:nsid w:val="2AE05A34"/>
    <w:multiLevelType w:val="hybridMultilevel"/>
    <w:lvl w:ilvl="0">
      <w:lvlJc w:val="left"/>
      <w:lvlText w:val="(%1)"/>
      <w:numFmt w:val="decimal"/>
      <w:start w:val="116"/>
    </w:lvl>
  </w:abstractNum>
  <w:abstractNum w:abstractNumId="134">
    <w:nsid w:val="32794FF7"/>
    <w:multiLevelType w:val="hybridMultilevel"/>
    <w:lvl w:ilvl="0">
      <w:lvlJc w:val="left"/>
      <w:lvlText w:val="(%1)"/>
      <w:numFmt w:val="decimal"/>
      <w:start w:val="128"/>
    </w:lvl>
  </w:abstractNum>
  <w:abstractNum w:abstractNumId="135">
    <w:nsid w:val="5454945E"/>
    <w:multiLevelType w:val="hybridMultilevel"/>
    <w:lvl w:ilvl="0">
      <w:lvlJc w:val="left"/>
      <w:lvlText w:val="(%1)"/>
      <w:numFmt w:val="decimal"/>
      <w:start w:val="141"/>
    </w:lvl>
  </w:abstractNum>
  <w:abstractNum w:abstractNumId="136">
    <w:nsid w:val="4DEFDFA0"/>
    <w:multiLevelType w:val="hybridMultilevel"/>
    <w:lvl w:ilvl="0">
      <w:lvlJc w:val="left"/>
      <w:lvlText w:val="(%1)"/>
      <w:numFmt w:val="lowerLetter"/>
      <w:start w:val="3"/>
    </w:lvl>
  </w:abstractNum>
  <w:abstractNum w:abstractNumId="137">
    <w:nsid w:val="2123D5F2"/>
    <w:multiLevelType w:val="hybridMultilevel"/>
    <w:lvl w:ilvl="0">
      <w:lvlJc w:val="left"/>
      <w:lvlText w:val="•"/>
      <w:numFmt w:val="bullet"/>
      <w:start w:val="1"/>
    </w:lvl>
  </w:abstractNum>
  <w:abstractNum w:abstractNumId="138">
    <w:nsid w:val="135B8110"/>
    <w:multiLevelType w:val="hybridMultilevel"/>
    <w:lvl w:ilvl="0">
      <w:lvlJc w:val="left"/>
      <w:lvlText w:val="•"/>
      <w:numFmt w:val="bullet"/>
      <w:start w:val="1"/>
    </w:lvl>
  </w:abstractNum>
  <w:abstractNum w:abstractNumId="139">
    <w:nsid w:val="94927A8"/>
    <w:multiLevelType w:val="hybridMultilevel"/>
    <w:lvl w:ilvl="0">
      <w:lvlJc w:val="left"/>
      <w:lvlText w:val="(%1)"/>
      <w:numFmt w:val="upperLetter"/>
      <w:start w:val="3"/>
    </w:lvl>
  </w:abstractNum>
  <w:abstractNum w:abstractNumId="140">
    <w:nsid w:val="DCDF8F6"/>
    <w:multiLevelType w:val="hybridMultilevel"/>
    <w:lvl w:ilvl="0">
      <w:lvlJc w:val="left"/>
      <w:lvlText w:val="•"/>
      <w:numFmt w:val="bullet"/>
      <w:start w:val="1"/>
    </w:lvl>
  </w:abstractNum>
  <w:abstractNum w:abstractNumId="141">
    <w:nsid w:val="52D7B105"/>
    <w:multiLevelType w:val="hybridMultilevel"/>
    <w:lvl w:ilvl="0">
      <w:lvlJc w:val="left"/>
      <w:lvlText w:val="(%1)"/>
      <w:numFmt w:val="lowerRoman"/>
      <w:start w:val="10"/>
    </w:lvl>
  </w:abstractNum>
  <w:abstractNum w:abstractNumId="142">
    <w:nsid w:val="2E8A6394"/>
    <w:multiLevelType w:val="hybridMultilevel"/>
    <w:lvl w:ilvl="0">
      <w:lvlJc w:val="left"/>
      <w:lvlText w:val="•"/>
      <w:numFmt w:val="bullet"/>
      <w:start w:val="1"/>
    </w:lvl>
  </w:abstractNum>
  <w:abstractNum w:abstractNumId="143">
    <w:nsid w:val="24E60401"/>
    <w:multiLevelType w:val="hybridMultilevel"/>
    <w:lvl w:ilvl="0">
      <w:lvlJc w:val="left"/>
      <w:lvlText w:val="•"/>
      <w:numFmt w:val="bullet"/>
      <w:start w:val="1"/>
    </w:lvl>
  </w:abstractNum>
  <w:abstractNum w:abstractNumId="144">
    <w:nsid w:val="2A6AD9BE"/>
    <w:multiLevelType w:val="hybridMultilevel"/>
    <w:lvl w:ilvl="0">
      <w:lvlJc w:val="left"/>
      <w:lvlText w:val="•"/>
      <w:numFmt w:val="bullet"/>
      <w:start w:val="1"/>
    </w:lvl>
  </w:abstractNum>
  <w:abstractNum w:abstractNumId="145">
    <w:nsid w:val="BAAC1B4"/>
    <w:multiLevelType w:val="hybridMultilevel"/>
    <w:lvl w:ilvl="0">
      <w:lvlJc w:val="left"/>
      <w:lvlText w:val="(%1)"/>
      <w:numFmt w:val="lowerRoman"/>
      <w:start w:val="2"/>
    </w:lvl>
  </w:abstractNum>
  <w:abstractNum w:abstractNumId="146">
    <w:nsid w:val="36B2ACBC"/>
    <w:multiLevelType w:val="hybridMultilevel"/>
    <w:lvl w:ilvl="0">
      <w:lvlJc w:val="left"/>
      <w:lvlText w:val="(%1)"/>
      <w:numFmt w:val="lowerRoman"/>
      <w:start w:val="2"/>
    </w:lvl>
  </w:abstractNum>
  <w:abstractNum w:abstractNumId="147">
    <w:nsid w:val="779D8544"/>
    <w:multiLevelType w:val="hybridMultilevel"/>
    <w:lvl w:ilvl="0">
      <w:lvlJc w:val="left"/>
      <w:lvlText w:val="•"/>
      <w:numFmt w:val="bullet"/>
      <w:start w:val="1"/>
    </w:lvl>
  </w:abstractNum>
  <w:abstractNum w:abstractNumId="148">
    <w:nsid w:val="4AB26E78"/>
    <w:multiLevelType w:val="hybridMultilevel"/>
    <w:lvl w:ilvl="0">
      <w:lvlJc w:val="left"/>
      <w:lvlText w:val="•"/>
      <w:numFmt w:val="bullet"/>
      <w:start w:val="1"/>
    </w:lvl>
  </w:abstractNum>
  <w:abstractNum w:abstractNumId="149">
    <w:nsid w:val="21FAA2FA"/>
    <w:multiLevelType w:val="hybridMultilevel"/>
    <w:lvl w:ilvl="0">
      <w:lvlJc w:val="left"/>
      <w:lvlText w:val="•"/>
      <w:numFmt w:val="bullet"/>
      <w:start w:val="1"/>
    </w:lvl>
    <w:lvl w:ilvl="1">
      <w:lvlJc w:val="left"/>
      <w:lvlText w:val="(%2)"/>
      <w:numFmt w:val="upperLetter"/>
      <w:start w:val="1"/>
    </w:lvl>
  </w:abstractNum>
  <w:abstractNum w:abstractNumId="150">
    <w:nsid w:val="5451CF49"/>
    <w:multiLevelType w:val="hybridMultilevel"/>
    <w:lvl w:ilvl="0">
      <w:lvlJc w:val="left"/>
      <w:lvlText w:val="•"/>
      <w:numFmt w:val="bullet"/>
      <w:start w:val="1"/>
    </w:lvl>
    <w:lvl w:ilvl="1">
      <w:lvlJc w:val="left"/>
      <w:lvlText w:val="(%2)"/>
      <w:numFmt w:val="upperLetter"/>
      <w:start w:val="4"/>
    </w:lvl>
  </w:abstractNum>
  <w:abstractNum w:abstractNumId="151">
    <w:nsid w:val="6181EF69"/>
    <w:multiLevelType w:val="hybridMultilevel"/>
    <w:lvl w:ilvl="0">
      <w:lvlJc w:val="left"/>
      <w:lvlText w:val="•"/>
      <w:numFmt w:val="bullet"/>
      <w:start w:val="1"/>
    </w:lvl>
  </w:abstractNum>
  <w:abstractNum w:abstractNumId="152">
    <w:nsid w:val="3E6400E6"/>
    <w:multiLevelType w:val="hybridMultilevel"/>
    <w:lvl w:ilvl="0">
      <w:lvlJc w:val="left"/>
      <w:lvlText w:val="(%1)"/>
      <w:numFmt w:val="lowerLetter"/>
      <w:start w:val="26"/>
    </w:lvl>
    <w:lvl w:ilvl="1">
      <w:lvlJc w:val="left"/>
      <w:lvlText w:val="•"/>
      <w:numFmt w:val="bullet"/>
      <w:start w:val="1"/>
    </w:lvl>
  </w:abstractNum>
  <w:abstractNum w:abstractNumId="153">
    <w:nsid w:val="14217E23"/>
    <w:multiLevelType w:val="hybridMultilevel"/>
    <w:lvl w:ilvl="0">
      <w:lvlJc w:val="left"/>
      <w:lvlText w:val="(%1)"/>
      <w:numFmt w:val="lowerLetter"/>
      <w:start w:val="1"/>
    </w:lvl>
  </w:abstractNum>
  <w:abstractNum w:abstractNumId="154">
    <w:nsid w:val="710757D0"/>
    <w:multiLevelType w:val="hybridMultilevel"/>
    <w:lvl w:ilvl="0">
      <w:lvlJc w:val="left"/>
      <w:lvlText w:val="*"/>
      <w:numFmt w:val="bullet"/>
      <w:start w:val="1"/>
    </w:lvl>
  </w:abstractNum>
  <w:abstractNum w:abstractNumId="155">
    <w:nsid w:val="5015CD1A"/>
    <w:multiLevelType w:val="hybridMultilevel"/>
    <w:lvl w:ilvl="0">
      <w:lvlJc w:val="left"/>
      <w:lvlText w:val="(%1)"/>
      <w:numFmt w:val="lowerLetter"/>
      <w:start w:val="1"/>
    </w:lvl>
  </w:abstractNum>
  <w:abstractNum w:abstractNumId="156">
    <w:nsid w:val="424479DA"/>
    <w:multiLevelType w:val="hybridMultilevel"/>
    <w:lvl w:ilvl="0">
      <w:lvlJc w:val="left"/>
      <w:lvlText w:val="(%1)"/>
      <w:numFmt w:val="lowerLetter"/>
      <w:start w:val="1"/>
    </w:lvl>
  </w:abstractNum>
  <w:abstractNum w:abstractNumId="157">
    <w:nsid w:val="1A9A9E69"/>
    <w:multiLevelType w:val="hybridMultilevel"/>
    <w:lvl w:ilvl="0">
      <w:lvlJc w:val="left"/>
      <w:lvlText w:val="•"/>
      <w:numFmt w:val="bullet"/>
      <w:start w:val="1"/>
    </w:lvl>
  </w:abstractNum>
  <w:abstractNum w:abstractNumId="158">
    <w:nsid w:val="475E256A"/>
    <w:multiLevelType w:val="hybridMultilevel"/>
    <w:lvl w:ilvl="0">
      <w:lvlJc w:val="left"/>
      <w:lvlText w:val="•"/>
      <w:numFmt w:val="bullet"/>
      <w:start w:val="1"/>
    </w:lvl>
  </w:abstractNum>
  <w:abstractNum w:abstractNumId="159">
    <w:nsid w:val="368DB37E"/>
    <w:multiLevelType w:val="hybridMultilevel"/>
    <w:lvl w:ilvl="0">
      <w:lvlJc w:val="left"/>
      <w:lvlText w:val="•"/>
      <w:numFmt w:val="bullet"/>
      <w:start w:val="1"/>
    </w:lvl>
    <w:lvl w:ilvl="1">
      <w:lvlJc w:val="left"/>
      <w:lvlText w:val="•"/>
      <w:numFmt w:val="bullet"/>
      <w:start w:val="1"/>
    </w:lvl>
  </w:abstractNum>
  <w:abstractNum w:abstractNumId="160">
    <w:nsid w:val="6A3B714C"/>
    <w:multiLevelType w:val="hybridMultilevel"/>
    <w:lvl w:ilvl="0">
      <w:lvlJc w:val="left"/>
      <w:lvlText w:val="(%1)"/>
      <w:numFmt w:val="lowerRoman"/>
      <w:start w:val="1"/>
    </w:lvl>
    <w:lvl w:ilvl="1">
      <w:lvlJc w:val="left"/>
      <w:lvlText w:val="•"/>
      <w:numFmt w:val="bullet"/>
      <w:start w:val="1"/>
    </w:lvl>
  </w:abstractNum>
  <w:abstractNum w:abstractNumId="161">
    <w:nsid w:val="327B517E"/>
    <w:multiLevelType w:val="hybridMultilevel"/>
    <w:lvl w:ilvl="0">
      <w:lvlJc w:val="left"/>
      <w:lvlText w:val="(%1)"/>
      <w:numFmt w:val="lowerLetter"/>
      <w:start w:val="1"/>
    </w:lvl>
  </w:abstractNum>
  <w:abstractNum w:abstractNumId="162">
    <w:nsid w:val="1F461B51"/>
    <w:multiLevelType w:val="hybridMultilevel"/>
    <w:lvl w:ilvl="0">
      <w:lvlJc w:val="left"/>
      <w:lvlText w:val="(%1)"/>
      <w:numFmt w:val="lowerLetter"/>
      <w:start w:val="2"/>
    </w:lvl>
  </w:abstractNum>
  <w:abstractNum w:abstractNumId="163">
    <w:nsid w:val="29BACF25"/>
    <w:multiLevelType w:val="hybridMultilevel"/>
    <w:lvl w:ilvl="0">
      <w:lvlJc w:val="left"/>
      <w:lvlText w:val="(%1)"/>
      <w:numFmt w:val="lowerLetter"/>
      <w:start w:val="1"/>
    </w:lvl>
  </w:abstractNum>
  <w:abstractNum w:abstractNumId="164">
    <w:nsid w:val="5D5BABB3"/>
    <w:multiLevelType w:val="hybridMultilevel"/>
    <w:lvl w:ilvl="0">
      <w:lvlJc w:val="left"/>
      <w:lvlText w:val="(%1)"/>
      <w:numFmt w:val="lowerRoman"/>
      <w:start w:val="1"/>
    </w:lvl>
  </w:abstractNum>
  <w:abstractNum w:abstractNumId="165">
    <w:nsid w:val="51BF6B48"/>
    <w:multiLevelType w:val="hybridMultilevel"/>
    <w:lvl w:ilvl="0">
      <w:lvlJc w:val="left"/>
      <w:lvlText w:val="(%1)"/>
      <w:numFmt w:val="lowerLetter"/>
      <w:start w:val="1"/>
    </w:lvl>
  </w:abstractNum>
  <w:abstractNum w:abstractNumId="166">
    <w:nsid w:val="7E0F6384"/>
    <w:multiLevelType w:val="hybridMultilevel"/>
    <w:lvl w:ilvl="0">
      <w:lvlJc w:val="left"/>
      <w:lvlText w:val="(%1)"/>
      <w:numFmt w:val="lowerRoman"/>
      <w:start w:val="2"/>
    </w:lvl>
  </w:abstractNum>
  <w:abstractNum w:abstractNumId="167">
    <w:nsid w:val="2B4B8B53"/>
    <w:multiLevelType w:val="hybridMultilevel"/>
    <w:lvl w:ilvl="0">
      <w:lvlJc w:val="left"/>
      <w:lvlText w:val="(%1)"/>
      <w:numFmt w:val="lowerRoman"/>
      <w:start w:val="3"/>
    </w:lvl>
  </w:abstractNum>
  <w:abstractNum w:abstractNumId="168">
    <w:nsid w:val="72E3413A"/>
    <w:multiLevelType w:val="hybridMultilevel"/>
    <w:lvl w:ilvl="0">
      <w:lvlJc w:val="left"/>
      <w:lvlText w:val="•"/>
      <w:numFmt w:val="bullet"/>
      <w:start w:val="1"/>
    </w:lvl>
  </w:abstractNum>
  <w:abstractNum w:abstractNumId="169">
    <w:nsid w:val="116AE494"/>
    <w:multiLevelType w:val="hybridMultilevel"/>
    <w:lvl w:ilvl="0">
      <w:lvlJc w:val="left"/>
      <w:lvlText w:val="•"/>
      <w:numFmt w:val="bullet"/>
      <w:start w:val="1"/>
    </w:lvl>
  </w:abstractNum>
  <w:abstractNum w:abstractNumId="170">
    <w:nsid w:val="3494B2FB"/>
    <w:multiLevelType w:val="hybridMultilevel"/>
    <w:lvl w:ilvl="0">
      <w:lvlJc w:val="left"/>
      <w:lvlText w:val="(%1)"/>
      <w:numFmt w:val="lowerRoman"/>
      <w:start w:val="2"/>
    </w:lvl>
  </w:abstractNum>
  <w:abstractNum w:abstractNumId="171">
    <w:nsid w:val="B13A31"/>
    <w:multiLevelType w:val="hybridMultilevel"/>
    <w:lvl w:ilvl="0">
      <w:lvlJc w:val="left"/>
      <w:lvlText w:val="(%1)"/>
      <w:numFmt w:val="lowerRoman"/>
      <w:start w:val="1"/>
    </w:lvl>
  </w:abstractNum>
  <w:abstractNum w:abstractNumId="172">
    <w:nsid w:val="64429599"/>
    <w:multiLevelType w:val="hybridMultilevel"/>
    <w:lvl w:ilvl="0">
      <w:lvlJc w:val="left"/>
      <w:lvlText w:val="•"/>
      <w:numFmt w:val="bullet"/>
      <w:start w:val="1"/>
    </w:lvl>
    <w:lvl w:ilvl="1">
      <w:lvlJc w:val="left"/>
      <w:lvlText w:val="•"/>
      <w:numFmt w:val="bullet"/>
      <w:start w:val="1"/>
    </w:lvl>
  </w:abstractNum>
  <w:abstractNum w:abstractNumId="173">
    <w:nsid w:val="631F1690"/>
    <w:multiLevelType w:val="hybridMultilevel"/>
    <w:lvl w:ilvl="0">
      <w:lvlJc w:val="left"/>
      <w:lvlText w:val="•"/>
      <w:numFmt w:val="bullet"/>
      <w:start w:val="1"/>
    </w:lvl>
  </w:abstractNum>
  <w:abstractNum w:abstractNumId="174">
    <w:nsid w:val="25973E32"/>
    <w:multiLevelType w:val="hybridMultilevel"/>
    <w:lvl w:ilvl="0">
      <w:lvlJc w:val="left"/>
      <w:lvlText w:val="•"/>
      <w:numFmt w:val="bullet"/>
      <w:start w:val="1"/>
    </w:lvl>
  </w:abstractNum>
  <w:abstractNum w:abstractNumId="175">
    <w:nsid w:val="EAD6F57"/>
    <w:multiLevelType w:val="hybridMultilevel"/>
    <w:lvl w:ilvl="0">
      <w:lvlJc w:val="left"/>
      <w:lvlText w:val="(%1)"/>
      <w:numFmt w:val="lowerRoman"/>
      <w:start w:val="2"/>
    </w:lvl>
  </w:abstractNum>
  <w:abstractNum w:abstractNumId="176">
    <w:nsid w:val="6EC9D844"/>
    <w:multiLevelType w:val="hybridMultilevel"/>
    <w:lvl w:ilvl="0">
      <w:lvlJc w:val="left"/>
      <w:lvlText w:val="(%1)"/>
      <w:numFmt w:val="lowerRoman"/>
      <w:start w:val="3"/>
    </w:lvl>
  </w:abstractNum>
  <w:abstractNum w:abstractNumId="177">
    <w:nsid w:val="5C49EAEE"/>
    <w:multiLevelType w:val="hybridMultilevel"/>
    <w:lvl w:ilvl="0">
      <w:lvlJc w:val="left"/>
      <w:lvlText w:val="•"/>
      <w:numFmt w:val="bullet"/>
      <w:start w:val="1"/>
    </w:lvl>
  </w:abstractNum>
  <w:abstractNum w:abstractNumId="178">
    <w:nsid w:val="64AF49B"/>
    <w:multiLevelType w:val="hybridMultilevel"/>
    <w:lvl w:ilvl="0">
      <w:lvlJc w:val="left"/>
      <w:lvlText w:val="•"/>
      <w:numFmt w:val="bullet"/>
      <w:start w:val="1"/>
    </w:lvl>
  </w:abstractNum>
  <w:abstractNum w:abstractNumId="179">
    <w:nsid w:val="397C46BC"/>
    <w:multiLevelType w:val="hybridMultilevel"/>
    <w:lvl w:ilvl="0">
      <w:lvlJc w:val="left"/>
      <w:lvlText w:val="(%1)"/>
      <w:numFmt w:val="lowerRoman"/>
      <w:start w:val="2"/>
    </w:lvl>
  </w:abstractNum>
  <w:abstractNum w:abstractNumId="180">
    <w:nsid w:val="7E448DE9"/>
    <w:multiLevelType w:val="hybridMultilevel"/>
    <w:lvl w:ilvl="0">
      <w:lvlJc w:val="left"/>
      <w:lvlText w:val="(%1)"/>
      <w:numFmt w:val="lowerRoman"/>
      <w:start w:val="1"/>
    </w:lvl>
  </w:abstractNum>
  <w:abstractNum w:abstractNumId="181">
    <w:nsid w:val="5A9CC3E5"/>
    <w:multiLevelType w:val="hybridMultilevel"/>
    <w:lvl w:ilvl="0">
      <w:lvlJc w:val="left"/>
      <w:lvlText w:val="•"/>
      <w:numFmt w:val="bullet"/>
      <w:start w:val="1"/>
    </w:lvl>
    <w:lvl w:ilvl="1">
      <w:lvlJc w:val="left"/>
      <w:lvlText w:val="•"/>
      <w:numFmt w:val="bullet"/>
      <w:start w:val="1"/>
    </w:lvl>
  </w:abstractNum>
  <w:abstractNum w:abstractNumId="182">
    <w:nsid w:val="1AFE3625"/>
    <w:multiLevelType w:val="hybridMultilevel"/>
    <w:lvl w:ilvl="0">
      <w:lvlJc w:val="left"/>
      <w:lvlText w:val="•"/>
      <w:numFmt w:val="bullet"/>
      <w:start w:val="1"/>
    </w:lvl>
  </w:abstractNum>
  <w:abstractNum w:abstractNumId="183">
    <w:nsid w:val="3CA88ECF"/>
    <w:multiLevelType w:val="hybridMultilevel"/>
    <w:lvl w:ilvl="0">
      <w:lvlJc w:val="left"/>
      <w:lvlText w:val="•"/>
      <w:numFmt w:val="bullet"/>
      <w:start w:val="1"/>
    </w:lvl>
  </w:abstractNum>
  <w:abstractNum w:abstractNumId="184">
    <w:nsid w:val="6EBE4208"/>
    <w:multiLevelType w:val="hybridMultilevel"/>
    <w:lvl w:ilvl="0">
      <w:lvlJc w:val="left"/>
      <w:lvlText w:val="*"/>
      <w:numFmt w:val="bullet"/>
      <w:start w:val="1"/>
    </w:lvl>
  </w:abstractNum>
  <w:abstractNum w:abstractNumId="185">
    <w:nsid w:val="C058DF5"/>
    <w:multiLevelType w:val="hybridMultilevel"/>
    <w:lvl w:ilvl="0">
      <w:lvlJc w:val="left"/>
      <w:lvlText w:val="(%1)"/>
      <w:numFmt w:val="lowerLetter"/>
      <w:start w:val="1"/>
    </w:lvl>
  </w:abstractNum>
  <w:abstractNum w:abstractNumId="186">
    <w:nsid w:val="CBE5BE9"/>
    <w:multiLevelType w:val="hybridMultilevel"/>
    <w:lvl w:ilvl="0">
      <w:lvlJc w:val="left"/>
      <w:lvlText w:val="(%1)"/>
      <w:numFmt w:val="lowerLetter"/>
      <w:start w:val="2"/>
    </w:lvl>
  </w:abstractNum>
  <w:abstractNum w:abstractNumId="187">
    <w:nsid w:val="3102BBE2"/>
    <w:multiLevelType w:val="hybridMultilevel"/>
    <w:lvl w:ilvl="0">
      <w:lvlJc w:val="left"/>
      <w:lvlText w:val="(%1)"/>
      <w:numFmt w:val="lowerLetter"/>
      <w:start w:val="3"/>
    </w:lvl>
  </w:abstractNum>
  <w:abstractNum w:abstractNumId="188">
    <w:nsid w:val="26A02C5E"/>
    <w:multiLevelType w:val="hybridMultilevel"/>
    <w:lvl w:ilvl="0">
      <w:lvlJc w:val="left"/>
      <w:lvlText w:val="(%1)"/>
      <w:numFmt w:val="lowerRoman"/>
      <w:start w:val="2"/>
    </w:lvl>
  </w:abstractNum>
  <w:abstractNum w:abstractNumId="189">
    <w:nsid w:val="541C8153"/>
    <w:multiLevelType w:val="hybridMultilevel"/>
    <w:lvl w:ilvl="0">
      <w:lvlJc w:val="left"/>
      <w:lvlText w:val="(%1)"/>
      <w:numFmt w:val="lowerLetter"/>
      <w:start w:val="1"/>
    </w:lvl>
  </w:abstractNum>
  <w:abstractNum w:abstractNumId="190">
    <w:nsid w:val="67906F60"/>
    <w:multiLevelType w:val="hybridMultilevel"/>
    <w:lvl w:ilvl="0">
      <w:lvlJc w:val="left"/>
      <w:lvlText w:val=" "/>
      <w:numFmt w:val="bullet"/>
      <w:start w:val="1"/>
    </w:lvl>
  </w:abstractNum>
  <w:abstractNum w:abstractNumId="191">
    <w:nsid w:val="10DB9DAA"/>
    <w:multiLevelType w:val="hybridMultilevel"/>
    <w:lvl w:ilvl="0">
      <w:lvlJc w:val="left"/>
      <w:lvlText w:val=" "/>
      <w:numFmt w:val="bullet"/>
      <w:start w:val="1"/>
    </w:lvl>
  </w:abstractNum>
  <w:abstractNum w:abstractNumId="192">
    <w:nsid w:val="697D2D2"/>
    <w:multiLevelType w:val="hybridMultilevel"/>
    <w:lvl w:ilvl="0">
      <w:lvlJc w:val="left"/>
      <w:lvlText w:val=" "/>
      <w:numFmt w:val="bullet"/>
      <w:start w:val="1"/>
    </w:lvl>
  </w:abstractNum>
  <w:abstractNum w:abstractNumId="193">
    <w:nsid w:val="6D68AB2"/>
    <w:multiLevelType w:val="hybridMultilevel"/>
    <w:lvl w:ilvl="0">
      <w:lvlJc w:val="left"/>
      <w:lvlText w:val=" "/>
      <w:numFmt w:val="bullet"/>
      <w:start w:val="1"/>
    </w:lvl>
  </w:abstractNum>
  <w:abstractNum w:abstractNumId="194">
    <w:nsid w:val="3A966CD0"/>
    <w:multiLevelType w:val="hybridMultilevel"/>
    <w:lvl w:ilvl="0">
      <w:lvlJc w:val="left"/>
      <w:lvlText w:val="*"/>
      <w:numFmt w:val="bullet"/>
      <w:start w:val="1"/>
    </w:lvl>
  </w:abstractNum>
  <w:abstractNum w:abstractNumId="195">
    <w:nsid w:val="63F37E85"/>
    <w:multiLevelType w:val="hybridMultilevel"/>
    <w:lvl w:ilvl="0">
      <w:lvlJc w:val="left"/>
      <w:lvlText w:val="**"/>
      <w:numFmt w:val="bullet"/>
      <w:start w:val="1"/>
    </w:lvl>
  </w:abstractNum>
  <w:abstractNum w:abstractNumId="196">
    <w:nsid w:val="5895F5FA"/>
    <w:multiLevelType w:val="hybridMultilevel"/>
    <w:lvl w:ilvl="0">
      <w:lvlJc w:val="left"/>
      <w:lvlText w:val="(%1)"/>
      <w:numFmt w:val="lowerLetter"/>
      <w:start w:val="2"/>
    </w:lvl>
  </w:abstractNum>
  <w:abstractNum w:abstractNumId="197">
    <w:nsid w:val="38A5D054"/>
    <w:multiLevelType w:val="hybridMultilevel"/>
    <w:lvl w:ilvl="0">
      <w:lvlJc w:val="left"/>
      <w:lvlText w:val="(%1)"/>
      <w:numFmt w:val="lowerRoman"/>
      <w:start w:val="3"/>
    </w:lvl>
  </w:abstractNum>
  <w:abstractNum w:abstractNumId="198">
    <w:nsid w:val="F3F09D8"/>
    <w:multiLevelType w:val="hybridMultilevel"/>
    <w:lvl w:ilvl="0">
      <w:lvlJc w:val="left"/>
      <w:lvlText w:val="%1."/>
      <w:numFmt w:val="decimal"/>
      <w:start w:val="1"/>
    </w:lvl>
  </w:abstractNum>
  <w:abstractNum w:abstractNumId="199">
    <w:nsid w:val="4B793735"/>
    <w:multiLevelType w:val="hybridMultilevel"/>
    <w:lvl w:ilvl="0">
      <w:lvlJc w:val="left"/>
      <w:lvlText w:val="(%1)"/>
      <w:numFmt w:val="lowerRoman"/>
      <w:start w:val="2"/>
    </w:lvl>
  </w:abstractNum>
  <w:abstractNum w:abstractNumId="200">
    <w:nsid w:val="4A10B4E8"/>
    <w:multiLevelType w:val="hybridMultilevel"/>
    <w:lvl w:ilvl="0">
      <w:lvlJc w:val="left"/>
      <w:lvlText w:val="(%1)"/>
      <w:numFmt w:val="decimal"/>
      <w:start w:val="1"/>
    </w:lvl>
  </w:abstractNum>
  <w:abstractNum w:abstractNumId="201">
    <w:nsid w:val="43D3BCD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9" Type="http://schemas.openxmlformats.org/officeDocument/2006/relationships/image" Target="media/image349.png"/><Relationship Id="rId379"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jpeg"/><Relationship Id="rId396" Type="http://schemas.openxmlformats.org/officeDocument/2006/relationships/image" Target="media/image356.png"/><Relationship Id="rId397" Type="http://schemas.openxmlformats.org/officeDocument/2006/relationships/image" Target="media/image357.jpeg"/><Relationship Id="rId398" Type="http://schemas.openxmlformats.org/officeDocument/2006/relationships/image" Target="media/image358.png"/><Relationship Id="rId399" Type="http://schemas.openxmlformats.org/officeDocument/2006/relationships/image" Target="media/image359.jpeg"/><Relationship Id="rId400" Type="http://schemas.openxmlformats.org/officeDocument/2006/relationships/image" Target="media/image360.png"/><Relationship Id="rId356" Type="http://schemas.openxmlformats.org/officeDocument/2006/relationships/hyperlink" Target="http://www.sec.gov/Archives/edgar/data/1871638/000110465924080933/brkh-20240331xs4.htm#AnnexA1_147733" TargetMode="External"/><Relationship Id="rId357" Type="http://schemas.openxmlformats.org/officeDocument/2006/relationships/hyperlink" Target="http://www.sec.gov/Archives/edgar/data/1871638/000110465924080933/brkh-20240331xs4.htm#AnnexA2_936998" TargetMode="External"/><Relationship Id="rId358" Type="http://schemas.openxmlformats.org/officeDocument/2006/relationships/hyperlink" Target="http://www.sec.gov/Archives/edgar/data/1871638/000110465924112666/tm2418197-13_s4a.htm#tANNEXA3" TargetMode="External"/><Relationship Id="rId360" Type="http://schemas.openxmlformats.org/officeDocument/2006/relationships/hyperlink" Target="http://www.sec.gov/Archives/edgar/data/1871638/000110465924122026/tm2418197-20_s4a.htm#tANNEXA4" TargetMode="External"/><Relationship Id="rId361" Type="http://schemas.openxmlformats.org/officeDocument/2006/relationships/hyperlink" Target="http://www.sec.gov/Archives/edgar/data/1871638/000119312525008517/d903961dex31.htm" TargetMode="External"/><Relationship Id="rId362" Type="http://schemas.openxmlformats.org/officeDocument/2006/relationships/hyperlink" Target="http://www.sec.gov/Archives/edgar/data/1871638/000119312525008517/d903961dex32.htm" TargetMode="External"/><Relationship Id="rId363" Type="http://schemas.openxmlformats.org/officeDocument/2006/relationships/hyperlink" Target="http://www.sec.gov/Archives/edgar/data/1871638/000110465921141949/tm2124406d5_ex4-2.htm" TargetMode="External"/><Relationship Id="rId364" Type="http://schemas.openxmlformats.org/officeDocument/2006/relationships/hyperlink" Target="http://www.sec.gov/Archives/edgar/data/1871638/000110465921141949/tm2124406d5_ex4-3.htm" TargetMode="External"/><Relationship Id="rId365" Type="http://schemas.openxmlformats.org/officeDocument/2006/relationships/hyperlink" Target="http://www.sec.gov/Archives/edgar/data/1826000/000119312520293056/d83052dex41.htm" TargetMode="External"/><Relationship Id="rId366" Type="http://schemas.openxmlformats.org/officeDocument/2006/relationships/hyperlink" Target="http://www.sec.gov/Archives/edgar/data/1871638/000119312525008517/d903961dex101.htm" TargetMode="External"/><Relationship Id="rId367" Type="http://schemas.openxmlformats.org/officeDocument/2006/relationships/hyperlink" Target="http://www.sec.gov/Archives/edgar/data/1871638/000110465921150569/tm2135631d1_ex10-1.htm" TargetMode="External"/><Relationship Id="rId368" Type="http://schemas.openxmlformats.org/officeDocument/2006/relationships/hyperlink" Target="http://www.sec.gov/Archives/edgar/data/1871638/000119312525008517/d903961dex103.htm" TargetMode="External"/><Relationship Id="rId369" Type="http://schemas.openxmlformats.org/officeDocument/2006/relationships/hyperlink" Target="http://www.sec.gov/Archives/edgar/data/1871638/000119312525008517/d903961dex104.htm" TargetMode="External"/><Relationship Id="rId370" Type="http://schemas.openxmlformats.org/officeDocument/2006/relationships/hyperlink" Target="http://www.sec.gov/Archives/edgar/data/1871638/000119312525008517/d903961dex105.htm" TargetMode="External"/><Relationship Id="rId371" Type="http://schemas.openxmlformats.org/officeDocument/2006/relationships/hyperlink" Target="http://www.sec.gov/Archives/edgar/data/1871638/000119312525008517/d903961dex106.htm" TargetMode="External"/><Relationship Id="rId372" Type="http://schemas.openxmlformats.org/officeDocument/2006/relationships/hyperlink" Target="http://www.sec.gov/Archives/edgar/data/1871638/000119312525008517/d903961dex107.htm" TargetMode="External"/><Relationship Id="rId373" Type="http://schemas.openxmlformats.org/officeDocument/2006/relationships/hyperlink" Target="http://www.sec.gov/Archives/edgar/data/1871638/000119312525008517/d903961dex108.htm" TargetMode="External"/><Relationship Id="rId374" Type="http://schemas.openxmlformats.org/officeDocument/2006/relationships/hyperlink" Target="http://www.sec.gov/Archives/edgar/data/1871638/000110465924132802/tm2431152d1_ex10-1.htm" TargetMode="External"/><Relationship Id="rId375" Type="http://schemas.openxmlformats.org/officeDocument/2006/relationships/hyperlink" Target="http://www.sec.gov/Archives/edgar/data/1871638/000110465925001763/tm252173d1_ex10-1.htm" TargetMode="External"/><Relationship Id="rId376" Type="http://schemas.openxmlformats.org/officeDocument/2006/relationships/hyperlink" Target="http://www.sec.gov/Archives/edgar/data/1871638/000119312525008517/d903961dex1011.htm" TargetMode="External"/><Relationship Id="rId377" Type="http://schemas.openxmlformats.org/officeDocument/2006/relationships/hyperlink" Target="http://www.sec.gov/Archives/edgar/data/1871638/000119312525008517/d903961dex1012.htm" TargetMode="External"/><Relationship Id="rId378" Type="http://schemas.openxmlformats.org/officeDocument/2006/relationships/hyperlink" Target="http://www.sec.gov/Archives/edgar/data/1871638/000119312525008517/d903961dex1013.htm" TargetMode="External"/><Relationship Id="rId380" Type="http://schemas.openxmlformats.org/officeDocument/2006/relationships/hyperlink" Target="http://www.sec.gov/Archives/edgar/data/1871638/000119312525008517/d903961dex1014.htm" TargetMode="External"/><Relationship Id="rId381" Type="http://schemas.openxmlformats.org/officeDocument/2006/relationships/hyperlink" Target="http://www.sec.gov/Archives/edgar/data/1871638/000119312525008517/d903961dex1015.htm" TargetMode="External"/><Relationship Id="rId382" Type="http://schemas.openxmlformats.org/officeDocument/2006/relationships/hyperlink" Target="http://www.sec.gov/Archives/edgar/data/1871638/000119312525008517/d903961dex1016.htm" TargetMode="External"/><Relationship Id="rId383" Type="http://schemas.openxmlformats.org/officeDocument/2006/relationships/hyperlink" Target="http://www.sec.gov/Archives/edgar/data/1871638/000119312525008517/d903961dex1017.htm" TargetMode="External"/><Relationship Id="rId384" Type="http://schemas.openxmlformats.org/officeDocument/2006/relationships/hyperlink" Target="http://www.sec.gov/Archives/edgar/data/1871638/000119312525008517/d903961dex1018.htm" TargetMode="External"/><Relationship Id="rId385" Type="http://schemas.openxmlformats.org/officeDocument/2006/relationships/hyperlink" Target="http://www.sec.gov/Archives/edgar/data/1871638/000119312525008517/d903961dex1019.htm" TargetMode="External"/><Relationship Id="rId386" Type="http://schemas.openxmlformats.org/officeDocument/2006/relationships/hyperlink" Target="http://www.sec.gov/Archives/edgar/data/1871638/000119312525008517/d903961dex1020.htm" TargetMode="External"/><Relationship Id="rId387" Type="http://schemas.openxmlformats.org/officeDocument/2006/relationships/hyperlink" Target="http://www.sec.gov/Archives/edgar/data/1871638/000119312525008517/d903961dex1021.htm" TargetMode="External"/><Relationship Id="rId388" Type="http://schemas.openxmlformats.org/officeDocument/2006/relationships/hyperlink" Target="http://www.sec.gov/Archives/edgar/data/1871638/000119312525008517/d903961dex1022.htm" TargetMode="External"/><Relationship Id="rId389" Type="http://schemas.openxmlformats.org/officeDocument/2006/relationships/hyperlink" Target="http://www.sec.gov/Archives/edgar/data/1871638/000119312525008517/d903961dex211.htm" TargetMode="External"/><Relationship Id="rId390" Type="http://schemas.openxmlformats.org/officeDocument/2006/relationships/hyperlink" Target="http://www.sec.gov/Archives/edgar/data/1871638/000119312525008689/d90681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2025-02-10T05:40:24Z</dcterms:created>
  <dcterms:modified xsi:type="dcterms:W3CDTF">2025-02-10T05:40:24Z</dcterms:modified>
</cp:coreProperties>
</file>