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11314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13145"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367665</wp:posOffset>
            </wp:positionV>
            <wp:extent cx="61131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1314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SECURITIES AND EXCHANGE COMMISSION</w:t>
      </w:r>
    </w:p>
    <w:p>
      <w:pPr>
        <w:spacing w:after="0" w:line="7"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Washington, D.C. 20549</w:t>
      </w:r>
    </w:p>
    <w:p>
      <w:pPr>
        <w:spacing w:after="0" w:line="109" w:lineRule="exact"/>
        <w:rPr>
          <w:sz w:val="24"/>
          <w:szCs w:val="24"/>
          <w:color w:val="auto"/>
        </w:rPr>
      </w:pPr>
    </w:p>
    <w:p>
      <w:pPr>
        <w:ind w:left="4426"/>
        <w:spacing w:after="0"/>
        <w:rPr>
          <w:sz w:val="20"/>
          <w:szCs w:val="20"/>
          <w:color w:val="auto"/>
        </w:rPr>
      </w:pPr>
      <w:r>
        <w:rPr>
          <w:rFonts w:ascii="Arial" w:cs="Arial" w:eastAsia="Arial" w:hAnsi="Arial"/>
          <w:sz w:val="14"/>
          <w:szCs w:val="14"/>
          <w:b w:val="1"/>
          <w:bCs w:val="1"/>
          <w:color w:val="auto"/>
        </w:rPr>
        <w:t>FORM 10-Q</w:t>
      </w:r>
    </w:p>
    <w:p>
      <w:pPr>
        <w:spacing w:after="0" w:line="127" w:lineRule="exact"/>
        <w:rPr>
          <w:sz w:val="24"/>
          <w:szCs w:val="24"/>
          <w:color w:val="auto"/>
        </w:rPr>
      </w:pPr>
    </w:p>
    <w:p>
      <w:pPr>
        <w:ind w:left="4446"/>
        <w:spacing w:after="0"/>
        <w:rPr>
          <w:sz w:val="20"/>
          <w:szCs w:val="20"/>
          <w:color w:val="auto"/>
        </w:rPr>
      </w:pPr>
      <w:r>
        <w:rPr>
          <w:rFonts w:ascii="Arial" w:cs="Arial" w:eastAsia="Arial" w:hAnsi="Arial"/>
          <w:sz w:val="14"/>
          <w:szCs w:val="14"/>
          <w:b w:val="1"/>
          <w:bCs w:val="1"/>
          <w:color w:val="auto"/>
        </w:rPr>
        <w:t>(Mark One)</w:t>
      </w:r>
    </w:p>
    <w:p>
      <w:pPr>
        <w:spacing w:after="0" w:line="115" w:lineRule="exact"/>
        <w:rPr>
          <w:sz w:val="24"/>
          <w:szCs w:val="24"/>
          <w:color w:val="auto"/>
        </w:rPr>
      </w:pPr>
    </w:p>
    <w:p>
      <w:pPr>
        <w:ind w:left="3246" w:right="2580" w:hanging="3246"/>
        <w:spacing w:after="0" w:line="450" w:lineRule="auto"/>
        <w:tabs>
          <w:tab w:leader="none" w:pos="161" w:val="left"/>
        </w:tabs>
        <w:numPr>
          <w:ilvl w:val="0"/>
          <w:numId w:val="1"/>
        </w:numPr>
        <w:rPr>
          <w:rFonts w:ascii="MS PGothic" w:cs="MS PGothic" w:eastAsia="MS PGothic" w:hAnsi="MS PGothic"/>
          <w:sz w:val="14"/>
          <w:szCs w:val="14"/>
          <w:b w:val="1"/>
          <w:bCs w:val="1"/>
          <w:color w:val="auto"/>
        </w:rPr>
      </w:pPr>
      <w:r>
        <w:rPr>
          <w:rFonts w:ascii="Arial" w:cs="Arial" w:eastAsia="Arial" w:hAnsi="Arial"/>
          <w:sz w:val="14"/>
          <w:szCs w:val="14"/>
          <w:b w:val="1"/>
          <w:bCs w:val="1"/>
          <w:color w:val="auto"/>
        </w:rPr>
        <w:t>QUARTERLY REPORT UNDER SECTION 13 OR 15(d) OF THE SECURITIES EXCHANGE ACT OF 1934 For the quarterly period ended March 31, 2023</w:t>
      </w:r>
    </w:p>
    <w:p>
      <w:pPr>
        <w:spacing w:after="0" w:line="20" w:lineRule="exact"/>
        <w:rPr>
          <w:sz w:val="24"/>
          <w:szCs w:val="24"/>
          <w:color w:val="auto"/>
        </w:rPr>
      </w:pPr>
    </w:p>
    <w:p>
      <w:pPr>
        <w:ind w:left="166" w:hanging="166"/>
        <w:spacing w:after="0"/>
        <w:tabs>
          <w:tab w:leader="none" w:pos="166" w:val="left"/>
        </w:tabs>
        <w:numPr>
          <w:ilvl w:val="0"/>
          <w:numId w:val="2"/>
        </w:numPr>
        <w:rPr>
          <w:rFonts w:ascii="MS PGothic" w:cs="MS PGothic" w:eastAsia="MS PGothic" w:hAnsi="MS PGothic"/>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1" w:lineRule="exact"/>
        <w:rPr>
          <w:sz w:val="24"/>
          <w:szCs w:val="24"/>
          <w:color w:val="auto"/>
        </w:rPr>
      </w:pPr>
    </w:p>
    <w:p>
      <w:pPr>
        <w:ind w:left="3046"/>
        <w:spacing w:after="0"/>
        <w:tabs>
          <w:tab w:leader="none" w:pos="5765"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51"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Commission File Number 001-41139</w:t>
      </w:r>
    </w:p>
    <w:p>
      <w:pPr>
        <w:spacing w:after="0" w:line="150"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BURTECH ACQUISITION CORP.</w:t>
      </w:r>
    </w:p>
    <w:p>
      <w:pPr>
        <w:spacing w:after="0" w:line="115" w:lineRule="exact"/>
        <w:rPr>
          <w:sz w:val="24"/>
          <w:szCs w:val="24"/>
          <w:color w:val="auto"/>
        </w:rPr>
      </w:pPr>
    </w:p>
    <w:p>
      <w:pPr>
        <w:jc w:val="center"/>
        <w:ind w:right="-25"/>
        <w:spacing w:after="0"/>
        <w:rPr>
          <w:sz w:val="20"/>
          <w:szCs w:val="20"/>
          <w:color w:val="auto"/>
        </w:rPr>
      </w:pPr>
      <w:r>
        <w:rPr>
          <w:rFonts w:ascii="Arial" w:cs="Arial" w:eastAsia="Arial" w:hAnsi="Arial"/>
          <w:sz w:val="14"/>
          <w:szCs w:val="14"/>
          <w:color w:val="auto"/>
        </w:rPr>
        <w:t>(Exact name of registrant as specified in its charter)</w:t>
      </w:r>
    </w:p>
    <w:p>
      <w:pPr>
        <w:spacing w:after="0" w:line="155" w:lineRule="exact"/>
        <w:rPr>
          <w:sz w:val="24"/>
          <w:szCs w:val="24"/>
          <w:color w:val="auto"/>
        </w:rPr>
      </w:pPr>
    </w:p>
    <w:tbl>
      <w:tblPr>
        <w:tblLayout w:type="fixed"/>
        <w:tblInd w:w="6" w:type="dxa"/>
        <w:tblCellMar>
          <w:top w:w="0" w:type="dxa"/>
          <w:left w:w="0" w:type="dxa"/>
          <w:bottom w:w="0" w:type="dxa"/>
          <w:right w:w="0" w:type="dxa"/>
        </w:tblCellMar>
      </w:tblPr>
      <w:tr>
        <w:trPr>
          <w:trHeight w:val="184"/>
        </w:trPr>
        <w:tc>
          <w:tcPr>
            <w:tcW w:w="3400" w:type="dxa"/>
            <w:vAlign w:val="bottom"/>
          </w:tcPr>
          <w:p>
            <w:pPr>
              <w:jc w:val="center"/>
              <w:ind w:left="1208"/>
              <w:spacing w:after="0"/>
              <w:rPr>
                <w:sz w:val="20"/>
                <w:szCs w:val="20"/>
                <w:color w:val="auto"/>
              </w:rPr>
            </w:pPr>
            <w:r>
              <w:rPr>
                <w:rFonts w:ascii="Arial" w:cs="Arial" w:eastAsia="Arial" w:hAnsi="Arial"/>
                <w:sz w:val="14"/>
                <w:szCs w:val="14"/>
                <w:b w:val="1"/>
                <w:bCs w:val="1"/>
                <w:color w:val="auto"/>
              </w:rPr>
              <w:t>Delaware</w:t>
            </w:r>
          </w:p>
        </w:tc>
        <w:tc>
          <w:tcPr>
            <w:tcW w:w="6220" w:type="dxa"/>
            <w:vAlign w:val="bottom"/>
            <w:gridSpan w:val="3"/>
          </w:tcPr>
          <w:p>
            <w:pPr>
              <w:jc w:val="center"/>
              <w:ind w:left="1428"/>
              <w:spacing w:after="0"/>
              <w:rPr>
                <w:sz w:val="20"/>
                <w:szCs w:val="20"/>
                <w:color w:val="auto"/>
              </w:rPr>
            </w:pPr>
            <w:r>
              <w:rPr>
                <w:rFonts w:ascii="Arial" w:cs="Arial" w:eastAsia="Arial" w:hAnsi="Arial"/>
                <w:sz w:val="14"/>
                <w:szCs w:val="14"/>
                <w:b w:val="1"/>
                <w:bCs w:val="1"/>
                <w:color w:val="auto"/>
              </w:rPr>
              <w:t>85-2708752</w:t>
            </w:r>
          </w:p>
        </w:tc>
      </w:tr>
      <w:tr>
        <w:trPr>
          <w:trHeight w:val="152"/>
        </w:trPr>
        <w:tc>
          <w:tcPr>
            <w:tcW w:w="3400" w:type="dxa"/>
            <w:vAlign w:val="bottom"/>
            <w:tcBorders>
              <w:top w:val="single" w:sz="8" w:color="auto"/>
            </w:tcBorders>
          </w:tcPr>
          <w:p>
            <w:pPr>
              <w:jc w:val="center"/>
              <w:ind w:left="1248"/>
              <w:spacing w:after="0" w:line="152" w:lineRule="exact"/>
              <w:rPr>
                <w:sz w:val="20"/>
                <w:szCs w:val="20"/>
                <w:color w:val="auto"/>
              </w:rPr>
            </w:pPr>
            <w:r>
              <w:rPr>
                <w:rFonts w:ascii="Arial" w:cs="Arial" w:eastAsia="Arial" w:hAnsi="Arial"/>
                <w:sz w:val="14"/>
                <w:szCs w:val="14"/>
                <w:color w:val="auto"/>
              </w:rPr>
              <w:t>(State or other jurisdiction of</w:t>
            </w:r>
          </w:p>
        </w:tc>
        <w:tc>
          <w:tcPr>
            <w:tcW w:w="1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7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4"/>
                <w:szCs w:val="14"/>
                <w:color w:val="auto"/>
              </w:rPr>
              <w:t>(IRS Employer</w:t>
            </w:r>
          </w:p>
        </w:tc>
      </w:tr>
      <w:tr>
        <w:trPr>
          <w:trHeight w:val="182"/>
        </w:trPr>
        <w:tc>
          <w:tcPr>
            <w:tcW w:w="3400" w:type="dxa"/>
            <w:vAlign w:val="bottom"/>
          </w:tcPr>
          <w:p>
            <w:pPr>
              <w:jc w:val="center"/>
              <w:ind w:left="1228"/>
              <w:spacing w:after="0"/>
              <w:rPr>
                <w:sz w:val="20"/>
                <w:szCs w:val="20"/>
                <w:color w:val="auto"/>
              </w:rPr>
            </w:pPr>
            <w:r>
              <w:rPr>
                <w:rFonts w:ascii="Arial" w:cs="Arial" w:eastAsia="Arial" w:hAnsi="Arial"/>
                <w:sz w:val="14"/>
                <w:szCs w:val="14"/>
                <w:color w:val="auto"/>
              </w:rPr>
              <w:t>incorporation or organization)</w:t>
            </w: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20" w:type="dxa"/>
            <w:vAlign w:val="bottom"/>
          </w:tcPr>
          <w:p>
            <w:pPr>
              <w:jc w:val="center"/>
              <w:spacing w:after="0"/>
              <w:rPr>
                <w:sz w:val="20"/>
                <w:szCs w:val="20"/>
                <w:color w:val="auto"/>
              </w:rPr>
            </w:pPr>
            <w:r>
              <w:rPr>
                <w:rFonts w:ascii="Arial" w:cs="Arial" w:eastAsia="Arial" w:hAnsi="Arial"/>
                <w:sz w:val="14"/>
                <w:szCs w:val="14"/>
                <w:color w:val="auto"/>
              </w:rPr>
              <w:t>Identification No.)</w:t>
            </w:r>
          </w:p>
        </w:tc>
      </w:tr>
      <w:tr>
        <w:trPr>
          <w:trHeight w:val="301"/>
        </w:trPr>
        <w:tc>
          <w:tcPr>
            <w:tcW w:w="3400" w:type="dxa"/>
            <w:vAlign w:val="bottom"/>
          </w:tcPr>
          <w:p>
            <w:pPr>
              <w:spacing w:after="0"/>
              <w:rPr>
                <w:sz w:val="24"/>
                <w:szCs w:val="24"/>
                <w:color w:val="auto"/>
              </w:rPr>
            </w:pPr>
          </w:p>
        </w:tc>
        <w:tc>
          <w:tcPr>
            <w:tcW w:w="6220" w:type="dxa"/>
            <w:vAlign w:val="bottom"/>
            <w:gridSpan w:val="3"/>
          </w:tcPr>
          <w:p>
            <w:pPr>
              <w:jc w:val="center"/>
              <w:ind w:right="3328"/>
              <w:spacing w:after="0"/>
              <w:rPr>
                <w:sz w:val="20"/>
                <w:szCs w:val="20"/>
                <w:color w:val="auto"/>
              </w:rPr>
            </w:pPr>
            <w:r>
              <w:rPr>
                <w:rFonts w:ascii="Arial" w:cs="Arial" w:eastAsia="Arial" w:hAnsi="Arial"/>
                <w:sz w:val="14"/>
                <w:szCs w:val="14"/>
                <w:b w:val="1"/>
                <w:bCs w:val="1"/>
                <w:color w:val="auto"/>
              </w:rPr>
              <w:t>1300 Pennsylvania Ave NW, Suite 700</w:t>
            </w:r>
          </w:p>
        </w:tc>
      </w:tr>
      <w:tr>
        <w:trPr>
          <w:trHeight w:val="235"/>
        </w:trPr>
        <w:tc>
          <w:tcPr>
            <w:tcW w:w="3400" w:type="dxa"/>
            <w:vAlign w:val="bottom"/>
          </w:tcPr>
          <w:p>
            <w:pPr>
              <w:spacing w:after="0"/>
              <w:rPr>
                <w:sz w:val="20"/>
                <w:szCs w:val="20"/>
                <w:color w:val="auto"/>
              </w:rPr>
            </w:pPr>
          </w:p>
        </w:tc>
        <w:tc>
          <w:tcPr>
            <w:tcW w:w="6220" w:type="dxa"/>
            <w:vAlign w:val="bottom"/>
            <w:gridSpan w:val="3"/>
          </w:tcPr>
          <w:p>
            <w:pPr>
              <w:jc w:val="center"/>
              <w:ind w:right="3348"/>
              <w:spacing w:after="0"/>
              <w:rPr>
                <w:sz w:val="20"/>
                <w:szCs w:val="20"/>
                <w:color w:val="auto"/>
              </w:rPr>
            </w:pPr>
            <w:r>
              <w:rPr>
                <w:rFonts w:ascii="Arial" w:cs="Arial" w:eastAsia="Arial" w:hAnsi="Arial"/>
                <w:sz w:val="14"/>
                <w:szCs w:val="14"/>
                <w:b w:val="1"/>
                <w:bCs w:val="1"/>
                <w:color w:val="auto"/>
              </w:rPr>
              <w:t xml:space="preserve">Washington, DC </w:t>
            </w:r>
            <w:r>
              <w:rPr>
                <w:rFonts w:ascii="Arial" w:cs="Arial" w:eastAsia="Arial" w:hAnsi="Arial"/>
                <w:sz w:val="18"/>
                <w:szCs w:val="18"/>
                <w:b w:val="1"/>
                <w:bCs w:val="1"/>
                <w:color w:val="auto"/>
              </w:rPr>
              <w:t>20004</w:t>
            </w:r>
          </w:p>
        </w:tc>
      </w:tr>
    </w:tbl>
    <w:p>
      <w:pPr>
        <w:ind w:left="3166"/>
        <w:spacing w:after="0"/>
        <w:rPr>
          <w:sz w:val="20"/>
          <w:szCs w:val="20"/>
          <w:color w:val="auto"/>
        </w:rPr>
      </w:pPr>
      <w:r>
        <w:rPr>
          <w:rFonts w:ascii="Arial" w:cs="Arial" w:eastAsia="Arial" w:hAnsi="Arial"/>
          <w:sz w:val="14"/>
          <w:szCs w:val="14"/>
          <w:color w:val="auto"/>
        </w:rPr>
        <w:t>(Address of principal executive offices and zip code)</w:t>
      </w:r>
    </w:p>
    <w:p>
      <w:pPr>
        <w:spacing w:after="0" w:line="145" w:lineRule="exact"/>
        <w:rPr>
          <w:sz w:val="24"/>
          <w:szCs w:val="24"/>
          <w:color w:val="auto"/>
        </w:rPr>
      </w:pPr>
    </w:p>
    <w:p>
      <w:pPr>
        <w:ind w:left="4326"/>
        <w:spacing w:after="0"/>
        <w:rPr>
          <w:sz w:val="20"/>
          <w:szCs w:val="20"/>
          <w:color w:val="auto"/>
        </w:rPr>
      </w:pPr>
      <w:r>
        <w:rPr>
          <w:rFonts w:ascii="Arial" w:cs="Arial" w:eastAsia="Arial" w:hAnsi="Arial"/>
          <w:sz w:val="14"/>
          <w:szCs w:val="14"/>
          <w:b w:val="1"/>
          <w:bCs w:val="1"/>
          <w:color w:val="auto"/>
        </w:rPr>
        <w:t>(202) 600-5757</w:t>
      </w:r>
    </w:p>
    <w:p>
      <w:pPr>
        <w:spacing w:after="0" w:line="25" w:lineRule="exact"/>
        <w:rPr>
          <w:sz w:val="24"/>
          <w:szCs w:val="24"/>
          <w:color w:val="auto"/>
        </w:rPr>
      </w:pPr>
    </w:p>
    <w:p>
      <w:pPr>
        <w:ind w:left="3126"/>
        <w:spacing w:after="0"/>
        <w:rPr>
          <w:sz w:val="20"/>
          <w:szCs w:val="20"/>
          <w:color w:val="auto"/>
        </w:rPr>
      </w:pPr>
      <w:r>
        <w:rPr>
          <w:rFonts w:ascii="Arial" w:cs="Arial" w:eastAsia="Arial" w:hAnsi="Arial"/>
          <w:sz w:val="14"/>
          <w:szCs w:val="14"/>
          <w:color w:val="auto"/>
        </w:rPr>
        <w:t>(Registrant’s telephone number, including area code)</w:t>
      </w:r>
    </w:p>
    <w:p>
      <w:pPr>
        <w:spacing w:after="0" w:line="97" w:lineRule="exact"/>
        <w:rPr>
          <w:sz w:val="24"/>
          <w:szCs w:val="24"/>
          <w:color w:val="auto"/>
        </w:rPr>
      </w:pPr>
    </w:p>
    <w:p>
      <w:pPr>
        <w:ind w:left="4686"/>
        <w:spacing w:after="0"/>
        <w:rPr>
          <w:sz w:val="20"/>
          <w:szCs w:val="20"/>
          <w:color w:val="auto"/>
        </w:rPr>
      </w:pPr>
      <w:r>
        <w:rPr>
          <w:rFonts w:ascii="Arial" w:cs="Arial" w:eastAsia="Arial" w:hAnsi="Arial"/>
          <w:sz w:val="14"/>
          <w:szCs w:val="14"/>
          <w:b w:val="1"/>
          <w:bCs w:val="1"/>
          <w:color w:val="auto"/>
        </w:rPr>
        <w:t>N/A</w:t>
      </w:r>
    </w:p>
    <w:p>
      <w:pPr>
        <w:spacing w:after="0" w:line="25" w:lineRule="exact"/>
        <w:rPr>
          <w:sz w:val="24"/>
          <w:szCs w:val="24"/>
          <w:color w:val="auto"/>
        </w:rPr>
      </w:pPr>
    </w:p>
    <w:p>
      <w:pPr>
        <w:jc w:val="center"/>
        <w:ind w:right="-25"/>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81" w:lineRule="exact"/>
        <w:rPr>
          <w:sz w:val="24"/>
          <w:szCs w:val="24"/>
          <w:color w:val="auto"/>
        </w:rPr>
      </w:pPr>
    </w:p>
    <w:tbl>
      <w:tblPr>
        <w:tblLayout w:type="fixed"/>
        <w:tblInd w:w="6" w:type="dxa"/>
        <w:tblCellMar>
          <w:top w:w="0" w:type="dxa"/>
          <w:left w:w="0" w:type="dxa"/>
          <w:bottom w:w="0" w:type="dxa"/>
          <w:right w:w="0" w:type="dxa"/>
        </w:tblCellMar>
      </w:tblPr>
      <w:tr>
        <w:trPr>
          <w:trHeight w:val="182"/>
        </w:trPr>
        <w:tc>
          <w:tcPr>
            <w:tcW w:w="36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58"/>
        </w:trPr>
        <w:tc>
          <w:tcPr>
            <w:tcW w:w="36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Title of each class</w:t>
            </w:r>
          </w:p>
        </w:tc>
        <w:tc>
          <w:tcPr>
            <w:tcW w:w="28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260" w:type="dxa"/>
            <w:vAlign w:val="bottom"/>
          </w:tcPr>
          <w:p>
            <w:pPr>
              <w:spacing w:after="0"/>
              <w:rPr>
                <w:sz w:val="22"/>
                <w:szCs w:val="22"/>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52"/>
        </w:trPr>
        <w:tc>
          <w:tcPr>
            <w:tcW w:w="3660" w:type="dxa"/>
            <w:vAlign w:val="bottom"/>
          </w:tcPr>
          <w:p>
            <w:pPr>
              <w:spacing w:after="0" w:line="152" w:lineRule="exact"/>
              <w:rPr>
                <w:sz w:val="20"/>
                <w:szCs w:val="20"/>
                <w:color w:val="auto"/>
              </w:rPr>
            </w:pPr>
            <w:r>
              <w:rPr>
                <w:rFonts w:ascii="Arial" w:cs="Arial" w:eastAsia="Arial" w:hAnsi="Arial"/>
                <w:sz w:val="14"/>
                <w:szCs w:val="14"/>
                <w:color w:val="auto"/>
              </w:rPr>
              <w:t>Units, each consisting of one share of Class A Common</w:t>
            </w:r>
          </w:p>
        </w:tc>
        <w:tc>
          <w:tcPr>
            <w:tcW w:w="280" w:type="dxa"/>
            <w:vAlign w:val="bottom"/>
          </w:tcPr>
          <w:p>
            <w:pPr>
              <w:spacing w:after="0"/>
              <w:rPr>
                <w:sz w:val="13"/>
                <w:szCs w:val="13"/>
                <w:color w:val="auto"/>
              </w:rPr>
            </w:pPr>
          </w:p>
        </w:tc>
        <w:tc>
          <w:tcPr>
            <w:tcW w:w="1860" w:type="dxa"/>
            <w:vAlign w:val="bottom"/>
          </w:tcPr>
          <w:p>
            <w:pPr>
              <w:jc w:val="center"/>
              <w:spacing w:after="0" w:line="152" w:lineRule="exact"/>
              <w:rPr>
                <w:sz w:val="20"/>
                <w:szCs w:val="20"/>
                <w:color w:val="auto"/>
              </w:rPr>
            </w:pPr>
            <w:r>
              <w:rPr>
                <w:rFonts w:ascii="Arial" w:cs="Arial" w:eastAsia="Arial" w:hAnsi="Arial"/>
                <w:sz w:val="14"/>
                <w:szCs w:val="14"/>
                <w:color w:val="auto"/>
              </w:rPr>
              <w:t>BRKHU</w:t>
            </w:r>
          </w:p>
        </w:tc>
        <w:tc>
          <w:tcPr>
            <w:tcW w:w="260" w:type="dxa"/>
            <w:vAlign w:val="bottom"/>
          </w:tcPr>
          <w:p>
            <w:pPr>
              <w:spacing w:after="0"/>
              <w:rPr>
                <w:sz w:val="13"/>
                <w:szCs w:val="13"/>
                <w:color w:val="auto"/>
              </w:rPr>
            </w:pPr>
          </w:p>
        </w:tc>
        <w:tc>
          <w:tcPr>
            <w:tcW w:w="3560" w:type="dxa"/>
            <w:vAlign w:val="bottom"/>
          </w:tcPr>
          <w:p>
            <w:pPr>
              <w:jc w:val="center"/>
              <w:spacing w:after="0" w:line="152" w:lineRule="exact"/>
              <w:rPr>
                <w:sz w:val="20"/>
                <w:szCs w:val="20"/>
                <w:color w:val="auto"/>
              </w:rPr>
            </w:pPr>
            <w:r>
              <w:rPr>
                <w:rFonts w:ascii="Arial" w:cs="Arial" w:eastAsia="Arial" w:hAnsi="Arial"/>
                <w:sz w:val="14"/>
                <w:szCs w:val="14"/>
                <w:color w:val="auto"/>
              </w:rPr>
              <w:t>The Nasdaq Stock Market LLC</w:t>
            </w:r>
          </w:p>
        </w:tc>
      </w:tr>
      <w:tr>
        <w:trPr>
          <w:trHeight w:val="168"/>
        </w:trPr>
        <w:tc>
          <w:tcPr>
            <w:tcW w:w="3660" w:type="dxa"/>
            <w:vAlign w:val="bottom"/>
          </w:tcPr>
          <w:p>
            <w:pPr>
              <w:spacing w:after="0"/>
              <w:rPr>
                <w:sz w:val="20"/>
                <w:szCs w:val="20"/>
                <w:color w:val="auto"/>
              </w:rPr>
            </w:pPr>
            <w:r>
              <w:rPr>
                <w:rFonts w:ascii="Arial" w:cs="Arial" w:eastAsia="Arial" w:hAnsi="Arial"/>
                <w:sz w:val="14"/>
                <w:szCs w:val="14"/>
                <w:color w:val="auto"/>
              </w:rPr>
              <w:t>Stock and one Redeemable Warrant to purchase one</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68"/>
        </w:trPr>
        <w:tc>
          <w:tcPr>
            <w:tcW w:w="3660" w:type="dxa"/>
            <w:vAlign w:val="bottom"/>
          </w:tcPr>
          <w:p>
            <w:pPr>
              <w:spacing w:after="0"/>
              <w:rPr>
                <w:sz w:val="20"/>
                <w:szCs w:val="20"/>
                <w:color w:val="auto"/>
              </w:rPr>
            </w:pPr>
            <w:r>
              <w:rPr>
                <w:rFonts w:ascii="Arial" w:cs="Arial" w:eastAsia="Arial" w:hAnsi="Arial"/>
                <w:sz w:val="14"/>
                <w:szCs w:val="14"/>
                <w:color w:val="auto"/>
              </w:rPr>
              <w:t>share of Class A common stock for $11.50 per share</w:t>
            </w: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68"/>
        </w:trPr>
        <w:tc>
          <w:tcPr>
            <w:tcW w:w="3660" w:type="dxa"/>
            <w:vAlign w:val="bottom"/>
          </w:tcPr>
          <w:p>
            <w:pPr>
              <w:spacing w:after="0"/>
              <w:rPr>
                <w:sz w:val="20"/>
                <w:szCs w:val="20"/>
                <w:color w:val="auto"/>
              </w:rPr>
            </w:pPr>
            <w:r>
              <w:rPr>
                <w:rFonts w:ascii="Arial" w:cs="Arial" w:eastAsia="Arial" w:hAnsi="Arial"/>
                <w:sz w:val="14"/>
                <w:szCs w:val="14"/>
                <w:color w:val="auto"/>
              </w:rPr>
              <w:t>Class A Common Stock, par value $0.0001 per share</w:t>
            </w:r>
          </w:p>
        </w:tc>
        <w:tc>
          <w:tcPr>
            <w:tcW w:w="2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rPr>
              <w:t>BRKH</w:t>
            </w:r>
          </w:p>
        </w:tc>
        <w:tc>
          <w:tcPr>
            <w:tcW w:w="26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168"/>
        </w:trPr>
        <w:tc>
          <w:tcPr>
            <w:tcW w:w="3660" w:type="dxa"/>
            <w:vAlign w:val="bottom"/>
          </w:tcPr>
          <w:p>
            <w:pPr>
              <w:spacing w:after="0"/>
              <w:rPr>
                <w:sz w:val="20"/>
                <w:szCs w:val="20"/>
                <w:color w:val="auto"/>
              </w:rPr>
            </w:pPr>
            <w:r>
              <w:rPr>
                <w:rFonts w:ascii="Arial" w:cs="Arial" w:eastAsia="Arial" w:hAnsi="Arial"/>
                <w:sz w:val="14"/>
                <w:szCs w:val="14"/>
                <w:color w:val="auto"/>
              </w:rPr>
              <w:t>Warrants, each exercisable for one share of Class A</w:t>
            </w:r>
          </w:p>
        </w:tc>
        <w:tc>
          <w:tcPr>
            <w:tcW w:w="2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color w:val="auto"/>
                <w:w w:val="99"/>
              </w:rPr>
              <w:t>BRKHW</w:t>
            </w:r>
          </w:p>
        </w:tc>
        <w:tc>
          <w:tcPr>
            <w:tcW w:w="260" w:type="dxa"/>
            <w:vAlign w:val="bottom"/>
          </w:tcPr>
          <w:p>
            <w:pPr>
              <w:spacing w:after="0"/>
              <w:rPr>
                <w:sz w:val="14"/>
                <w:szCs w:val="14"/>
                <w:color w:val="auto"/>
              </w:rPr>
            </w:pPr>
          </w:p>
        </w:tc>
        <w:tc>
          <w:tcPr>
            <w:tcW w:w="356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182"/>
        </w:trPr>
        <w:tc>
          <w:tcPr>
            <w:tcW w:w="3660" w:type="dxa"/>
            <w:vAlign w:val="bottom"/>
          </w:tcPr>
          <w:p>
            <w:pPr>
              <w:spacing w:after="0"/>
              <w:rPr>
                <w:sz w:val="20"/>
                <w:szCs w:val="20"/>
                <w:color w:val="auto"/>
              </w:rPr>
            </w:pPr>
            <w:r>
              <w:rPr>
                <w:rFonts w:ascii="Arial" w:cs="Arial" w:eastAsia="Arial" w:hAnsi="Arial"/>
                <w:sz w:val="14"/>
                <w:szCs w:val="14"/>
                <w:color w:val="auto"/>
              </w:rPr>
              <w:t>Common Stock for $11.50 per share</w:t>
            </w:r>
          </w:p>
        </w:tc>
        <w:tc>
          <w:tcPr>
            <w:tcW w:w="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60" w:type="dxa"/>
            <w:vAlign w:val="bottom"/>
          </w:tcPr>
          <w:p>
            <w:pPr>
              <w:spacing w:after="0"/>
              <w:rPr>
                <w:sz w:val="15"/>
                <w:szCs w:val="15"/>
                <w:color w:val="auto"/>
              </w:rPr>
            </w:pPr>
          </w:p>
        </w:tc>
      </w:tr>
    </w:tbl>
    <w:p>
      <w:pPr>
        <w:spacing w:after="0" w:line="94" w:lineRule="exact"/>
        <w:rPr>
          <w:sz w:val="24"/>
          <w:szCs w:val="24"/>
          <w:color w:val="auto"/>
        </w:rPr>
      </w:pPr>
    </w:p>
    <w:p>
      <w:pPr>
        <w:jc w:val="both"/>
        <w:ind w:left="6"/>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jc w:val="both"/>
        <w:ind w:left="6"/>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jc w:val="both"/>
        <w:ind w:left="6" w:right="4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40" w:orient="portrait"/>
          <w:cols w:equalWidth="0" w:num="1">
            <w:col w:w="9626"/>
          </w:cols>
          <w:pgMar w:left="1134" w:top="562" w:right="1140" w:bottom="1440" w:gutter="0" w:footer="0" w:header="0"/>
        </w:sectPr>
      </w:pPr>
    </w:p>
    <w:p>
      <w:pPr>
        <w:spacing w:after="0" w:line="42" w:lineRule="exact"/>
        <w:rPr>
          <w:sz w:val="24"/>
          <w:szCs w:val="24"/>
          <w:color w:val="auto"/>
        </w:rPr>
      </w:pPr>
    </w:p>
    <w:p>
      <w:pPr>
        <w:ind w:left="6"/>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52" w:lineRule="exact"/>
        <w:rPr>
          <w:sz w:val="24"/>
          <w:szCs w:val="24"/>
          <w:color w:val="auto"/>
        </w:rPr>
      </w:pPr>
    </w:p>
    <w:p>
      <w:pPr>
        <w:ind w:left="6"/>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40" w:orient="portrait"/>
          <w:cols w:equalWidth="0" w:num="2">
            <w:col w:w="3646" w:space="720"/>
            <w:col w:w="5260"/>
          </w:cols>
          <w:pgMar w:left="1134" w:top="562" w:right="1140" w:bottom="1440" w:gutter="0" w:footer="0" w:header="0"/>
          <w:type w:val="continuous"/>
        </w:sectPr>
      </w:pPr>
    </w:p>
    <w:p>
      <w:pPr>
        <w:ind w:left="6" w:right="2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5" w:lineRule="exact"/>
        <w:rPr>
          <w:sz w:val="24"/>
          <w:szCs w:val="24"/>
          <w:color w:val="auto"/>
        </w:rPr>
      </w:pPr>
    </w:p>
    <w:p>
      <w:pPr>
        <w:ind w:left="6"/>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12b-2 of the Exchange Act).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ind w:left="6" w:right="20"/>
        <w:spacing w:after="0" w:line="282" w:lineRule="auto"/>
        <w:rPr>
          <w:sz w:val="20"/>
          <w:szCs w:val="20"/>
          <w:color w:val="auto"/>
        </w:rPr>
      </w:pPr>
      <w:r>
        <w:rPr>
          <w:rFonts w:ascii="Arial" w:cs="Arial" w:eastAsia="Arial" w:hAnsi="Arial"/>
          <w:sz w:val="14"/>
          <w:szCs w:val="14"/>
          <w:color w:val="auto"/>
        </w:rPr>
        <w:t>As of June 1, 2023, there were 7,960,203 shares of Class A common stock, par value $0.0001 per share, and 9,487,500 shares of Class B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420370</wp:posOffset>
            </wp:positionV>
            <wp:extent cx="610552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0552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61131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31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6113145"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13145" cy="30480"/>
                    </a:xfrm>
                    <a:prstGeom prst="rect">
                      <a:avLst/>
                    </a:prstGeom>
                    <a:noFill/>
                  </pic:spPr>
                </pic:pic>
              </a:graphicData>
            </a:graphic>
          </wp:anchor>
        </w:drawing>
      </w:r>
    </w:p>
    <w:p>
      <w:pPr>
        <w:sectPr>
          <w:pgSz w:w="11900" w:h="16840" w:orient="portrait"/>
          <w:cols w:equalWidth="0" w:num="1">
            <w:col w:w="9626"/>
          </w:cols>
          <w:pgMar w:left="1134" w:top="562" w:right="11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8440" w:type="dxa"/>
            <w:vAlign w:val="bottom"/>
            <w:gridSpan w:val="2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9"/>
        </w:trPr>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40" w:type="dxa"/>
            <w:vAlign w:val="bottom"/>
            <w:gridSpan w:val="10"/>
          </w:tcPr>
          <w:p>
            <w:pPr>
              <w:jc w:val="center"/>
              <w:ind w:right="2520"/>
              <w:spacing w:after="0"/>
              <w:rPr>
                <w:sz w:val="20"/>
                <w:szCs w:val="20"/>
                <w:color w:val="auto"/>
              </w:rPr>
            </w:pPr>
            <w:r>
              <w:rPr>
                <w:rFonts w:ascii="Arial" w:cs="Arial" w:eastAsia="Arial" w:hAnsi="Arial"/>
                <w:sz w:val="16"/>
                <w:szCs w:val="16"/>
                <w:b w:val="1"/>
                <w:bCs w:val="1"/>
                <w:color w:val="auto"/>
                <w:w w:val="97"/>
              </w:rPr>
              <w:t>BURTECH ACQUISITION CORP.</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gridSpan w:val="10"/>
          </w:tcPr>
          <w:p>
            <w:pPr>
              <w:jc w:val="center"/>
              <w:ind w:right="2520"/>
              <w:spacing w:after="0"/>
              <w:rPr>
                <w:sz w:val="20"/>
                <w:szCs w:val="20"/>
                <w:color w:val="auto"/>
              </w:rPr>
            </w:pPr>
            <w:r>
              <w:rPr>
                <w:rFonts w:ascii="Arial" w:cs="Arial" w:eastAsia="Arial" w:hAnsi="Arial"/>
                <w:sz w:val="16"/>
                <w:szCs w:val="16"/>
                <w:b w:val="1"/>
                <w:bCs w:val="1"/>
                <w:color w:val="auto"/>
                <w:w w:val="97"/>
              </w:rPr>
              <w:t>TABLE OF CONTENTS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2"/>
        </w:trPr>
        <w:tc>
          <w:tcPr>
            <w:tcW w:w="8440" w:type="dxa"/>
            <w:vAlign w:val="bottom"/>
            <w:gridSpan w:val="23"/>
            <w:shd w:val="clear" w:color="auto" w:fill="CCEEFF"/>
          </w:tcPr>
          <w:p>
            <w:pPr>
              <w:spacing w:after="0" w:line="136" w:lineRule="exact"/>
              <w:rPr>
                <w:rFonts w:ascii="Arial" w:cs="Arial" w:eastAsia="Arial" w:hAnsi="Arial"/>
                <w:sz w:val="14"/>
                <w:szCs w:val="14"/>
                <w:b w:val="1"/>
                <w:bCs w:val="1"/>
                <w:color w:val="0000EE"/>
              </w:rPr>
            </w:pPr>
            <w:hyperlink w:anchor="page1">
              <w:r>
                <w:rPr>
                  <w:rFonts w:ascii="Arial" w:cs="Arial" w:eastAsia="Arial" w:hAnsi="Arial"/>
                  <w:sz w:val="14"/>
                  <w:szCs w:val="14"/>
                  <w:b w:val="1"/>
                  <w:bCs w:val="1"/>
                  <w:color w:val="0000EE"/>
                </w:rPr>
                <w:t>PART 1 – FINANCIAL INFORMATION</w:t>
              </w:r>
            </w:hyperlink>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gridSpan w:val="3"/>
            <w:shd w:val="clear" w:color="auto" w:fill="CCEEFF"/>
          </w:tcPr>
          <w:p>
            <w:pPr>
              <w:spacing w:after="0" w:line="180" w:lineRule="exact"/>
              <w:rPr>
                <w:sz w:val="20"/>
                <w:szCs w:val="20"/>
                <w:color w:val="auto"/>
              </w:rPr>
            </w:pPr>
            <w:r>
              <w:rPr>
                <w:rFonts w:ascii="Arial" w:cs="Arial" w:eastAsia="Arial" w:hAnsi="Arial"/>
                <w:sz w:val="16"/>
                <w:szCs w:val="16"/>
                <w:color w:val="auto"/>
              </w:rPr>
              <w:t>Item 1.</w:t>
            </w:r>
          </w:p>
        </w:tc>
        <w:tc>
          <w:tcPr>
            <w:tcW w:w="7420" w:type="dxa"/>
            <w:vAlign w:val="bottom"/>
            <w:gridSpan w:val="20"/>
            <w:shd w:val="clear" w:color="auto" w:fill="CCEEFF"/>
          </w:tcPr>
          <w:p>
            <w:pPr>
              <w:spacing w:after="0" w:line="180" w:lineRule="exact"/>
              <w:rPr>
                <w:sz w:val="20"/>
                <w:szCs w:val="20"/>
                <w:color w:val="auto"/>
              </w:rPr>
            </w:pPr>
            <w:r>
              <w:rPr>
                <w:rFonts w:ascii="Arial" w:cs="Arial" w:eastAsia="Arial" w:hAnsi="Arial"/>
                <w:sz w:val="16"/>
                <w:szCs w:val="16"/>
                <w:color w:val="auto"/>
              </w:rPr>
              <w:t>FINANCIAL STATEMENTS</w:t>
            </w: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Condensed Balance Sheets as of March 31, 2023 (Unaudited) and December 31, 2022</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0"/>
        </w:trPr>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 xml:space="preserve">Condensed </w:t>
              </w:r>
              <w:r>
                <w:rPr>
                  <w:rFonts w:ascii="Arial" w:cs="Arial" w:eastAsia="Arial" w:hAnsi="Arial"/>
                  <w:sz w:val="14"/>
                  <w:szCs w:val="14"/>
                  <w:color w:val="0000EE"/>
                </w:rPr>
                <w:t>Statements of Operations for the three months ended March 31, 2023 and 2022 (Unaudited</w:t>
              </w:r>
            </w:hyperlink>
            <w:r>
              <w:rPr>
                <w:rFonts w:ascii="Arial" w:cs="Arial" w:eastAsia="Arial" w:hAnsi="Arial"/>
                <w:sz w:val="16"/>
                <w:szCs w:val="16"/>
                <w:color w:val="0000EE"/>
              </w:rPr>
              <w:t>)</w:t>
            </w:r>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0"/>
        </w:trPr>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 xml:space="preserve">Condensed </w:t>
              </w:r>
              <w:r>
                <w:rPr>
                  <w:rFonts w:ascii="Arial" w:cs="Arial" w:eastAsia="Arial" w:hAnsi="Arial"/>
                  <w:sz w:val="14"/>
                  <w:szCs w:val="14"/>
                  <w:color w:val="0000EE"/>
                </w:rPr>
                <w:t>Statements of Changes in Stockholders’ Deficit for the three months ended March 31, 2023 and 2022</w:t>
              </w:r>
            </w:hyperlink>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52"/>
        </w:trPr>
        <w:tc>
          <w:tcPr>
            <w:tcW w:w="4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0000EE"/>
              <w:bottom w:val="single" w:sz="8" w:color="CCEEFF"/>
            </w:tcBorders>
            <w:shd w:val="clear" w:color="auto" w:fill="CCEEFF"/>
          </w:tcPr>
          <w:p>
            <w:pPr>
              <w:spacing w:after="0"/>
              <w:rPr>
                <w:sz w:val="13"/>
                <w:szCs w:val="13"/>
                <w:color w:val="auto"/>
              </w:rPr>
            </w:pPr>
          </w:p>
        </w:tc>
        <w:tc>
          <w:tcPr>
            <w:tcW w:w="760" w:type="dxa"/>
            <w:vAlign w:val="bottom"/>
            <w:tcBorders>
              <w:top w:val="single" w:sz="8" w:color="0000EE"/>
              <w:bottom w:val="single" w:sz="8" w:color="0000EE"/>
            </w:tcBorders>
            <w:gridSpan w:val="2"/>
            <w:shd w:val="clear" w:color="auto" w:fill="CCEEFF"/>
          </w:tcPr>
          <w:p>
            <w:pPr>
              <w:spacing w:after="0" w:line="148" w:lineRule="exact"/>
              <w:rPr>
                <w:rFonts w:ascii="Arial" w:cs="Arial" w:eastAsia="Arial" w:hAnsi="Arial"/>
                <w:sz w:val="14"/>
                <w:szCs w:val="14"/>
                <w:color w:val="0000EE"/>
              </w:rPr>
            </w:pPr>
            <w:hyperlink w:anchor="page1">
              <w:r>
                <w:rPr>
                  <w:rFonts w:ascii="Arial" w:cs="Arial" w:eastAsia="Arial" w:hAnsi="Arial"/>
                  <w:sz w:val="14"/>
                  <w:szCs w:val="14"/>
                  <w:color w:val="0000EE"/>
                </w:rPr>
                <w:t>(Unaudited)</w:t>
              </w:r>
            </w:hyperlink>
          </w:p>
        </w:tc>
        <w:tc>
          <w:tcPr>
            <w:tcW w:w="6300" w:type="dxa"/>
            <w:vAlign w:val="bottom"/>
            <w:tcBorders>
              <w:top w:val="single" w:sz="8" w:color="0000EE"/>
              <w:bottom w:val="single" w:sz="8" w:color="CCEEFF"/>
            </w:tcBorders>
            <w:gridSpan w:val="16"/>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 xml:space="preserve">Condensed </w:t>
              </w:r>
              <w:r>
                <w:rPr>
                  <w:rFonts w:ascii="Arial" w:cs="Arial" w:eastAsia="Arial" w:hAnsi="Arial"/>
                  <w:sz w:val="14"/>
                  <w:szCs w:val="14"/>
                  <w:color w:val="0000EE"/>
                </w:rPr>
                <w:t>Statements of Cash Flows for the three months ended March 31, 2023 and 2022 (Unaudited</w:t>
              </w:r>
            </w:hyperlink>
            <w:r>
              <w:rPr>
                <w:rFonts w:ascii="Arial" w:cs="Arial" w:eastAsia="Arial" w:hAnsi="Arial"/>
                <w:sz w:val="16"/>
                <w:szCs w:val="16"/>
                <w:color w:val="0000EE"/>
              </w:rPr>
              <w:t>)</w:t>
            </w:r>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0"/>
        </w:trPr>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Notes to Condensed Financial Statements (Unaudited)</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0"/>
        </w:trPr>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0" w:type="dxa"/>
            <w:vAlign w:val="bottom"/>
            <w:tcBorders>
              <w:bottom w:val="single" w:sz="8" w:color="0000EE"/>
            </w:tcBorders>
            <w:shd w:val="clear" w:color="auto" w:fill="CCEEFF"/>
          </w:tcPr>
          <w:p>
            <w:pPr>
              <w:spacing w:after="0" w:line="156" w:lineRule="exact"/>
              <w:rPr>
                <w:rFonts w:ascii="Arial" w:cs="Arial" w:eastAsia="Arial" w:hAnsi="Arial"/>
                <w:sz w:val="16"/>
                <w:szCs w:val="16"/>
                <w:color w:val="0000EE"/>
                <w:w w:val="93"/>
              </w:rPr>
            </w:pPr>
            <w:hyperlink w:anchor="page1">
              <w:r>
                <w:rPr>
                  <w:rFonts w:ascii="Arial" w:cs="Arial" w:eastAsia="Arial" w:hAnsi="Arial"/>
                  <w:sz w:val="16"/>
                  <w:szCs w:val="16"/>
                  <w:color w:val="0000EE"/>
                  <w:w w:val="93"/>
                </w:rPr>
                <w:t>Item 2.</w:t>
              </w:r>
            </w:hyperlink>
          </w:p>
        </w:tc>
        <w:tc>
          <w:tcPr>
            <w:tcW w:w="540" w:type="dxa"/>
            <w:vAlign w:val="bottom"/>
            <w:tcBorders>
              <w:bottom w:val="single" w:sz="8" w:color="CCEEFF"/>
            </w:tcBorders>
            <w:gridSpan w:val="2"/>
            <w:shd w:val="clear" w:color="auto" w:fill="CCEEFF"/>
          </w:tcPr>
          <w:p>
            <w:pPr>
              <w:spacing w:after="0"/>
              <w:rPr>
                <w:sz w:val="13"/>
                <w:szCs w:val="13"/>
                <w:color w:val="auto"/>
              </w:rPr>
            </w:pPr>
          </w:p>
        </w:tc>
        <w:tc>
          <w:tcPr>
            <w:tcW w:w="6880" w:type="dxa"/>
            <w:vAlign w:val="bottom"/>
            <w:tcBorders>
              <w:bottom w:val="single" w:sz="8" w:color="0000EE"/>
            </w:tcBorders>
            <w:gridSpan w:val="18"/>
            <w:shd w:val="clear" w:color="auto" w:fill="CCEEFF"/>
          </w:tcPr>
          <w:p>
            <w:pPr>
              <w:spacing w:after="0" w:line="156"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MANAGEMENT’S DISCUSSION AND ANALYSIS OF FINANCIAL CONDITION AND RESULTS OF</w:t>
              </w:r>
            </w:hyperlink>
          </w:p>
        </w:tc>
        <w:tc>
          <w:tcPr>
            <w:tcW w:w="540" w:type="dxa"/>
            <w:vAlign w:val="bottom"/>
            <w:tcBorders>
              <w:bottom w:val="single" w:sz="8" w:color="CCEEFF"/>
            </w:tcBorders>
            <w:gridSpan w:val="2"/>
            <w:shd w:val="clear" w:color="auto" w:fill="CCEEFF"/>
          </w:tcPr>
          <w:p>
            <w:pPr>
              <w:spacing w:after="0"/>
              <w:rPr>
                <w:sz w:val="13"/>
                <w:szCs w:val="13"/>
                <w:color w:val="auto"/>
              </w:rPr>
            </w:pPr>
          </w:p>
        </w:tc>
        <w:tc>
          <w:tcPr>
            <w:tcW w:w="90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4"/>
        </w:trPr>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20" w:type="dxa"/>
            <w:vAlign w:val="bottom"/>
            <w:gridSpan w:val="20"/>
            <w:shd w:val="clear" w:color="auto" w:fill="CCEEFF"/>
          </w:tcPr>
          <w:p>
            <w:pPr>
              <w:spacing w:after="0" w:line="160" w:lineRule="exact"/>
              <w:rPr>
                <w:rFonts w:ascii="Arial" w:cs="Arial" w:eastAsia="Arial" w:hAnsi="Arial"/>
                <w:sz w:val="16"/>
                <w:szCs w:val="16"/>
                <w:color w:val="0000EE"/>
              </w:rPr>
            </w:pPr>
            <w:hyperlink w:anchor="page1">
              <w:r>
                <w:rPr>
                  <w:rFonts w:ascii="Arial" w:cs="Arial" w:eastAsia="Arial" w:hAnsi="Arial"/>
                  <w:sz w:val="16"/>
                  <w:szCs w:val="16"/>
                  <w:color w:val="0000EE"/>
                </w:rPr>
                <w:t>OPERATIONS</w:t>
              </w:r>
            </w:hyperlink>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3.</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QUANTITATIVE AND QUALITATIVE DISCLOSURES ABOUT MARKET RISK</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4.</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CONTROLS AND PROCEDURES</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440" w:type="dxa"/>
            <w:vAlign w:val="bottom"/>
            <w:gridSpan w:val="23"/>
            <w:shd w:val="clear" w:color="auto" w:fill="CCEEFF"/>
          </w:tcPr>
          <w:p>
            <w:pPr>
              <w:spacing w:after="0" w:line="156" w:lineRule="exact"/>
              <w:rPr>
                <w:rFonts w:ascii="Arial" w:cs="Arial" w:eastAsia="Arial" w:hAnsi="Arial"/>
                <w:sz w:val="16"/>
                <w:szCs w:val="16"/>
                <w:b w:val="1"/>
                <w:bCs w:val="1"/>
                <w:color w:val="0000EE"/>
              </w:rPr>
            </w:pPr>
            <w:hyperlink w:anchor="page1">
              <w:r>
                <w:rPr>
                  <w:rFonts w:ascii="Arial" w:cs="Arial" w:eastAsia="Arial" w:hAnsi="Arial"/>
                  <w:sz w:val="16"/>
                  <w:szCs w:val="16"/>
                  <w:b w:val="1"/>
                  <w:bCs w:val="1"/>
                  <w:color w:val="0000EE"/>
                </w:rPr>
                <w:t>PART II – OTHER INFORMATION</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1.</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LEGAL PROCEEDINGS</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1A.</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RISK FACTORS</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2.</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UNREGISTERED SALES OF EQUITY SECURITIES AND USE OF PROCEEDS</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16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3.</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DEFAULTS UPON SENIOR SECURITIES</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4.</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MINE SAFETY DISCLOSURES</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5.</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OTHER INFORMATION</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700" w:type="dxa"/>
            <w:vAlign w:val="bottom"/>
            <w:tcBorders>
              <w:top w:val="single" w:sz="8" w:color="0000EE"/>
            </w:tcBorders>
            <w:gridSpan w:val="2"/>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gridSpan w:val="3"/>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Item 6.</w:t>
              </w:r>
            </w:hyperlink>
          </w:p>
        </w:tc>
        <w:tc>
          <w:tcPr>
            <w:tcW w:w="7420" w:type="dxa"/>
            <w:vAlign w:val="bottom"/>
            <w:gridSpan w:val="20"/>
            <w:shd w:val="clear" w:color="auto" w:fill="CCEEFF"/>
          </w:tcPr>
          <w:p>
            <w:pPr>
              <w:spacing w:after="0" w:line="156" w:lineRule="exact"/>
              <w:rPr>
                <w:rFonts w:ascii="Arial" w:cs="Arial" w:eastAsia="Arial" w:hAnsi="Arial"/>
                <w:sz w:val="16"/>
                <w:szCs w:val="16"/>
                <w:color w:val="0000EE"/>
              </w:rPr>
            </w:pPr>
            <w:hyperlink w:anchor="page1">
              <w:r>
                <w:rPr>
                  <w:rFonts w:ascii="Arial" w:cs="Arial" w:eastAsia="Arial" w:hAnsi="Arial"/>
                  <w:sz w:val="16"/>
                  <w:szCs w:val="16"/>
                  <w:color w:val="0000EE"/>
                </w:rPr>
                <w:t>EXHIBITS</w:t>
              </w:r>
            </w:hyperlink>
          </w:p>
        </w:tc>
        <w:tc>
          <w:tcPr>
            <w:tcW w:w="900" w:type="dxa"/>
            <w:vAlign w:val="bottom"/>
            <w:shd w:val="clear" w:color="auto" w:fill="CCEEFF"/>
          </w:tcPr>
          <w:p>
            <w:pPr>
              <w:jc w:val="center"/>
              <w:spacing w:after="0" w:line="15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0"/>
        </w:trPr>
        <w:tc>
          <w:tcPr>
            <w:tcW w:w="48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020" w:type="dxa"/>
            <w:vAlign w:val="bottom"/>
            <w:tcBorders>
              <w:bottom w:val="single" w:sz="8" w:color="0000EE"/>
            </w:tcBorders>
            <w:gridSpan w:val="3"/>
            <w:shd w:val="clear" w:color="auto" w:fill="CCEEFF"/>
          </w:tcPr>
          <w:p>
            <w:pPr>
              <w:spacing w:after="0" w:line="156" w:lineRule="exact"/>
              <w:rPr>
                <w:rFonts w:ascii="Arial" w:cs="Arial" w:eastAsia="Arial" w:hAnsi="Arial"/>
                <w:sz w:val="16"/>
                <w:szCs w:val="16"/>
                <w:b w:val="1"/>
                <w:bCs w:val="1"/>
                <w:color w:val="0000EE"/>
                <w:w w:val="95"/>
              </w:rPr>
            </w:pPr>
            <w:hyperlink w:anchor="page1">
              <w:r>
                <w:rPr>
                  <w:rFonts w:ascii="Arial" w:cs="Arial" w:eastAsia="Arial" w:hAnsi="Arial"/>
                  <w:sz w:val="16"/>
                  <w:szCs w:val="16"/>
                  <w:b w:val="1"/>
                  <w:bCs w:val="1"/>
                  <w:color w:val="0000EE"/>
                  <w:w w:val="95"/>
                </w:rPr>
                <w:t>SIGNATURES</w:t>
              </w:r>
            </w:hyperlink>
          </w:p>
        </w:tc>
        <w:tc>
          <w:tcPr>
            <w:tcW w:w="2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42" w:right="128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1 - FINANCIAL INFORMATION</w:t>
      </w:r>
    </w:p>
    <w:p>
      <w:pPr>
        <w:spacing w:after="0" w:line="17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BURTECH ACQUISITION CORP.</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CONDENSED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w w:val="99"/>
              </w:rPr>
              <w:t>March 31, 2023</w:t>
            </w:r>
          </w:p>
        </w:tc>
        <w:tc>
          <w:tcPr>
            <w:tcW w:w="200" w:type="dxa"/>
            <w:vAlign w:val="bottom"/>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December 31, 2022</w:t>
            </w:r>
          </w:p>
        </w:tc>
      </w:tr>
      <w:tr>
        <w:trPr>
          <w:trHeight w:val="148"/>
        </w:trPr>
        <w:tc>
          <w:tcPr>
            <w:tcW w:w="6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123"/>
              <w:spacing w:after="0" w:line="148" w:lineRule="exact"/>
              <w:rPr>
                <w:sz w:val="20"/>
                <w:szCs w:val="20"/>
                <w:color w:val="auto"/>
              </w:rPr>
            </w:pPr>
            <w:r>
              <w:rPr>
                <w:rFonts w:ascii="Arial" w:cs="Arial" w:eastAsia="Arial" w:hAnsi="Arial"/>
                <w:sz w:val="13"/>
                <w:szCs w:val="13"/>
                <w:color w:val="auto"/>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Cash and Cash Equivalents</w:t>
            </w:r>
          </w:p>
        </w:tc>
        <w:tc>
          <w:tcPr>
            <w:tcW w:w="2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1,172,371</w:t>
            </w:r>
          </w:p>
        </w:tc>
        <w:tc>
          <w:tcPr>
            <w:tcW w:w="400" w:type="dxa"/>
            <w:vAlign w:val="bottom"/>
            <w:gridSpan w:val="2"/>
            <w:shd w:val="clear" w:color="auto" w:fill="CCEEFF"/>
          </w:tcPr>
          <w:p>
            <w:pPr>
              <w:ind w:left="20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22,232</w:t>
            </w:r>
          </w:p>
        </w:tc>
      </w:tr>
      <w:tr>
        <w:trPr>
          <w:trHeight w:val="180"/>
        </w:trPr>
        <w:tc>
          <w:tcPr>
            <w:tcW w:w="668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203,910</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186,532</w:t>
            </w:r>
          </w:p>
        </w:tc>
      </w:tr>
      <w:tr>
        <w:trPr>
          <w:trHeight w:val="172"/>
        </w:trPr>
        <w:tc>
          <w:tcPr>
            <w:tcW w:w="6680" w:type="dxa"/>
            <w:vAlign w:val="bottom"/>
            <w:shd w:val="clear" w:color="auto" w:fill="CCEEFF"/>
          </w:tcPr>
          <w:p>
            <w:pPr>
              <w:ind w:left="100"/>
              <w:spacing w:after="0" w:line="172"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1,376,281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208,764</w:t>
            </w:r>
          </w:p>
        </w:tc>
      </w:tr>
      <w:tr>
        <w:trPr>
          <w:trHeight w:val="180"/>
        </w:trPr>
        <w:tc>
          <w:tcPr>
            <w:tcW w:w="668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Investments held in Trust Account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69,431,940</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295,802,694</w:t>
            </w:r>
          </w:p>
        </w:tc>
      </w:tr>
      <w:tr>
        <w:trPr>
          <w:trHeight w:val="172"/>
        </w:trPr>
        <w:tc>
          <w:tcPr>
            <w:tcW w:w="668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70,808,221</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296,011,458</w:t>
            </w: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6"/>
        </w:trPr>
        <w:tc>
          <w:tcPr>
            <w:tcW w:w="6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Liabilities and Stockholders’ Deficit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Accrued offering costs and expenses</w:t>
            </w:r>
          </w:p>
        </w:tc>
        <w:tc>
          <w:tcPr>
            <w:tcW w:w="2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747,856</w:t>
            </w:r>
          </w:p>
        </w:tc>
        <w:tc>
          <w:tcPr>
            <w:tcW w:w="400" w:type="dxa"/>
            <w:vAlign w:val="bottom"/>
            <w:gridSpan w:val="2"/>
            <w:shd w:val="clear" w:color="auto" w:fill="CCEEFF"/>
          </w:tcPr>
          <w:p>
            <w:pPr>
              <w:ind w:left="20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304,952</w:t>
            </w: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color w:val="auto"/>
              </w:rPr>
              <w:t>Franchise tax payable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50,000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200,000</w:t>
            </w: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Promissory note - related party</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99,975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color w:val="auto"/>
              </w:rPr>
              <w:t>Income tax payable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1,396,886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791,758</w:t>
            </w: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Excise Tax Payable</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2,277,760</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r>
      <w:tr>
        <w:trPr>
          <w:trHeight w:val="172"/>
        </w:trPr>
        <w:tc>
          <w:tcPr>
            <w:tcW w:w="6680" w:type="dxa"/>
            <w:vAlign w:val="bottom"/>
          </w:tcPr>
          <w:p>
            <w:pPr>
              <w:ind w:left="100"/>
              <w:spacing w:after="0" w:line="172" w:lineRule="exact"/>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4,572,477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6"/>
                <w:szCs w:val="16"/>
                <w:color w:val="auto"/>
              </w:rPr>
              <w:t>1,296,710</w:t>
            </w: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Deferred underwriting commissions</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10,062,500</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10,062,500</w:t>
            </w:r>
          </w:p>
        </w:tc>
      </w:tr>
      <w:tr>
        <w:trPr>
          <w:trHeight w:val="172"/>
        </w:trPr>
        <w:tc>
          <w:tcPr>
            <w:tcW w:w="668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14,634,977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11,359,210</w:t>
            </w:r>
          </w:p>
        </w:tc>
      </w:tr>
      <w:tr>
        <w:trPr>
          <w:trHeight w:val="172"/>
        </w:trPr>
        <w:tc>
          <w:tcPr>
            <w:tcW w:w="6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b w:val="1"/>
                <w:bCs w:val="1"/>
                <w:color w:val="auto"/>
              </w:rPr>
              <w:t>Commitments and Contingencies (Note 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3"/>
        </w:trPr>
        <w:tc>
          <w:tcPr>
            <w:tcW w:w="66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Class A common stock subject to possible redemption, 6,630,703 and 28,750,000 shares at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668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redemption value of $10.45 and $10.25 as of March 31, 2023 and December 31, 2022,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7"/>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69,297,212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294,796,918</w:t>
            </w: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b w:val="1"/>
                <w:bCs w:val="1"/>
                <w:color w:val="auto"/>
              </w:rPr>
              <w:t>Stockholders’ 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w w:val="99"/>
              </w:rPr>
              <w:t>Preferred stock, $0.0001 par value; 1,000,000 shares authorized; none issued and outstanding</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w:t>
            </w:r>
          </w:p>
        </w:tc>
      </w:tr>
      <w:tr>
        <w:trPr>
          <w:trHeight w:val="173"/>
        </w:trPr>
        <w:tc>
          <w:tcPr>
            <w:tcW w:w="6680" w:type="dxa"/>
            <w:vAlign w:val="bottom"/>
          </w:tcPr>
          <w:p>
            <w:pPr>
              <w:spacing w:after="0" w:line="173" w:lineRule="exact"/>
              <w:rPr>
                <w:sz w:val="20"/>
                <w:szCs w:val="20"/>
                <w:color w:val="auto"/>
              </w:rPr>
            </w:pPr>
            <w:r>
              <w:rPr>
                <w:rFonts w:ascii="Arial" w:cs="Arial" w:eastAsia="Arial" w:hAnsi="Arial"/>
                <w:sz w:val="16"/>
                <w:szCs w:val="16"/>
                <w:color w:val="auto"/>
              </w:rPr>
              <w:t>Class A common stock, $0.0001 par value; 280,000,000 shares authorized; 1,329,500 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6680" w:type="dxa"/>
            <w:vAlign w:val="bottom"/>
          </w:tcPr>
          <w:p>
            <w:pPr>
              <w:ind w:left="100"/>
              <w:spacing w:after="0" w:line="180" w:lineRule="exact"/>
              <w:rPr>
                <w:sz w:val="20"/>
                <w:szCs w:val="20"/>
                <w:color w:val="auto"/>
              </w:rPr>
            </w:pPr>
            <w:r>
              <w:rPr>
                <w:rFonts w:ascii="Arial" w:cs="Arial" w:eastAsia="Arial" w:hAnsi="Arial"/>
                <w:sz w:val="16"/>
                <w:szCs w:val="16"/>
                <w:color w:val="auto"/>
              </w:rPr>
              <w:t>issued and outstanding (excluding 6,630,703 and 28,750,000 shares subject to possible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7"/>
        </w:trPr>
        <w:tc>
          <w:tcPr>
            <w:tcW w:w="6680" w:type="dxa"/>
            <w:vAlign w:val="bottom"/>
          </w:tcPr>
          <w:p>
            <w:pPr>
              <w:ind w:left="100"/>
              <w:spacing w:after="0"/>
              <w:rPr>
                <w:sz w:val="20"/>
                <w:szCs w:val="20"/>
                <w:color w:val="auto"/>
              </w:rPr>
            </w:pPr>
            <w:r>
              <w:rPr>
                <w:rFonts w:ascii="Arial" w:cs="Arial" w:eastAsia="Arial" w:hAnsi="Arial"/>
                <w:sz w:val="16"/>
                <w:szCs w:val="16"/>
                <w:color w:val="auto"/>
              </w:rPr>
              <w:t>redemption) as of March 31, 2023 and December 31, 2022, respectively</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173"/>
        </w:trPr>
        <w:tc>
          <w:tcPr>
            <w:tcW w:w="668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Class B common stock, $0.0001 par value; 20,000,000 shares authorized; 9,487,500 shares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7"/>
        </w:trPr>
        <w:tc>
          <w:tcPr>
            <w:tcW w:w="6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issued and outstanding as of March 31, 2023 and December 31, 2022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180"/>
        </w:trPr>
        <w:tc>
          <w:tcPr>
            <w:tcW w:w="6680" w:type="dxa"/>
            <w:vAlign w:val="bottom"/>
          </w:tcPr>
          <w:p>
            <w:pPr>
              <w:spacing w:after="0" w:line="180" w:lineRule="exact"/>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w:t>
            </w:r>
          </w:p>
        </w:tc>
      </w:tr>
      <w:tr>
        <w:trPr>
          <w:trHeight w:val="180"/>
        </w:trPr>
        <w:tc>
          <w:tcPr>
            <w:tcW w:w="66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(13,125,050)</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(10,145,752)</w:t>
            </w:r>
          </w:p>
        </w:tc>
      </w:tr>
      <w:tr>
        <w:trPr>
          <w:trHeight w:val="172"/>
        </w:trPr>
        <w:tc>
          <w:tcPr>
            <w:tcW w:w="668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b w:val="1"/>
                <w:bCs w:val="1"/>
                <w:color w:val="auto"/>
              </w:rPr>
              <w:t>Total Stockholders’ Deficit</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(13,123,968)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(10,144,670)</w:t>
            </w:r>
          </w:p>
        </w:tc>
      </w:tr>
      <w:tr>
        <w:trPr>
          <w:trHeight w:val="172"/>
        </w:trPr>
        <w:tc>
          <w:tcPr>
            <w:tcW w:w="668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Total Liabilities and Stockholders’ Deficit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70,808,221</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296,011,458</w:t>
            </w: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STATEMENTS OF OPERATIONS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ind w:left="80"/>
              <w:spacing w:after="0"/>
              <w:rPr>
                <w:sz w:val="20"/>
                <w:szCs w:val="20"/>
                <w:color w:val="auto"/>
              </w:rPr>
            </w:pPr>
            <w:r>
              <w:rPr>
                <w:rFonts w:ascii="Arial" w:cs="Arial" w:eastAsia="Arial" w:hAnsi="Arial"/>
                <w:sz w:val="13"/>
                <w:szCs w:val="13"/>
                <w:b w:val="1"/>
                <w:bCs w:val="1"/>
                <w:color w:val="auto"/>
              </w:rPr>
              <w:t>For the Three Months Ended</w:t>
            </w:r>
          </w:p>
        </w:tc>
        <w:tc>
          <w:tcPr>
            <w:tcW w:w="0" w:type="dxa"/>
            <w:vAlign w:val="bottom"/>
          </w:tcPr>
          <w:p>
            <w:pPr>
              <w:spacing w:after="0"/>
              <w:rPr>
                <w:sz w:val="1"/>
                <w:szCs w:val="1"/>
                <w:color w:val="auto"/>
              </w:rPr>
            </w:pPr>
          </w:p>
        </w:tc>
      </w:tr>
      <w:tr>
        <w:trPr>
          <w:trHeight w:val="148"/>
        </w:trPr>
        <w:tc>
          <w:tcPr>
            <w:tcW w:w="70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3"/>
              <w:spacing w:after="0" w:line="148" w:lineRule="exact"/>
              <w:rPr>
                <w:sz w:val="20"/>
                <w:szCs w:val="20"/>
                <w:color w:val="auto"/>
              </w:rPr>
            </w:pPr>
            <w:r>
              <w:rPr>
                <w:rFonts w:ascii="Arial" w:cs="Arial" w:eastAsia="Arial" w:hAnsi="Arial"/>
                <w:sz w:val="13"/>
                <w:szCs w:val="13"/>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03"/>
              <w:spacing w:after="0" w:line="148" w:lineRule="exact"/>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06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Formation and operating costs</w:t>
            </w:r>
          </w:p>
        </w:tc>
        <w:tc>
          <w:tcPr>
            <w:tcW w:w="1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701,539</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126,307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Franchise Tax Expense</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194,271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06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Loss from operations</w:t>
            </w: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(895,810)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(126,307)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Other income:</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Interest income earned on Trust</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3,075,729</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29,385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06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Total other income</w:t>
            </w: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3,075,729</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29,385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6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Income (Loss) before provision for income taxes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2,179,919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b w:val="1"/>
                <w:bCs w:val="1"/>
                <w:color w:val="auto"/>
              </w:rPr>
              <w:t>(96,922)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6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(605,128)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06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1,574,791</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(96,922)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6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Weighted average shares outstanding of Class A common stock subject to redemption, basic and</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23,097,291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28,750,000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60" w:type="dxa"/>
            <w:vAlign w:val="bottom"/>
            <w:tcBorders>
              <w:bottom w:val="single" w:sz="8" w:color="CCEEFF"/>
            </w:tcBorders>
            <w:shd w:val="clear" w:color="auto" w:fill="CCEEFF"/>
          </w:tcPr>
          <w:p>
            <w:pPr>
              <w:ind w:left="100"/>
              <w:spacing w:after="0" w:line="175" w:lineRule="exact"/>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Basic and diluted net income (loss) per common stock, Class A subject to redemption</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0.05</w:t>
            </w:r>
          </w:p>
        </w:tc>
        <w:tc>
          <w:tcPr>
            <w:tcW w:w="1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0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w w:val="99"/>
              </w:rPr>
              <w:t>Weighted average shares outstanding of non-redeemable Class A common stock, basic and diluted</w:t>
            </w: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1,329,500</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431,250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Basic and diluted net income (loss) per common stock, non-redeemable Class A</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0.05</w:t>
            </w:r>
          </w:p>
        </w:tc>
        <w:tc>
          <w:tcPr>
            <w:tcW w:w="1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0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Weighted average shares outstanding of Class B common stock, basic and diluted</w:t>
            </w: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9,487,500</w:t>
            </w: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9,487,500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6"/>
                <w:szCs w:val="16"/>
                <w:b w:val="1"/>
                <w:bCs w:val="1"/>
                <w:color w:val="auto"/>
              </w:rPr>
              <w:t>Basic and diluted net income (loss) per Class B common stock</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60" w:type="dxa"/>
            <w:vAlign w:val="bottom"/>
            <w:vMerge w:val="continue"/>
          </w:tcPr>
          <w:p>
            <w:pPr>
              <w:spacing w:after="0"/>
              <w:rPr>
                <w:sz w:val="13"/>
                <w:szCs w:val="13"/>
                <w:color w:val="auto"/>
              </w:rPr>
            </w:pPr>
          </w:p>
        </w:tc>
        <w:tc>
          <w:tcPr>
            <w:tcW w:w="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0.05</w:t>
            </w:r>
          </w:p>
        </w:tc>
        <w:tc>
          <w:tcPr>
            <w:tcW w:w="160" w:type="dxa"/>
            <w:vAlign w:val="bottom"/>
            <w:vMerge w:val="continue"/>
          </w:tcPr>
          <w:p>
            <w:pPr>
              <w:spacing w:after="0"/>
              <w:rPr>
                <w:sz w:val="13"/>
                <w:szCs w:val="13"/>
                <w:color w:val="auto"/>
              </w:rPr>
            </w:pPr>
          </w:p>
        </w:tc>
        <w:tc>
          <w:tcPr>
            <w:tcW w:w="160" w:type="dxa"/>
            <w:vAlign w:val="bottom"/>
            <w:tcBorders>
              <w:bottom w:val="single" w:sz="8" w:color="auto"/>
            </w:tcBorders>
          </w:tcPr>
          <w:p>
            <w:pPr>
              <w:jc w:val="right"/>
              <w:ind w:right="8"/>
              <w:spacing w:after="0" w:line="156"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b w:val="1"/>
                <w:bCs w:val="1"/>
                <w:color w:val="auto"/>
              </w:rPr>
              <w:t>(0.00)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STATEMENTS OF CHANGES IN STOCKHOLDERS’ DEFICIT</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MARCH 31,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5"/>
          </w:tcPr>
          <w:p>
            <w:pPr>
              <w:jc w:val="center"/>
              <w:ind w:left="330"/>
              <w:spacing w:after="0"/>
              <w:rPr>
                <w:sz w:val="20"/>
                <w:szCs w:val="20"/>
                <w:color w:val="auto"/>
              </w:rPr>
            </w:pPr>
            <w:r>
              <w:rPr>
                <w:rFonts w:ascii="Arial" w:cs="Arial" w:eastAsia="Arial" w:hAnsi="Arial"/>
                <w:sz w:val="13"/>
                <w:szCs w:val="13"/>
                <w:b w:val="1"/>
                <w:bCs w:val="1"/>
                <w:color w:val="auto"/>
              </w:rPr>
              <w:t>Class A</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5"/>
          </w:tcPr>
          <w:p>
            <w:pPr>
              <w:jc w:val="right"/>
              <w:ind w:right="22"/>
              <w:spacing w:after="0"/>
              <w:rPr>
                <w:sz w:val="20"/>
                <w:szCs w:val="20"/>
                <w:color w:val="auto"/>
              </w:rPr>
            </w:pPr>
            <w:r>
              <w:rPr>
                <w:rFonts w:ascii="Arial" w:cs="Arial" w:eastAsia="Arial" w:hAnsi="Arial"/>
                <w:sz w:val="13"/>
                <w:szCs w:val="13"/>
                <w:b w:val="1"/>
                <w:bCs w:val="1"/>
                <w:color w:val="auto"/>
              </w:rPr>
              <w:t>Class B</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Total</w:t>
            </w:r>
          </w:p>
        </w:tc>
      </w:tr>
      <w:tr>
        <w:trPr>
          <w:trHeight w:val="172"/>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7"/>
          </w:tcPr>
          <w:p>
            <w:pPr>
              <w:jc w:val="center"/>
              <w:ind w:right="2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8"/>
          </w:tcPr>
          <w:p>
            <w:pPr>
              <w:ind w:left="20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Accumulated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Stockholders’</w:t>
            </w:r>
          </w:p>
        </w:tc>
      </w:tr>
      <w:tr>
        <w:trPr>
          <w:trHeight w:val="148"/>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2"/>
          </w:tcPr>
          <w:p>
            <w:pPr>
              <w:ind w:left="140"/>
              <w:spacing w:after="0" w:line="148"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spacing w:after="0" w:line="148"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70"/>
              <w:spacing w:after="0" w:line="148"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8" w:lineRule="exact"/>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8"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Deficit</w:t>
            </w: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Deficit</w:t>
            </w:r>
          </w:p>
        </w:tc>
      </w:tr>
      <w:tr>
        <w:trPr>
          <w:trHeight w:val="16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January 1, 2023</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1,329,500</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9,487,500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949</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 (10,145,752)</w:t>
            </w: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 (10,144,670)</w:t>
            </w:r>
          </w:p>
        </w:tc>
      </w:tr>
      <w:tr>
        <w:trPr>
          <w:trHeight w:val="168"/>
        </w:trPr>
        <w:tc>
          <w:tcPr>
            <w:tcW w:w="3340" w:type="dxa"/>
            <w:vAlign w:val="bottom"/>
          </w:tcPr>
          <w:p>
            <w:pPr>
              <w:spacing w:after="0"/>
              <w:rPr>
                <w:sz w:val="20"/>
                <w:szCs w:val="20"/>
                <w:color w:val="auto"/>
              </w:rPr>
            </w:pPr>
            <w:r>
              <w:rPr>
                <w:rFonts w:ascii="Arial" w:cs="Arial" w:eastAsia="Arial" w:hAnsi="Arial"/>
                <w:sz w:val="14"/>
                <w:szCs w:val="14"/>
                <w:color w:val="auto"/>
              </w:rPr>
              <w:t>Stockholder Non-Redemption Agreement</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8,758,683</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8,758,683</w:t>
            </w:r>
          </w:p>
        </w:tc>
      </w:tr>
      <w:tr>
        <w:trPr>
          <w:trHeight w:val="168"/>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Stockholder Non-Redemption Agreement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(8,758,683)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(8,758,683)</w:t>
            </w:r>
          </w:p>
        </w:tc>
      </w:tr>
      <w:tr>
        <w:trPr>
          <w:trHeight w:val="160"/>
        </w:trPr>
        <w:tc>
          <w:tcPr>
            <w:tcW w:w="3340" w:type="dxa"/>
            <w:vAlign w:val="bottom"/>
          </w:tcPr>
          <w:p>
            <w:pPr>
              <w:spacing w:after="0" w:line="160" w:lineRule="exact"/>
              <w:rPr>
                <w:sz w:val="20"/>
                <w:szCs w:val="20"/>
                <w:color w:val="auto"/>
              </w:rPr>
            </w:pPr>
            <w:r>
              <w:rPr>
                <w:rFonts w:ascii="Arial" w:cs="Arial" w:eastAsia="Arial" w:hAnsi="Arial"/>
                <w:sz w:val="14"/>
                <w:szCs w:val="14"/>
                <w:color w:val="auto"/>
              </w:rPr>
              <w:t>Excise tax liability arising from redemption of Class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6"/>
        </w:trPr>
        <w:tc>
          <w:tcPr>
            <w:tcW w:w="3340" w:type="dxa"/>
            <w:vAlign w:val="bottom"/>
          </w:tcPr>
          <w:p>
            <w:pPr>
              <w:ind w:left="100"/>
              <w:spacing w:after="0"/>
              <w:rPr>
                <w:sz w:val="20"/>
                <w:szCs w:val="20"/>
                <w:color w:val="auto"/>
              </w:rPr>
            </w:pPr>
            <w:r>
              <w:rPr>
                <w:rFonts w:ascii="Arial" w:cs="Arial" w:eastAsia="Arial" w:hAnsi="Arial"/>
                <w:sz w:val="14"/>
                <w:szCs w:val="14"/>
                <w:color w:val="auto"/>
              </w:rPr>
              <w:t>A shares</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(2,277,760)</w:t>
            </w:r>
          </w:p>
        </w:tc>
        <w:tc>
          <w:tcPr>
            <w:tcW w:w="920" w:type="dxa"/>
            <w:vAlign w:val="bottom"/>
          </w:tcPr>
          <w:p>
            <w:pPr>
              <w:jc w:val="right"/>
              <w:spacing w:after="0"/>
              <w:rPr>
                <w:sz w:val="20"/>
                <w:szCs w:val="20"/>
                <w:color w:val="auto"/>
              </w:rPr>
            </w:pPr>
            <w:r>
              <w:rPr>
                <w:rFonts w:ascii="Arial" w:cs="Arial" w:eastAsia="Arial" w:hAnsi="Arial"/>
                <w:sz w:val="14"/>
                <w:szCs w:val="14"/>
                <w:color w:val="auto"/>
              </w:rPr>
              <w:t>(2,277,760)</w:t>
            </w:r>
          </w:p>
        </w:tc>
      </w:tr>
      <w:tr>
        <w:trPr>
          <w:trHeight w:val="160"/>
        </w:trPr>
        <w:tc>
          <w:tcPr>
            <w:tcW w:w="334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Accretion for common stock subject to redemption</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6"/>
        </w:trPr>
        <w:tc>
          <w:tcPr>
            <w:tcW w:w="33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amount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(2,276,329)</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(2,276,329)</w:t>
            </w:r>
          </w:p>
        </w:tc>
      </w:tr>
      <w:tr>
        <w:trPr>
          <w:trHeight w:val="168"/>
        </w:trPr>
        <w:tc>
          <w:tcPr>
            <w:tcW w:w="3340" w:type="dxa"/>
            <w:vAlign w:val="bottom"/>
          </w:tcPr>
          <w:p>
            <w:pPr>
              <w:spacing w:after="0"/>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1,574,791</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1,574,791</w:t>
            </w:r>
          </w:p>
        </w:tc>
      </w:tr>
      <w:tr>
        <w:trPr>
          <w:trHeight w:val="16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March 31, 2023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1,329,500</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9,487,500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CEEFF"/>
          </w:tcPr>
          <w:p>
            <w:pPr>
              <w:jc w:val="right"/>
              <w:ind w:right="22"/>
              <w:spacing w:after="0"/>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949</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 (13,125,050)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 (13,123,968)</w:t>
            </w:r>
          </w:p>
        </w:tc>
      </w:tr>
      <w:tr>
        <w:trPr>
          <w:trHeight w:val="20"/>
        </w:trPr>
        <w:tc>
          <w:tcPr>
            <w:tcW w:w="344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2"/>
        </w:trPr>
        <w:tc>
          <w:tcPr>
            <w:tcW w:w="6460" w:type="dxa"/>
            <w:vAlign w:val="bottom"/>
            <w:gridSpan w:val="19"/>
          </w:tcPr>
          <w:p>
            <w:pPr>
              <w:ind w:left="2900"/>
              <w:spacing w:after="0"/>
              <w:rPr>
                <w:sz w:val="20"/>
                <w:szCs w:val="20"/>
                <w:color w:val="auto"/>
              </w:rPr>
            </w:pPr>
            <w:r>
              <w:rPr>
                <w:rFonts w:ascii="Arial" w:cs="Arial" w:eastAsia="Arial" w:hAnsi="Arial"/>
                <w:sz w:val="14"/>
                <w:szCs w:val="14"/>
                <w:b w:val="1"/>
                <w:bCs w:val="1"/>
                <w:color w:val="auto"/>
              </w:rPr>
              <w:t>FOR THE THREE MONTHS ENDED MARCH 31, 2022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5"/>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5"/>
          </w:tcPr>
          <w:p>
            <w:pPr>
              <w:ind w:left="380"/>
              <w:spacing w:after="0"/>
              <w:rPr>
                <w:sz w:val="20"/>
                <w:szCs w:val="20"/>
                <w:color w:val="auto"/>
              </w:rPr>
            </w:pPr>
            <w:r>
              <w:rPr>
                <w:rFonts w:ascii="Arial" w:cs="Arial" w:eastAsia="Arial" w:hAnsi="Arial"/>
                <w:sz w:val="13"/>
                <w:szCs w:val="13"/>
                <w:b w:val="1"/>
                <w:bCs w:val="1"/>
                <w:color w:val="auto"/>
              </w:rPr>
              <w:t>Class A</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5"/>
          </w:tcPr>
          <w:p>
            <w:pPr>
              <w:jc w:val="right"/>
              <w:ind w:right="22"/>
              <w:spacing w:after="0"/>
              <w:rPr>
                <w:sz w:val="20"/>
                <w:szCs w:val="20"/>
                <w:color w:val="auto"/>
              </w:rPr>
            </w:pPr>
            <w:r>
              <w:rPr>
                <w:rFonts w:ascii="Arial" w:cs="Arial" w:eastAsia="Arial" w:hAnsi="Arial"/>
                <w:sz w:val="13"/>
                <w:szCs w:val="13"/>
                <w:b w:val="1"/>
                <w:bCs w:val="1"/>
                <w:color w:val="auto"/>
              </w:rPr>
              <w:t>Class B</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Total</w:t>
            </w:r>
          </w:p>
        </w:tc>
      </w:tr>
      <w:tr>
        <w:trPr>
          <w:trHeight w:val="172"/>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7"/>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8"/>
          </w:tcPr>
          <w:p>
            <w:pPr>
              <w:ind w:left="18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Accumulated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Stockholders’</w:t>
            </w:r>
          </w:p>
        </w:tc>
      </w:tr>
      <w:tr>
        <w:trPr>
          <w:trHeight w:val="148"/>
        </w:trPr>
        <w:tc>
          <w:tcPr>
            <w:tcW w:w="3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ind w:left="80"/>
              <w:spacing w:after="0" w:line="148"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8" w:lineRule="exact"/>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0"/>
              <w:spacing w:after="0" w:line="148"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ind w:left="40"/>
              <w:spacing w:after="0" w:line="148"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8"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Deficit</w:t>
            </w:r>
          </w:p>
        </w:tc>
        <w:tc>
          <w:tcPr>
            <w:tcW w:w="9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Deficit</w:t>
            </w:r>
          </w:p>
        </w:tc>
      </w:tr>
      <w:tr>
        <w:trPr>
          <w:trHeight w:val="172"/>
        </w:trPr>
        <w:tc>
          <w:tcPr>
            <w:tcW w:w="334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Balance as of December 31, 2021</w:t>
            </w:r>
          </w:p>
        </w:tc>
        <w:tc>
          <w:tcPr>
            <w:tcW w:w="78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1,329,500</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133</w:t>
            </w: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gridSpan w:val="2"/>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98"/>
              </w:rPr>
              <w:t>9,487,500</w:t>
            </w: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949</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94"/>
              </w:rPr>
              <w:t>$ (8,834,941)</w:t>
            </w:r>
          </w:p>
        </w:tc>
        <w:tc>
          <w:tcPr>
            <w:tcW w:w="1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94"/>
              </w:rPr>
              <w:t>$ (8,833,859)</w:t>
            </w:r>
          </w:p>
        </w:tc>
      </w:tr>
      <w:tr>
        <w:trPr>
          <w:trHeight w:val="180"/>
        </w:trPr>
        <w:tc>
          <w:tcPr>
            <w:tcW w:w="3340" w:type="dxa"/>
            <w:vAlign w:val="bottom"/>
          </w:tcPr>
          <w:p>
            <w:pPr>
              <w:spacing w:after="0" w:line="180" w:lineRule="exact"/>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5"/>
                <w:szCs w:val="15"/>
                <w:color w:val="auto"/>
              </w:rPr>
            </w:pPr>
          </w:p>
        </w:tc>
        <w:tc>
          <w:tcPr>
            <w:tcW w:w="72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40"/>
              <w:spacing w:after="0" w:line="180" w:lineRule="exact"/>
              <w:rPr>
                <w:sz w:val="20"/>
                <w:szCs w:val="20"/>
                <w:color w:val="auto"/>
              </w:rPr>
            </w:pPr>
            <w:r>
              <w:rPr>
                <w:rFonts w:ascii="Arial" w:cs="Arial" w:eastAsia="Arial" w:hAnsi="Arial"/>
                <w:sz w:val="16"/>
                <w:szCs w:val="16"/>
                <w:color w:val="auto"/>
              </w:rPr>
              <w:t>(96,922)</w:t>
            </w:r>
          </w:p>
        </w:tc>
        <w:tc>
          <w:tcPr>
            <w:tcW w:w="920" w:type="dxa"/>
            <w:vAlign w:val="bottom"/>
          </w:tcPr>
          <w:p>
            <w:pPr>
              <w:jc w:val="right"/>
              <w:spacing w:after="0" w:line="180" w:lineRule="exact"/>
              <w:rPr>
                <w:sz w:val="20"/>
                <w:szCs w:val="20"/>
                <w:color w:val="auto"/>
              </w:rPr>
            </w:pPr>
            <w:r>
              <w:rPr>
                <w:rFonts w:ascii="Arial" w:cs="Arial" w:eastAsia="Arial" w:hAnsi="Arial"/>
                <w:sz w:val="16"/>
                <w:szCs w:val="16"/>
                <w:color w:val="auto"/>
              </w:rPr>
              <w:t>(96,922)</w:t>
            </w:r>
          </w:p>
        </w:tc>
      </w:tr>
      <w:tr>
        <w:trPr>
          <w:trHeight w:val="172"/>
        </w:trPr>
        <w:tc>
          <w:tcPr>
            <w:tcW w:w="3340" w:type="dxa"/>
            <w:vAlign w:val="bottom"/>
            <w:tcBorders>
              <w:top w:val="single" w:sz="8" w:color="CCEEFF"/>
              <w:bottom w:val="single" w:sz="8" w:color="CCEEFF"/>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Balance as of March 31, 2022</w:t>
            </w:r>
          </w:p>
        </w:tc>
        <w:tc>
          <w:tcPr>
            <w:tcW w:w="780" w:type="dxa"/>
            <w:vAlign w:val="bottom"/>
            <w:tcBorders>
              <w:top w:val="single" w:sz="8" w:color="auto"/>
              <w:bottom w:val="single" w:sz="8" w:color="auto"/>
            </w:tcBorders>
            <w:gridSpan w:val="2"/>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1,329,500</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133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gridSpan w:val="2"/>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98"/>
              </w:rPr>
              <w:t>9,487,500</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t>
            </w:r>
          </w:p>
        </w:tc>
        <w:tc>
          <w:tcPr>
            <w:tcW w:w="3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949</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94"/>
              </w:rPr>
              <w:t>$ (8,931,863)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94"/>
              </w:rPr>
              <w:t>$ (8,930,781)</w:t>
            </w:r>
          </w:p>
        </w:tc>
      </w:tr>
      <w:tr>
        <w:trPr>
          <w:trHeight w:val="20"/>
        </w:trPr>
        <w:tc>
          <w:tcPr>
            <w:tcW w:w="3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STATEMENTS OF CASH FLOWS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jc w:val="right"/>
              <w:ind w:right="263"/>
              <w:spacing w:after="0"/>
              <w:rPr>
                <w:sz w:val="20"/>
                <w:szCs w:val="20"/>
                <w:color w:val="auto"/>
              </w:rPr>
            </w:pPr>
            <w:r>
              <w:rPr>
                <w:rFonts w:ascii="Arial" w:cs="Arial" w:eastAsia="Arial" w:hAnsi="Arial"/>
                <w:sz w:val="13"/>
                <w:szCs w:val="13"/>
                <w:b w:val="1"/>
                <w:bCs w:val="1"/>
                <w:color w:val="auto"/>
              </w:rPr>
              <w:t>For the Three Months Ended</w:t>
            </w:r>
          </w:p>
        </w:tc>
      </w:tr>
      <w:tr>
        <w:trPr>
          <w:trHeight w:val="172"/>
        </w:trPr>
        <w:tc>
          <w:tcPr>
            <w:tcW w:w="6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3"/>
                <w:szCs w:val="13"/>
                <w:b w:val="1"/>
                <w:bCs w:val="1"/>
                <w:color w:val="auto"/>
              </w:rPr>
              <w:t>March 31,</w:t>
            </w:r>
          </w:p>
        </w:tc>
        <w:tc>
          <w:tcPr>
            <w:tcW w:w="840" w:type="dxa"/>
            <w:vAlign w:val="bottom"/>
            <w:tcBorders>
              <w:bottom w:val="single" w:sz="8" w:color="auto"/>
            </w:tcBorders>
          </w:tcPr>
          <w:p>
            <w:pPr>
              <w:spacing w:after="0"/>
              <w:rPr>
                <w:sz w:val="14"/>
                <w:szCs w:val="14"/>
                <w:color w:val="auto"/>
              </w:rPr>
            </w:pPr>
          </w:p>
        </w:tc>
      </w:tr>
      <w:tr>
        <w:trPr>
          <w:trHeight w:val="148"/>
        </w:trPr>
        <w:tc>
          <w:tcPr>
            <w:tcW w:w="68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44"/>
              <w:spacing w:after="0" w:line="148" w:lineRule="exact"/>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3"/>
              <w:spacing w:after="0" w:line="148" w:lineRule="exact"/>
              <w:rPr>
                <w:sz w:val="20"/>
                <w:szCs w:val="20"/>
                <w:color w:val="auto"/>
              </w:rPr>
            </w:pPr>
            <w:r>
              <w:rPr>
                <w:rFonts w:ascii="Arial" w:cs="Arial" w:eastAsia="Arial" w:hAnsi="Arial"/>
                <w:sz w:val="13"/>
                <w:szCs w:val="13"/>
                <w:b w:val="1"/>
                <w:bCs w:val="1"/>
                <w:color w:val="auto"/>
              </w:rPr>
              <w:t>2022</w:t>
            </w:r>
          </w:p>
        </w:tc>
      </w:tr>
      <w:tr>
        <w:trPr>
          <w:trHeight w:val="172"/>
        </w:trPr>
        <w:tc>
          <w:tcPr>
            <w:tcW w:w="688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6880" w:type="dxa"/>
            <w:vAlign w:val="bottom"/>
          </w:tcPr>
          <w:p>
            <w:pPr>
              <w:spacing w:after="0" w:line="180" w:lineRule="exact"/>
              <w:rPr>
                <w:sz w:val="20"/>
                <w:szCs w:val="20"/>
                <w:color w:val="auto"/>
              </w:rPr>
            </w:pPr>
            <w:r>
              <w:rPr>
                <w:rFonts w:ascii="Arial" w:cs="Arial" w:eastAsia="Arial" w:hAnsi="Arial"/>
                <w:sz w:val="16"/>
                <w:szCs w:val="16"/>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1,574,791</w:t>
            </w:r>
          </w:p>
        </w:tc>
        <w:tc>
          <w:tcPr>
            <w:tcW w:w="100" w:type="dxa"/>
            <w:vAlign w:val="bottom"/>
          </w:tcPr>
          <w:p>
            <w:pPr>
              <w:spacing w:after="0"/>
              <w:rPr>
                <w:sz w:val="15"/>
                <w:szCs w:val="15"/>
                <w:color w:val="auto"/>
              </w:rPr>
            </w:pPr>
          </w:p>
        </w:tc>
        <w:tc>
          <w:tcPr>
            <w:tcW w:w="380" w:type="dxa"/>
            <w:vAlign w:val="bottom"/>
            <w:gridSpan w:val="2"/>
          </w:tcPr>
          <w:p>
            <w:pPr>
              <w:jc w:val="right"/>
              <w:ind w:right="128"/>
              <w:spacing w:after="0" w:line="180"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(96,922)</w:t>
            </w:r>
          </w:p>
        </w:tc>
      </w:tr>
      <w:tr>
        <w:trPr>
          <w:trHeight w:val="180"/>
        </w:trPr>
        <w:tc>
          <w:tcPr>
            <w:tcW w:w="6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Adjustments to reconcile net income (loss) to net cash used in operating activities: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6880" w:type="dxa"/>
            <w:vAlign w:val="bottom"/>
          </w:tcPr>
          <w:p>
            <w:pPr>
              <w:ind w:left="100"/>
              <w:spacing w:after="0" w:line="180" w:lineRule="exact"/>
              <w:rPr>
                <w:sz w:val="20"/>
                <w:szCs w:val="20"/>
                <w:color w:val="auto"/>
              </w:rPr>
            </w:pPr>
            <w:r>
              <w:rPr>
                <w:rFonts w:ascii="Arial" w:cs="Arial" w:eastAsia="Arial" w:hAnsi="Arial"/>
                <w:sz w:val="16"/>
                <w:szCs w:val="16"/>
                <w:color w:val="auto"/>
              </w:rPr>
              <w:t>Interest earned on cash and marketable securities held in Trust Account</w:t>
            </w:r>
          </w:p>
        </w:tc>
        <w:tc>
          <w:tcPr>
            <w:tcW w:w="12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(3,075,729)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(29,385)</w:t>
            </w: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Changes in current assets and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6880" w:type="dxa"/>
            <w:vAlign w:val="bottom"/>
          </w:tcPr>
          <w:p>
            <w:pPr>
              <w:ind w:left="200"/>
              <w:spacing w:after="0" w:line="180" w:lineRule="exact"/>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(17,378)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(17,651)</w:t>
            </w:r>
          </w:p>
        </w:tc>
      </w:tr>
      <w:tr>
        <w:trPr>
          <w:trHeight w:val="180"/>
        </w:trPr>
        <w:tc>
          <w:tcPr>
            <w:tcW w:w="6880" w:type="dxa"/>
            <w:vAlign w:val="bottom"/>
            <w:shd w:val="clear" w:color="auto" w:fill="CCEEFF"/>
          </w:tcPr>
          <w:p>
            <w:pPr>
              <w:ind w:left="200"/>
              <w:spacing w:after="0" w:line="180" w:lineRule="exact"/>
              <w:rPr>
                <w:sz w:val="20"/>
                <w:szCs w:val="20"/>
                <w:color w:val="auto"/>
              </w:rPr>
            </w:pPr>
            <w:r>
              <w:rPr>
                <w:rFonts w:ascii="Arial" w:cs="Arial" w:eastAsia="Arial" w:hAnsi="Arial"/>
                <w:sz w:val="16"/>
                <w:szCs w:val="16"/>
                <w:color w:val="auto"/>
              </w:rPr>
              <w:t>Accrued offering costs and expenses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242,905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(412,141)</w:t>
            </w:r>
          </w:p>
        </w:tc>
      </w:tr>
      <w:tr>
        <w:trPr>
          <w:trHeight w:val="180"/>
        </w:trPr>
        <w:tc>
          <w:tcPr>
            <w:tcW w:w="6880" w:type="dxa"/>
            <w:vAlign w:val="bottom"/>
          </w:tcPr>
          <w:p>
            <w:pPr>
              <w:ind w:left="200"/>
              <w:spacing w:after="0" w:line="180" w:lineRule="exact"/>
              <w:rPr>
                <w:sz w:val="20"/>
                <w:szCs w:val="20"/>
                <w:color w:val="auto"/>
              </w:rPr>
            </w:pPr>
            <w:r>
              <w:rPr>
                <w:rFonts w:ascii="Arial" w:cs="Arial" w:eastAsia="Arial" w:hAnsi="Arial"/>
                <w:sz w:val="16"/>
                <w:szCs w:val="16"/>
                <w:color w:val="auto"/>
              </w:rPr>
              <w:t>Franchise tax payable</w:t>
            </w:r>
          </w:p>
        </w:tc>
        <w:tc>
          <w:tcPr>
            <w:tcW w:w="1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50,000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r>
      <w:tr>
        <w:trPr>
          <w:trHeight w:val="180"/>
        </w:trPr>
        <w:tc>
          <w:tcPr>
            <w:tcW w:w="6880" w:type="dxa"/>
            <w:vAlign w:val="bottom"/>
            <w:shd w:val="clear" w:color="auto" w:fill="CCEEFF"/>
          </w:tcPr>
          <w:p>
            <w:pPr>
              <w:ind w:left="200"/>
              <w:spacing w:after="0" w:line="180" w:lineRule="exact"/>
              <w:rPr>
                <w:sz w:val="20"/>
                <w:szCs w:val="20"/>
                <w:color w:val="auto"/>
              </w:rPr>
            </w:pPr>
            <w:r>
              <w:rPr>
                <w:rFonts w:ascii="Arial" w:cs="Arial" w:eastAsia="Arial" w:hAnsi="Arial"/>
                <w:sz w:val="16"/>
                <w:szCs w:val="16"/>
                <w:color w:val="auto"/>
              </w:rPr>
              <w:t>Income tax payable</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605,128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r>
      <w:tr>
        <w:trPr>
          <w:trHeight w:val="172"/>
        </w:trPr>
        <w:tc>
          <w:tcPr>
            <w:tcW w:w="688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b w:val="1"/>
                <w:bCs w:val="1"/>
                <w:color w:val="auto"/>
              </w:rPr>
              <w:t>Net cash used in operating activities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(620,283)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(556,099)</w:t>
            </w:r>
          </w:p>
        </w:tc>
      </w:tr>
      <w:tr>
        <w:trPr>
          <w:trHeight w:val="172"/>
        </w:trPr>
        <w:tc>
          <w:tcPr>
            <w:tcW w:w="6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6880" w:type="dxa"/>
            <w:vAlign w:val="bottom"/>
          </w:tcPr>
          <w:p>
            <w:pPr>
              <w:spacing w:after="0" w:line="180" w:lineRule="exact"/>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Cash withdrawn from Trust Account to pay franchise and income taxes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1,670,447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r>
      <w:tr>
        <w:trPr>
          <w:trHeight w:val="180"/>
        </w:trPr>
        <w:tc>
          <w:tcPr>
            <w:tcW w:w="688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Cash withdrawn from Trust Account in connection with redemptions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227,776,035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r>
      <w:tr>
        <w:trPr>
          <w:trHeight w:val="172"/>
        </w:trPr>
        <w:tc>
          <w:tcPr>
            <w:tcW w:w="688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Net cash provided by investing activities</w:t>
            </w: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229,446,482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w:t>
            </w:r>
          </w:p>
        </w:tc>
      </w:tr>
      <w:tr>
        <w:trPr>
          <w:trHeight w:val="172"/>
        </w:trPr>
        <w:tc>
          <w:tcPr>
            <w:tcW w:w="6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6880" w:type="dxa"/>
            <w:vAlign w:val="bottom"/>
          </w:tcPr>
          <w:p>
            <w:pPr>
              <w:ind w:left="100"/>
              <w:spacing w:after="0" w:line="180" w:lineRule="exact"/>
              <w:rPr>
                <w:sz w:val="20"/>
                <w:szCs w:val="20"/>
                <w:color w:val="auto"/>
              </w:rPr>
            </w:pPr>
            <w:r>
              <w:rPr>
                <w:rFonts w:ascii="Arial" w:cs="Arial" w:eastAsia="Arial" w:hAnsi="Arial"/>
                <w:sz w:val="16"/>
                <w:szCs w:val="16"/>
                <w:color w:val="auto"/>
              </w:rPr>
              <w:t>Payment of note payable-related party</w:t>
            </w:r>
          </w:p>
        </w:tc>
        <w:tc>
          <w:tcPr>
            <w:tcW w:w="1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99,975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(56,000)</w:t>
            </w:r>
          </w:p>
        </w:tc>
      </w:tr>
      <w:tr>
        <w:trPr>
          <w:trHeight w:val="180"/>
        </w:trPr>
        <w:tc>
          <w:tcPr>
            <w:tcW w:w="6880" w:type="dxa"/>
            <w:vAlign w:val="bottom"/>
            <w:shd w:val="clear" w:color="auto" w:fill="CCEEFF"/>
          </w:tcPr>
          <w:p>
            <w:pPr>
              <w:ind w:left="100"/>
              <w:spacing w:after="0" w:line="180" w:lineRule="exact"/>
              <w:rPr>
                <w:sz w:val="20"/>
                <w:szCs w:val="20"/>
                <w:color w:val="auto"/>
              </w:rPr>
            </w:pPr>
            <w:r>
              <w:rPr>
                <w:rFonts w:ascii="Arial" w:cs="Arial" w:eastAsia="Arial" w:hAnsi="Arial"/>
                <w:sz w:val="16"/>
                <w:szCs w:val="16"/>
                <w:color w:val="auto"/>
              </w:rPr>
              <w:t>Redemption of Common Stock</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(227,776,035)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r>
      <w:tr>
        <w:trPr>
          <w:trHeight w:val="172"/>
        </w:trPr>
        <w:tc>
          <w:tcPr>
            <w:tcW w:w="688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b w:val="1"/>
                <w:bCs w:val="1"/>
                <w:color w:val="auto"/>
              </w:rPr>
              <w:t>Net cash used in financing activities</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(227,676,060)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(56,000)</w:t>
            </w:r>
          </w:p>
        </w:tc>
      </w:tr>
      <w:tr>
        <w:trPr>
          <w:trHeight w:val="172"/>
        </w:trPr>
        <w:tc>
          <w:tcPr>
            <w:tcW w:w="6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6880" w:type="dxa"/>
            <w:vAlign w:val="bottom"/>
          </w:tcPr>
          <w:p>
            <w:pPr>
              <w:spacing w:after="0" w:line="180" w:lineRule="exact"/>
              <w:rPr>
                <w:sz w:val="20"/>
                <w:szCs w:val="20"/>
                <w:color w:val="auto"/>
              </w:rPr>
            </w:pPr>
            <w:r>
              <w:rPr>
                <w:rFonts w:ascii="Arial" w:cs="Arial" w:eastAsia="Arial" w:hAnsi="Arial"/>
                <w:sz w:val="16"/>
                <w:szCs w:val="16"/>
                <w:b w:val="1"/>
                <w:bCs w:val="1"/>
                <w:color w:val="auto"/>
              </w:rPr>
              <w:t>Net change in cash</w:t>
            </w:r>
          </w:p>
        </w:tc>
        <w:tc>
          <w:tcPr>
            <w:tcW w:w="12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1,150,139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(612,099)</w:t>
            </w:r>
          </w:p>
        </w:tc>
      </w:tr>
      <w:tr>
        <w:trPr>
          <w:trHeight w:val="180"/>
        </w:trPr>
        <w:tc>
          <w:tcPr>
            <w:tcW w:w="6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Cash, beginning of the period</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22,232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1,539,548</w:t>
            </w:r>
          </w:p>
        </w:tc>
      </w:tr>
      <w:tr>
        <w:trPr>
          <w:trHeight w:val="212"/>
        </w:trPr>
        <w:tc>
          <w:tcPr>
            <w:tcW w:w="6880" w:type="dxa"/>
            <w:vAlign w:val="bottom"/>
            <w:tcBorders>
              <w:bottom w:val="single" w:sz="8" w:color="CCEEFF"/>
            </w:tcBorders>
          </w:tcPr>
          <w:p>
            <w:pPr>
              <w:spacing w:after="0" w:line="172" w:lineRule="exact"/>
              <w:rPr>
                <w:sz w:val="20"/>
                <w:szCs w:val="20"/>
                <w:color w:val="auto"/>
              </w:rPr>
            </w:pPr>
            <w:r>
              <w:rPr>
                <w:rFonts w:ascii="Arial" w:cs="Arial" w:eastAsia="Arial" w:hAnsi="Arial"/>
                <w:sz w:val="16"/>
                <w:szCs w:val="16"/>
                <w:b w:val="1"/>
                <w:bCs w:val="1"/>
                <w:color w:val="auto"/>
              </w:rPr>
              <w:t>Cash, end of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1,172,371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72" w:lineRule="exact"/>
              <w:rPr>
                <w:sz w:val="20"/>
                <w:szCs w:val="20"/>
                <w:color w:val="auto"/>
              </w:rPr>
            </w:pPr>
            <w:r>
              <w:rPr>
                <w:rFonts w:ascii="Arial" w:cs="Arial" w:eastAsia="Arial" w:hAnsi="Arial"/>
                <w:sz w:val="16"/>
                <w:szCs w:val="16"/>
                <w:b w:val="1"/>
                <w:bCs w:val="1"/>
                <w:color w:val="auto"/>
              </w:rPr>
              <w:t>927,449</w:t>
            </w:r>
          </w:p>
        </w:tc>
      </w:tr>
      <w:tr>
        <w:trPr>
          <w:trHeight w:val="156"/>
        </w:trPr>
        <w:tc>
          <w:tcPr>
            <w:tcW w:w="6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80"/>
        </w:trPr>
        <w:tc>
          <w:tcPr>
            <w:tcW w:w="6880" w:type="dxa"/>
            <w:vAlign w:val="bottom"/>
          </w:tcPr>
          <w:p>
            <w:pPr>
              <w:spacing w:after="0" w:line="180" w:lineRule="exact"/>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8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Excise tax liability arising from redemption of Class A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2,277,760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0" w:lineRule="exact"/>
              <w:rPr>
                <w:sz w:val="20"/>
                <w:szCs w:val="20"/>
                <w:color w:val="auto"/>
              </w:rPr>
            </w:pPr>
            <w:r>
              <w:rPr>
                <w:rFonts w:ascii="Arial" w:cs="Arial" w:eastAsia="Arial" w:hAnsi="Arial"/>
                <w:sz w:val="16"/>
                <w:szCs w:val="16"/>
                <w:color w:val="auto"/>
              </w:rPr>
              <w:t>—</w:t>
            </w:r>
          </w:p>
        </w:tc>
      </w:tr>
      <w:tr>
        <w:trPr>
          <w:trHeight w:val="180"/>
        </w:trPr>
        <w:tc>
          <w:tcPr>
            <w:tcW w:w="6880" w:type="dxa"/>
            <w:vAlign w:val="bottom"/>
          </w:tcPr>
          <w:p>
            <w:pPr>
              <w:spacing w:after="0" w:line="180" w:lineRule="exact"/>
              <w:rPr>
                <w:sz w:val="20"/>
                <w:szCs w:val="20"/>
                <w:color w:val="auto"/>
              </w:rPr>
            </w:pPr>
            <w:r>
              <w:rPr>
                <w:rFonts w:ascii="Arial" w:cs="Arial" w:eastAsia="Arial" w:hAnsi="Arial"/>
                <w:sz w:val="16"/>
                <w:szCs w:val="16"/>
                <w:color w:val="auto"/>
              </w:rPr>
              <w:t>Accretion of Class A common stock subject to possible redemption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2,276,329</w:t>
            </w:r>
          </w:p>
        </w:tc>
        <w:tc>
          <w:tcPr>
            <w:tcW w:w="100" w:type="dxa"/>
            <w:vAlign w:val="bottom"/>
          </w:tcPr>
          <w:p>
            <w:pPr>
              <w:spacing w:after="0"/>
              <w:rPr>
                <w:sz w:val="15"/>
                <w:szCs w:val="15"/>
                <w:color w:val="auto"/>
              </w:rPr>
            </w:pPr>
          </w:p>
        </w:tc>
        <w:tc>
          <w:tcPr>
            <w:tcW w:w="380" w:type="dxa"/>
            <w:vAlign w:val="bottom"/>
            <w:gridSpan w:val="2"/>
          </w:tcPr>
          <w:p>
            <w:pPr>
              <w:jc w:val="right"/>
              <w:ind w:right="128"/>
              <w:spacing w:after="0" w:line="180"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0" w:lineRule="exact"/>
              <w:rPr>
                <w:sz w:val="20"/>
                <w:szCs w:val="20"/>
                <w:color w:val="auto"/>
              </w:rPr>
            </w:pPr>
            <w:r>
              <w:rPr>
                <w:rFonts w:ascii="Arial" w:cs="Arial" w:eastAsia="Arial" w:hAnsi="Arial"/>
                <w:sz w:val="16"/>
                <w:szCs w:val="16"/>
                <w:color w:val="auto"/>
              </w:rPr>
              <w:t>—</w:t>
            </w:r>
          </w:p>
        </w:tc>
      </w:tr>
      <w:tr>
        <w:trPr>
          <w:trHeight w:val="20"/>
        </w:trPr>
        <w:tc>
          <w:tcPr>
            <w:tcW w:w="6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accompanying notes are an integral part of these unaudited condensed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1-Organization, Business Operation, Liquidity and Capital Resources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As of March 31, 2023, the Company had not commenced any operations. All activity for the period from March 2, 2021 (inception) through March 31, 2023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Company’s sponsor is BurTech LP LLC, (the “Sponsor”).</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73"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Transaction costs amounted to $16,919,619 consisting of $2,875,000 of underwriting commissions, $10,062,500 of deferred underwriting commissions, $ 3,456,652 fair value of class A shares issued to the underwriters and $525,467 of other offering costs. In addition, $1,539,541 of cash was held outside of the Trust Account (as defined below) and is available for working capital purposes.</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Following the closing of the IPO on December 15, 2021, $291,812,500 ($ 10.15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33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The Company will provide its public stockholders with the opportunity to redeem all or a portion of their public shares upon the completion of the initial Business Combination at a per -share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4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33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 March 10, 2023, the Company and Sponsor entered into a non -redemption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B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Company’s stockholders redeemed 22,119,297 shares. As a result, approximately $227.8 million (approximately $10.30 per share) was removed from the Company’s trust account to pay such holders. Following redemptions, the Company will have 6,630,703 shares of Class A common stock outstanding, and approximately $68.0 million will remain in the Company’s trust account.</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335"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Going Concern</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of March 31, 2023, the Company had $1,172,371 in its operating bank accounts, $69,431,940 in investments held in the Trust Account to be used for a Business Combination or to repurchase or redeem its Public Shares in connection therewith and working capital deficit of $3,061,468. As of March 31, 2023, $3,075,729 of the amount on deposit in the Trust Account represented interest income.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Our liquidity needs up to March 31, 2023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March 31, 2023, the Company had $99,975 outstanding under a Working Capital Loans. As of December 31, 2022, the Company had no balance outstanding under a Working Capital Loan.</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is less than 7 months from its mandatory liquidation as of the time of filing this Quarterly Report on Form 10-Q. In connection with the Company’s assessment of going concern considerations in accordance with Accounting Standards Codification Subtopic 205- 40,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financial statements are issued.</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These conditions raise substantial doubt about the Company’s ability to continue as a going concern.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COVID- 19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FINANCIAL STATEMENTS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2-Summary of Significant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96"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financial statements reflect all adjustments, which include only normal recurring adjustments necessary for the fair statement of the balances and results for the periods presented. The interim results for the three months ended March 31, 2023 are not necessarily indicative of the results to be expected for the year ending December 31, 2023 or for any future interim periods.</w:t>
      </w:r>
    </w:p>
    <w:p>
      <w:pPr>
        <w:spacing w:after="0" w:line="175"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accompanying unaudited condensed financial statements should be read in conjunction with the audited financial statements and notes thereto included in the Company’s Annual Report on Form 10-K as of and for the year ended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Emerging Growth Company</w:t>
      </w:r>
    </w:p>
    <w:p>
      <w:pPr>
        <w:spacing w:after="0" w:line="196"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unaudited condensed financial statements and the reported amounts of revenues and expenses during the reporting period.</w:t>
      </w:r>
    </w:p>
    <w:p>
      <w:pPr>
        <w:spacing w:after="0" w:line="176"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One of the more significant accounting estimates included in these unaudited condensed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62" w:right="1260"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considers all short -term investments with an original maturity of three months or less when purchased to be cash equivalents. As of March 31, 2023 and December 31, 2022, the Company had $1,172,371 and $22,232 in cash, respectively, and no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 Held in Trust Account</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At March 31, 2023 and December 31, 2022, the Company had $69,431,940 and $295,802,694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Subject to Possible Redemption</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March 31, 2023 and December 31, 2022, 6,630,703 and 28,750,000 Class A common stock subject to possible redemption are presented at redemption value as temporary equity, outside of the stockholders’ deficit section of the Company’s balance sheets.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Offering Costs associated with the Initial Public Offering</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Company complies with the requirements of ASC 340-10- 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Company accounts for income taxes under ASC 740, “Income Taxes.” ASC 740, Income Taxes, requires the recognition of deferred tax assets and liabilities for both the expected impact of differences between the unaudited condensed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March 31, 2023 and December 31, 2022, the Company’s deferred tax asset had a full valuation allowance recorded against 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NOTES TO CONDENSED FINANCIAL STATEMENTS</w:t>
      </w:r>
    </w:p>
    <w:p>
      <w:pPr>
        <w:jc w:val="center"/>
        <w:ind w:right="600"/>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ind w:right="620"/>
        <w:spacing w:after="0" w:line="252" w:lineRule="auto"/>
        <w:rPr>
          <w:sz w:val="20"/>
          <w:szCs w:val="20"/>
          <w:color w:val="auto"/>
        </w:rPr>
      </w:pPr>
      <w:r>
        <w:rPr>
          <w:rFonts w:ascii="Arial" w:cs="Arial" w:eastAsia="Arial" w:hAnsi="Arial"/>
          <w:sz w:val="16"/>
          <w:szCs w:val="16"/>
          <w:color w:val="auto"/>
        </w:rPr>
        <w:t>The Company’s effective tax rate was 27.76% and 0% for the three months ended March 31, 2023 and 2022, respectively. The effective tax rate differs from the statutory tax rate of 21% due to the valuation allowance on the deferred tax assets.</w:t>
      </w:r>
    </w:p>
    <w:p>
      <w:pPr>
        <w:spacing w:after="0" w:line="166" w:lineRule="exact"/>
        <w:rPr>
          <w:sz w:val="20"/>
          <w:szCs w:val="20"/>
          <w:color w:val="auto"/>
        </w:rPr>
      </w:pPr>
    </w:p>
    <w:p>
      <w:pPr>
        <w:jc w:val="both"/>
        <w:ind w:right="600"/>
        <w:spacing w:after="0" w:line="239"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76" w:lineRule="exact"/>
        <w:rPr>
          <w:sz w:val="20"/>
          <w:szCs w:val="20"/>
          <w:color w:val="auto"/>
        </w:rPr>
      </w:pPr>
    </w:p>
    <w:p>
      <w:pPr>
        <w:jc w:val="both"/>
        <w:ind w:right="600"/>
        <w:spacing w:after="0"/>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March 31, 2023 and December 31,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jc w:val="both"/>
        <w:ind w:right="600"/>
        <w:spacing w:after="0"/>
        <w:rPr>
          <w:sz w:val="20"/>
          <w:szCs w:val="20"/>
          <w:color w:val="auto"/>
        </w:rPr>
      </w:pPr>
      <w:r>
        <w:rPr>
          <w:rFonts w:ascii="Arial" w:cs="Arial" w:eastAsia="Arial" w:hAnsi="Arial"/>
          <w:sz w:val="16"/>
          <w:szCs w:val="16"/>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 (Loss) Per Common Stock</w:t>
      </w:r>
    </w:p>
    <w:p>
      <w:pPr>
        <w:spacing w:after="0" w:line="196" w:lineRule="exact"/>
        <w:rPr>
          <w:sz w:val="20"/>
          <w:szCs w:val="20"/>
          <w:color w:val="auto"/>
        </w:rPr>
      </w:pPr>
    </w:p>
    <w:p>
      <w:pPr>
        <w:jc w:val="both"/>
        <w:ind w:right="600"/>
        <w:spacing w:after="0" w:line="238" w:lineRule="auto"/>
        <w:rPr>
          <w:sz w:val="20"/>
          <w:szCs w:val="20"/>
          <w:color w:val="auto"/>
        </w:rPr>
      </w:pPr>
      <w:r>
        <w:rPr>
          <w:rFonts w:ascii="Arial" w:cs="Arial" w:eastAsia="Arial" w:hAnsi="Arial"/>
          <w:sz w:val="16"/>
          <w:szCs w:val="16"/>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months ended March 31, 2023 and 2022 because the warrants are contingently exercisable, and the contingencies have not yet been met and its inclusion would be anti-dilutive. As a result, diluted net loss per common stock is the same as basic net loss per common stock for the periods. The table below presents a reconciliation of the numerator and denominator used to compute basic and diluted net loss per share for each class of common stock: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7"/>
          </w:tcPr>
          <w:p>
            <w:pPr>
              <w:jc w:val="center"/>
              <w:ind w:right="46"/>
              <w:spacing w:after="0"/>
              <w:rPr>
                <w:sz w:val="20"/>
                <w:szCs w:val="20"/>
                <w:color w:val="auto"/>
              </w:rPr>
            </w:pPr>
            <w:r>
              <w:rPr>
                <w:rFonts w:ascii="Arial" w:cs="Arial" w:eastAsia="Arial" w:hAnsi="Arial"/>
                <w:sz w:val="11"/>
                <w:szCs w:val="11"/>
                <w:b w:val="1"/>
                <w:bCs w:val="1"/>
                <w:color w:val="auto"/>
                <w:w w:val="98"/>
              </w:rPr>
              <w:t>For the three-month period 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9"/>
          </w:tcPr>
          <w:p>
            <w:pPr>
              <w:ind w:left="400"/>
              <w:spacing w:after="0"/>
              <w:rPr>
                <w:sz w:val="20"/>
                <w:szCs w:val="20"/>
                <w:color w:val="auto"/>
              </w:rPr>
            </w:pPr>
            <w:r>
              <w:rPr>
                <w:rFonts w:ascii="Arial" w:cs="Arial" w:eastAsia="Arial" w:hAnsi="Arial"/>
                <w:sz w:val="11"/>
                <w:szCs w:val="11"/>
                <w:b w:val="1"/>
                <w:bCs w:val="1"/>
                <w:color w:val="auto"/>
              </w:rPr>
              <w:t>For the three-month period ended</w:t>
            </w:r>
          </w:p>
        </w:tc>
      </w:tr>
      <w:tr>
        <w:trPr>
          <w:trHeight w:val="134"/>
        </w:trPr>
        <w:tc>
          <w:tcPr>
            <w:tcW w:w="4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7"/>
              </w:rPr>
              <w:t>March 31, 2023</w:t>
            </w:r>
          </w:p>
        </w:tc>
        <w:tc>
          <w:tcPr>
            <w:tcW w:w="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w w:val="97"/>
              </w:rPr>
              <w:t>March 31, 2022</w:t>
            </w: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4"/>
        </w:trPr>
        <w:tc>
          <w:tcPr>
            <w:tcW w:w="4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0" w:type="dxa"/>
            <w:vAlign w:val="bottom"/>
            <w:gridSpan w:val="5"/>
          </w:tcPr>
          <w:p>
            <w:pPr>
              <w:ind w:left="600"/>
              <w:spacing w:after="0" w:line="124" w:lineRule="exact"/>
              <w:rPr>
                <w:sz w:val="20"/>
                <w:szCs w:val="20"/>
                <w:color w:val="auto"/>
              </w:rPr>
            </w:pPr>
            <w:r>
              <w:rPr>
                <w:rFonts w:ascii="Arial" w:cs="Arial" w:eastAsia="Arial" w:hAnsi="Arial"/>
                <w:sz w:val="11"/>
                <w:szCs w:val="11"/>
                <w:b w:val="1"/>
                <w:bCs w:val="1"/>
                <w:color w:val="auto"/>
              </w:rPr>
              <w:t>Class A</w:t>
            </w:r>
          </w:p>
        </w:tc>
        <w:tc>
          <w:tcPr>
            <w:tcW w:w="60" w:type="dxa"/>
            <w:vAlign w:val="bottom"/>
          </w:tcPr>
          <w:p>
            <w:pPr>
              <w:spacing w:after="0"/>
              <w:rPr>
                <w:sz w:val="10"/>
                <w:szCs w:val="10"/>
                <w:color w:val="auto"/>
              </w:rPr>
            </w:pPr>
          </w:p>
        </w:tc>
        <w:tc>
          <w:tcPr>
            <w:tcW w:w="820" w:type="dxa"/>
            <w:vAlign w:val="bottom"/>
          </w:tcPr>
          <w:p>
            <w:pPr>
              <w:jc w:val="center"/>
              <w:ind w:right="6"/>
              <w:spacing w:after="0" w:line="124" w:lineRule="exact"/>
              <w:rPr>
                <w:sz w:val="20"/>
                <w:szCs w:val="20"/>
                <w:color w:val="auto"/>
              </w:rPr>
            </w:pPr>
            <w:r>
              <w:rPr>
                <w:rFonts w:ascii="Arial" w:cs="Arial" w:eastAsia="Arial" w:hAnsi="Arial"/>
                <w:sz w:val="11"/>
                <w:szCs w:val="11"/>
                <w:b w:val="1"/>
                <w:bCs w:val="1"/>
                <w:color w:val="auto"/>
                <w:w w:val="99"/>
              </w:rPr>
              <w:t>Class B</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6"/>
          </w:tcPr>
          <w:p>
            <w:pPr>
              <w:jc w:val="right"/>
              <w:ind w:right="800"/>
              <w:spacing w:after="0" w:line="124" w:lineRule="exact"/>
              <w:rPr>
                <w:sz w:val="20"/>
                <w:szCs w:val="20"/>
                <w:color w:val="auto"/>
              </w:rPr>
            </w:pPr>
            <w:r>
              <w:rPr>
                <w:rFonts w:ascii="Arial" w:cs="Arial" w:eastAsia="Arial" w:hAnsi="Arial"/>
                <w:sz w:val="11"/>
                <w:szCs w:val="11"/>
                <w:b w:val="1"/>
                <w:bCs w:val="1"/>
                <w:color w:val="auto"/>
              </w:rPr>
              <w:t>Class A</w:t>
            </w:r>
          </w:p>
        </w:tc>
        <w:tc>
          <w:tcPr>
            <w:tcW w:w="80" w:type="dxa"/>
            <w:vAlign w:val="bottom"/>
          </w:tcPr>
          <w:p>
            <w:pPr>
              <w:spacing w:after="0"/>
              <w:rPr>
                <w:sz w:val="10"/>
                <w:szCs w:val="10"/>
                <w:color w:val="auto"/>
              </w:rPr>
            </w:pPr>
          </w:p>
        </w:tc>
        <w:tc>
          <w:tcPr>
            <w:tcW w:w="80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w w:val="99"/>
              </w:rPr>
              <w:t>Class B</w:t>
            </w:r>
          </w:p>
        </w:tc>
        <w:tc>
          <w:tcPr>
            <w:tcW w:w="20" w:type="dxa"/>
            <w:vAlign w:val="bottom"/>
          </w:tcPr>
          <w:p>
            <w:pPr>
              <w:spacing w:after="0"/>
              <w:rPr>
                <w:sz w:val="10"/>
                <w:szCs w:val="10"/>
                <w:color w:val="auto"/>
              </w:rPr>
            </w:pPr>
          </w:p>
        </w:tc>
      </w:tr>
      <w:tr>
        <w:trPr>
          <w:trHeight w:val="122"/>
        </w:trPr>
        <w:tc>
          <w:tcPr>
            <w:tcW w:w="4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6"/>
              <w:spacing w:after="0" w:line="123" w:lineRule="exact"/>
              <w:rPr>
                <w:sz w:val="20"/>
                <w:szCs w:val="20"/>
                <w:color w:val="auto"/>
              </w:rPr>
            </w:pPr>
            <w:r>
              <w:rPr>
                <w:rFonts w:ascii="Arial" w:cs="Arial" w:eastAsia="Arial" w:hAnsi="Arial"/>
                <w:sz w:val="11"/>
                <w:szCs w:val="11"/>
                <w:b w:val="1"/>
                <w:bCs w:val="1"/>
                <w:color w:val="auto"/>
                <w:w w:val="98"/>
              </w:rPr>
              <w:t>Redeemable</w:t>
            </w:r>
          </w:p>
        </w:tc>
        <w:tc>
          <w:tcPr>
            <w:tcW w:w="960" w:type="dxa"/>
            <w:vAlign w:val="bottom"/>
            <w:tcBorders>
              <w:top w:val="single" w:sz="8" w:color="auto"/>
            </w:tcBorders>
            <w:gridSpan w:val="3"/>
          </w:tcPr>
          <w:p>
            <w:pPr>
              <w:ind w:left="120"/>
              <w:spacing w:after="0" w:line="123" w:lineRule="exact"/>
              <w:rPr>
                <w:sz w:val="20"/>
                <w:szCs w:val="20"/>
                <w:color w:val="auto"/>
              </w:rPr>
            </w:pPr>
            <w:r>
              <w:rPr>
                <w:rFonts w:ascii="Arial" w:cs="Arial" w:eastAsia="Arial" w:hAnsi="Arial"/>
                <w:sz w:val="11"/>
                <w:szCs w:val="11"/>
                <w:b w:val="1"/>
                <w:bCs w:val="1"/>
                <w:color w:val="auto"/>
                <w:w w:val="95"/>
              </w:rPr>
              <w:t>Non-redeemable</w:t>
            </w:r>
          </w:p>
        </w:tc>
        <w:tc>
          <w:tcPr>
            <w:tcW w:w="12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1"/>
                <w:szCs w:val="11"/>
                <w:b w:val="1"/>
                <w:bCs w:val="1"/>
                <w:color w:val="auto"/>
                <w:w w:val="97"/>
              </w:rPr>
              <w:t>Non-redeemable</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140"/>
              <w:spacing w:after="0" w:line="123" w:lineRule="exact"/>
              <w:rPr>
                <w:sz w:val="20"/>
                <w:szCs w:val="20"/>
                <w:color w:val="auto"/>
              </w:rPr>
            </w:pPr>
            <w:r>
              <w:rPr>
                <w:rFonts w:ascii="Arial" w:cs="Arial" w:eastAsia="Arial" w:hAnsi="Arial"/>
                <w:sz w:val="11"/>
                <w:szCs w:val="11"/>
                <w:b w:val="1"/>
                <w:bCs w:val="1"/>
                <w:color w:val="auto"/>
                <w:w w:val="95"/>
              </w:rPr>
              <w:t>Redeemable</w:t>
            </w:r>
          </w:p>
        </w:tc>
        <w:tc>
          <w:tcPr>
            <w:tcW w:w="880" w:type="dxa"/>
            <w:vAlign w:val="bottom"/>
            <w:tcBorders>
              <w:top w:val="single" w:sz="8" w:color="auto"/>
            </w:tcBorders>
            <w:gridSpan w:val="3"/>
          </w:tcPr>
          <w:p>
            <w:pPr>
              <w:ind w:left="40"/>
              <w:spacing w:after="0" w:line="123" w:lineRule="exact"/>
              <w:rPr>
                <w:sz w:val="20"/>
                <w:szCs w:val="20"/>
                <w:color w:val="auto"/>
              </w:rPr>
            </w:pPr>
            <w:r>
              <w:rPr>
                <w:rFonts w:ascii="Arial" w:cs="Arial" w:eastAsia="Arial" w:hAnsi="Arial"/>
                <w:sz w:val="11"/>
                <w:szCs w:val="11"/>
                <w:b w:val="1"/>
                <w:bCs w:val="1"/>
                <w:color w:val="auto"/>
                <w:w w:val="95"/>
              </w:rPr>
              <w:t>Non-redeemable</w:t>
            </w:r>
          </w:p>
        </w:tc>
        <w:tc>
          <w:tcPr>
            <w:tcW w:w="12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1"/>
                <w:szCs w:val="11"/>
                <w:b w:val="1"/>
                <w:bCs w:val="1"/>
                <w:color w:val="auto"/>
                <w:w w:val="97"/>
              </w:rPr>
              <w:t>Non-redeemable</w:t>
            </w:r>
          </w:p>
        </w:tc>
        <w:tc>
          <w:tcPr>
            <w:tcW w:w="20" w:type="dxa"/>
            <w:vAlign w:val="bottom"/>
          </w:tcPr>
          <w:p>
            <w:pPr>
              <w:spacing w:after="0"/>
              <w:rPr>
                <w:sz w:val="10"/>
                <w:szCs w:val="10"/>
                <w:color w:val="auto"/>
              </w:rPr>
            </w:pPr>
          </w:p>
        </w:tc>
      </w:tr>
      <w:tr>
        <w:trPr>
          <w:trHeight w:val="134"/>
        </w:trPr>
        <w:tc>
          <w:tcPr>
            <w:tcW w:w="43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11"/>
                <w:szCs w:val="11"/>
                <w:color w:val="auto"/>
              </w:rPr>
            </w:pPr>
          </w:p>
        </w:tc>
        <w:tc>
          <w:tcPr>
            <w:tcW w:w="960" w:type="dxa"/>
            <w:vAlign w:val="bottom"/>
            <w:gridSpan w:val="3"/>
          </w:tcPr>
          <w:p>
            <w:pPr>
              <w:ind w:left="4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7"/>
              </w:rPr>
              <w:t>common stock</w:t>
            </w:r>
          </w:p>
        </w:tc>
        <w:tc>
          <w:tcPr>
            <w:tcW w:w="120" w:type="dxa"/>
            <w:vAlign w:val="bottom"/>
          </w:tcPr>
          <w:p>
            <w:pPr>
              <w:spacing w:after="0"/>
              <w:rPr>
                <w:sz w:val="11"/>
                <w:szCs w:val="11"/>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7"/>
              </w:rPr>
              <w:t>common stock</w:t>
            </w:r>
          </w:p>
        </w:tc>
        <w:tc>
          <w:tcPr>
            <w:tcW w:w="40" w:type="dxa"/>
            <w:vAlign w:val="bottom"/>
          </w:tcPr>
          <w:p>
            <w:pPr>
              <w:spacing w:after="0"/>
              <w:rPr>
                <w:sz w:val="11"/>
                <w:szCs w:val="11"/>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1"/>
                <w:szCs w:val="11"/>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common stock</w:t>
            </w:r>
          </w:p>
        </w:tc>
      </w:tr>
      <w:tr>
        <w:trPr>
          <w:trHeight w:val="124"/>
        </w:trPr>
        <w:tc>
          <w:tcPr>
            <w:tcW w:w="43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1"/>
                <w:szCs w:val="11"/>
                <w:b w:val="1"/>
                <w:bCs w:val="1"/>
                <w:color w:val="auto"/>
              </w:rPr>
              <w:t>Basic and diluted net income (loss) per share:</w:t>
            </w: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2"/>
        </w:trPr>
        <w:tc>
          <w:tcPr>
            <w:tcW w:w="4300" w:type="dxa"/>
            <w:vAlign w:val="bottom"/>
          </w:tcPr>
          <w:p>
            <w:pPr>
              <w:spacing w:after="0"/>
              <w:rPr>
                <w:sz w:val="20"/>
                <w:szCs w:val="20"/>
                <w:color w:val="auto"/>
              </w:rPr>
            </w:pPr>
            <w:r>
              <w:rPr>
                <w:rFonts w:ascii="Arial" w:cs="Arial" w:eastAsia="Arial" w:hAnsi="Arial"/>
                <w:sz w:val="11"/>
                <w:szCs w:val="11"/>
                <w:b w:val="1"/>
                <w:bCs w:val="1"/>
                <w:color w:val="auto"/>
              </w:rPr>
              <w:t>Numerator: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43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Allocation of 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1,072,510</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61,735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440,547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(72,061)</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(23,780)</w:t>
            </w:r>
          </w:p>
        </w:tc>
        <w:tc>
          <w:tcPr>
            <w:tcW w:w="20" w:type="dxa"/>
            <w:vAlign w:val="bottom"/>
          </w:tcPr>
          <w:p>
            <w:pPr>
              <w:spacing w:after="0"/>
              <w:rPr>
                <w:sz w:val="11"/>
                <w:szCs w:val="11"/>
                <w:color w:val="auto"/>
              </w:rPr>
            </w:pPr>
          </w:p>
        </w:tc>
      </w:tr>
      <w:tr>
        <w:trPr>
          <w:trHeight w:val="132"/>
        </w:trPr>
        <w:tc>
          <w:tcPr>
            <w:tcW w:w="4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430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Denominator:</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2"/>
        </w:trPr>
        <w:tc>
          <w:tcPr>
            <w:tcW w:w="4300" w:type="dxa"/>
            <w:vAlign w:val="bottom"/>
          </w:tcPr>
          <w:p>
            <w:pPr>
              <w:ind w:left="100"/>
              <w:spacing w:after="0"/>
              <w:rPr>
                <w:sz w:val="20"/>
                <w:szCs w:val="20"/>
                <w:color w:val="auto"/>
              </w:rPr>
            </w:pPr>
            <w:r>
              <w:rPr>
                <w:rFonts w:ascii="Arial" w:cs="Arial" w:eastAsia="Arial" w:hAnsi="Arial"/>
                <w:sz w:val="11"/>
                <w:szCs w:val="11"/>
                <w:color w:val="auto"/>
              </w:rPr>
              <w:t>Weighted-average shares outstanding including common stock subject to redemption</w:t>
            </w: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23,097,291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1,329,500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9,487,500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28,750,000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431,250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9,487,500</w:t>
            </w:r>
          </w:p>
        </w:tc>
        <w:tc>
          <w:tcPr>
            <w:tcW w:w="20" w:type="dxa"/>
            <w:vAlign w:val="bottom"/>
          </w:tcPr>
          <w:p>
            <w:pPr>
              <w:spacing w:after="0"/>
              <w:rPr>
                <w:sz w:val="11"/>
                <w:szCs w:val="11"/>
                <w:color w:val="auto"/>
              </w:rPr>
            </w:pPr>
          </w:p>
        </w:tc>
      </w:tr>
      <w:tr>
        <w:trPr>
          <w:trHeight w:val="132"/>
        </w:trPr>
        <w:tc>
          <w:tcPr>
            <w:tcW w:w="430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Basic and diluted net income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0.05</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0.05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(0.00)</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w w:val="97"/>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(0.00)</w:t>
            </w:r>
          </w:p>
        </w:tc>
        <w:tc>
          <w:tcPr>
            <w:tcW w:w="20" w:type="dxa"/>
            <w:vAlign w:val="bottom"/>
          </w:tcPr>
          <w:p>
            <w:pPr>
              <w:spacing w:after="0"/>
              <w:rPr>
                <w:sz w:val="11"/>
                <w:szCs w:val="1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Credit Risk</w:t>
      </w:r>
    </w:p>
    <w:p>
      <w:pPr>
        <w:spacing w:after="0" w:line="196" w:lineRule="exact"/>
        <w:rPr>
          <w:sz w:val="20"/>
          <w:szCs w:val="20"/>
          <w:color w:val="auto"/>
        </w:rPr>
      </w:pPr>
    </w:p>
    <w:p>
      <w:pPr>
        <w:jc w:val="both"/>
        <w:ind w:right="600"/>
        <w:spacing w:after="0"/>
        <w:rPr>
          <w:sz w:val="20"/>
          <w:szCs w:val="20"/>
          <w:color w:val="auto"/>
        </w:rPr>
      </w:pPr>
      <w:r>
        <w:rPr>
          <w:rFonts w:ascii="Arial" w:cs="Arial" w:eastAsia="Arial" w:hAnsi="Arial"/>
          <w:sz w:val="16"/>
          <w:szCs w:val="16"/>
          <w:color w:val="auto"/>
        </w:rPr>
        <w:t>Financial instruments that potentially subject the Company to concentration of credit risk consist of a cash account in a financial institution which, at times may exceed the Federal Deposit Insurance Corporation coverage of $250,000. At December 31, 2022 and 2021, the Company had not experienced losses on this account and management believes the Company is not exposed to significant risks on such account.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196" w:lineRule="exact"/>
        <w:rPr>
          <w:sz w:val="20"/>
          <w:szCs w:val="20"/>
          <w:color w:val="auto"/>
        </w:rPr>
      </w:pPr>
    </w:p>
    <w:p>
      <w:pPr>
        <w:jc w:val="both"/>
        <w:ind w:right="600"/>
        <w:spacing w:after="0" w:line="243"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365"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940"/>
          </w:cols>
          <w:pgMar w:left="1280" w:top="562" w:right="680"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NOTES TO CONDENSED FINANCIAL STATEMENTS</w:t>
      </w: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77" w:lineRule="exact"/>
        <w:rPr>
          <w:sz w:val="20"/>
          <w:szCs w:val="20"/>
          <w:color w:val="auto"/>
        </w:rPr>
      </w:pPr>
    </w:p>
    <w:p>
      <w:pPr>
        <w:ind w:left="580" w:right="20" w:hanging="294"/>
        <w:spacing w:after="0" w:line="252"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65" w:lineRule="exact"/>
        <w:rPr>
          <w:rFonts w:ascii="Arial" w:cs="Arial" w:eastAsia="Arial" w:hAnsi="Arial"/>
          <w:sz w:val="16"/>
          <w:szCs w:val="16"/>
          <w:color w:val="auto"/>
        </w:rPr>
      </w:pPr>
    </w:p>
    <w:p>
      <w:pPr>
        <w:jc w:val="both"/>
        <w:ind w:left="580" w:right="20" w:hanging="294"/>
        <w:spacing w:after="0" w:line="243"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3" w:lineRule="exact"/>
        <w:rPr>
          <w:rFonts w:ascii="Arial" w:cs="Arial" w:eastAsia="Arial" w:hAnsi="Arial"/>
          <w:sz w:val="16"/>
          <w:szCs w:val="16"/>
          <w:color w:val="auto"/>
        </w:rPr>
      </w:pPr>
    </w:p>
    <w:p>
      <w:pPr>
        <w:ind w:left="580" w:right="20" w:hanging="294"/>
        <w:spacing w:after="0" w:line="252"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3—Inputs to the fair value measurement are unobservable inputs, such as estimates, assumptions, and valuation techniques when little or no market data exists for the assets or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 Classification</w:t>
      </w:r>
    </w:p>
    <w:p>
      <w:pPr>
        <w:spacing w:after="0" w:line="19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Standards</w:t>
      </w:r>
    </w:p>
    <w:p>
      <w:pPr>
        <w:spacing w:after="0" w:line="19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In August 2020, the FASB issued Accounting Standards Update (“ASU”) 2020-06, Debt - Debt with Conversion and Other Options (Subtopic 470 -20)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62" w:right="1260"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that ASU 2020-06 would have on its financial position, results of operations or cash flows. The Company has not adopted this guidance as of March 31, 2023.</w:t>
      </w:r>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In June 2016, the FASB issued Accounting Standards Update (“ASU”) 2016-13 –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(“ASU 2016-13”). </w:t>
      </w:r>
      <w:r>
        <w:rPr>
          <w:rFonts w:ascii="Arial" w:cs="Arial" w:eastAsia="Arial" w:hAnsi="Arial"/>
          <w:sz w:val="16"/>
          <w:szCs w:val="16"/>
          <w:color w:val="auto"/>
        </w:rPr>
        <w:t>This update requires financial assets measured at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financial statements.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Company’s management does not believe that any other recently issued, but not yet effective, accounting standards if currently adopted would have a material effect on the accompanying financial statement.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Units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common stock is subject to SEC and its staff’s guidance on redeemable equity instruments, which has been codified in ASC 480-10- 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As of March 31, 2023 and December 31, 2022, the common stock subject to redemption reflected on the balance sheet are reconciled in the following table:</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6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Class A common stock subject to possible redemption, January 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291,812,500</w:t>
            </w:r>
          </w:p>
        </w:tc>
      </w:tr>
      <w:tr>
        <w:trPr>
          <w:trHeight w:val="180"/>
        </w:trPr>
        <w:tc>
          <w:tcPr>
            <w:tcW w:w="6360" w:type="dxa"/>
            <w:vAlign w:val="bottom"/>
          </w:tcPr>
          <w:p>
            <w:pPr>
              <w:spacing w:after="0" w:line="180" w:lineRule="exact"/>
              <w:rPr>
                <w:sz w:val="20"/>
                <w:szCs w:val="20"/>
                <w:color w:val="auto"/>
              </w:rPr>
            </w:pPr>
            <w:r>
              <w:rPr>
                <w:rFonts w:ascii="Arial" w:cs="Arial" w:eastAsia="Arial" w:hAnsi="Arial"/>
                <w:sz w:val="16"/>
                <w:szCs w:val="16"/>
                <w:color w:val="auto"/>
              </w:rPr>
              <w:t>Plus:</w:t>
            </w:r>
          </w:p>
        </w:tc>
        <w:tc>
          <w:tcPr>
            <w:tcW w:w="1100" w:type="dxa"/>
            <w:vAlign w:val="bottom"/>
          </w:tcPr>
          <w:p>
            <w:pPr>
              <w:spacing w:after="0"/>
              <w:rPr>
                <w:sz w:val="15"/>
                <w:szCs w:val="15"/>
                <w:color w:val="auto"/>
              </w:rPr>
            </w:pPr>
          </w:p>
        </w:tc>
      </w:tr>
      <w:tr>
        <w:trPr>
          <w:trHeight w:val="180"/>
        </w:trPr>
        <w:tc>
          <w:tcPr>
            <w:tcW w:w="63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Accretion of carrying value to redemption value</w:t>
            </w:r>
          </w:p>
        </w:tc>
        <w:tc>
          <w:tcPr>
            <w:tcW w:w="110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2,984,418</w:t>
            </w:r>
          </w:p>
        </w:tc>
      </w:tr>
      <w:tr>
        <w:trPr>
          <w:trHeight w:val="172"/>
        </w:trPr>
        <w:tc>
          <w:tcPr>
            <w:tcW w:w="6360" w:type="dxa"/>
            <w:vAlign w:val="bottom"/>
          </w:tcPr>
          <w:p>
            <w:pPr>
              <w:spacing w:after="0" w:line="172" w:lineRule="exact"/>
              <w:rPr>
                <w:sz w:val="20"/>
                <w:szCs w:val="20"/>
                <w:color w:val="auto"/>
              </w:rPr>
            </w:pPr>
            <w:r>
              <w:rPr>
                <w:rFonts w:ascii="Arial" w:cs="Arial" w:eastAsia="Arial" w:hAnsi="Arial"/>
                <w:sz w:val="16"/>
                <w:szCs w:val="16"/>
                <w:b w:val="1"/>
                <w:bCs w:val="1"/>
                <w:color w:val="auto"/>
              </w:rPr>
              <w:t>Class A common stock subject to possible redemption, December 31, 2022</w:t>
            </w:r>
          </w:p>
        </w:tc>
        <w:tc>
          <w:tcPr>
            <w:tcW w:w="1100" w:type="dxa"/>
            <w:vAlign w:val="bottom"/>
          </w:tcPr>
          <w:p>
            <w:pPr>
              <w:jc w:val="right"/>
              <w:spacing w:after="0" w:line="172" w:lineRule="exact"/>
              <w:rPr>
                <w:sz w:val="20"/>
                <w:szCs w:val="20"/>
                <w:color w:val="auto"/>
              </w:rPr>
            </w:pPr>
            <w:r>
              <w:rPr>
                <w:rFonts w:ascii="Arial" w:cs="Arial" w:eastAsia="Arial" w:hAnsi="Arial"/>
                <w:sz w:val="16"/>
                <w:szCs w:val="16"/>
                <w:b w:val="1"/>
                <w:bCs w:val="1"/>
                <w:color w:val="auto"/>
              </w:rPr>
              <w:t>294,796,918</w:t>
            </w:r>
          </w:p>
        </w:tc>
      </w:tr>
      <w:tr>
        <w:trPr>
          <w:trHeight w:val="180"/>
        </w:trPr>
        <w:tc>
          <w:tcPr>
            <w:tcW w:w="63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Less:</w:t>
            </w:r>
          </w:p>
        </w:tc>
        <w:tc>
          <w:tcPr>
            <w:tcW w:w="1100" w:type="dxa"/>
            <w:vAlign w:val="bottom"/>
            <w:shd w:val="clear" w:color="auto" w:fill="CCEEFF"/>
          </w:tcPr>
          <w:p>
            <w:pPr>
              <w:spacing w:after="0"/>
              <w:rPr>
                <w:sz w:val="15"/>
                <w:szCs w:val="15"/>
                <w:color w:val="auto"/>
              </w:rPr>
            </w:pPr>
          </w:p>
        </w:tc>
      </w:tr>
      <w:tr>
        <w:trPr>
          <w:trHeight w:val="180"/>
        </w:trPr>
        <w:tc>
          <w:tcPr>
            <w:tcW w:w="6360" w:type="dxa"/>
            <w:vAlign w:val="bottom"/>
          </w:tcPr>
          <w:p>
            <w:pPr>
              <w:spacing w:after="0" w:line="180" w:lineRule="exact"/>
              <w:rPr>
                <w:sz w:val="20"/>
                <w:szCs w:val="20"/>
                <w:color w:val="auto"/>
              </w:rPr>
            </w:pPr>
            <w:r>
              <w:rPr>
                <w:rFonts w:ascii="Arial" w:cs="Arial" w:eastAsia="Arial" w:hAnsi="Arial"/>
                <w:sz w:val="16"/>
                <w:szCs w:val="16"/>
                <w:color w:val="auto"/>
              </w:rPr>
              <w:t>Redemptions</w:t>
            </w: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(227,776,035)</w:t>
            </w:r>
          </w:p>
        </w:tc>
      </w:tr>
      <w:tr>
        <w:trPr>
          <w:trHeight w:val="180"/>
        </w:trPr>
        <w:tc>
          <w:tcPr>
            <w:tcW w:w="63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Plus:</w:t>
            </w:r>
          </w:p>
        </w:tc>
        <w:tc>
          <w:tcPr>
            <w:tcW w:w="1100" w:type="dxa"/>
            <w:vAlign w:val="bottom"/>
            <w:shd w:val="clear" w:color="auto" w:fill="CCEEFF"/>
          </w:tcPr>
          <w:p>
            <w:pPr>
              <w:spacing w:after="0"/>
              <w:rPr>
                <w:sz w:val="15"/>
                <w:szCs w:val="15"/>
                <w:color w:val="auto"/>
              </w:rPr>
            </w:pPr>
          </w:p>
        </w:tc>
      </w:tr>
      <w:tr>
        <w:trPr>
          <w:trHeight w:val="180"/>
        </w:trPr>
        <w:tc>
          <w:tcPr>
            <w:tcW w:w="6360" w:type="dxa"/>
            <w:vAlign w:val="bottom"/>
            <w:tcBorders>
              <w:bottom w:val="single" w:sz="8" w:color="CCEEFF"/>
            </w:tcBorders>
          </w:tcPr>
          <w:p>
            <w:pPr>
              <w:spacing w:after="0" w:line="180" w:lineRule="exact"/>
              <w:rPr>
                <w:sz w:val="20"/>
                <w:szCs w:val="20"/>
                <w:color w:val="auto"/>
              </w:rPr>
            </w:pPr>
            <w:r>
              <w:rPr>
                <w:rFonts w:ascii="Arial" w:cs="Arial" w:eastAsia="Arial" w:hAnsi="Arial"/>
                <w:sz w:val="16"/>
                <w:szCs w:val="16"/>
                <w:color w:val="auto"/>
              </w:rPr>
              <w:t>Accretion of carrying value to redemption value</w:t>
            </w:r>
          </w:p>
        </w:tc>
        <w:tc>
          <w:tcPr>
            <w:tcW w:w="11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2,276,329</w:t>
            </w:r>
          </w:p>
        </w:tc>
      </w:tr>
      <w:tr>
        <w:trPr>
          <w:trHeight w:val="172"/>
        </w:trPr>
        <w:tc>
          <w:tcPr>
            <w:tcW w:w="6360" w:type="dxa"/>
            <w:vAlign w:val="bottom"/>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Class A common stock subject to possible redemption, March 31, 2023</w:t>
            </w:r>
          </w:p>
        </w:tc>
        <w:tc>
          <w:tcPr>
            <w:tcW w:w="11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69,297,212</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PRIVATE PLACEMENT</w:t>
      </w:r>
    </w:p>
    <w:p>
      <w:pPr>
        <w:spacing w:after="0" w:line="19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6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RELATED PARTY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Founder Shares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Administrative Support Agreement</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March 31, 2023 and December 31, 2022, the Company incurred and paid $30,000 and $112,903 for the administrative service fees,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Promissory Note — Related Party</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Sponsors agreed to loan the Company up to $300,000 to be used for a portion of the expenses of the IPO. These loans are non-interest bearing, unsecured and due on demand. As of March 31, 2023 and December 31, 2022, the Company had no borrowings outstanding under the promissory note, respectively. As of the Initial Public Offering date, December 15, 2021, the Company no longer has the ability to utilize the Promissory note.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Working Capital Loans</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at a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March 31, 2023, $99,975 in working capital loans were outstanding. As of December 31, 2022, no working capital loans were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COMMITMENTS AND CONTINGENCIES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Registration Rights</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Underwriting Agreement</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December 15, 2021, the Company paid a cash underwriting discount of 1.0% per Unit, or $2,875,000, as part of the underwriting fee.</w:t>
      </w:r>
    </w:p>
    <w:p>
      <w:pPr>
        <w:spacing w:after="0" w:line="16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Representative shares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 of First Refusal</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Non-redemption Agreements</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$ 7.62 per share. The fair value was determined using the probability of a successful Business Combination of 75%, an implied volatility of 4.16%, and the value per shares as of the valuation date of $10.24 derived from an option pricing model for publicly traded warrants. Each Non- Redeeming Stockholder acquired from the Sponsor an indirect economic interest in such Founder Shares. The excess of the fair value of such Founder Shares was determined to be an offering cost in accordance with Staff Accounting Bulletin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Inflation Reduction Act of 2022 (the “IR Act”)</w:t>
      </w:r>
    </w:p>
    <w:p>
      <w:pPr>
        <w:spacing w:after="0" w:line="19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335"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March 10, 2023, in connection with the Company’s general meeting, the Company’s stockholders redeemed 22,119,297 Class A shares of Common Stock for a total of $227,776,035. The Company evaluated the current status and probability of completing a Business Combination as of March 31, 2023 and concluded that it is probable that a contingent liability should be recorded. As of March 31, 2023, the Company recorded $2,277,760 of excise tax liability calculated as 1% of shares redeemed on March 10, 2023.</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STOCKHOLDERS’ DEFICIT</w:t>
      </w:r>
    </w:p>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 The Company is authorized to issue 1,000,000 shares of preferred stock with a par value of $0.0001 per share.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March 31, 2023 and December 31, 2022, there were no shares of preferred stock issued or outstanding.</w:t>
      </w:r>
    </w:p>
    <w:p>
      <w:pPr>
        <w:spacing w:after="0" w:line="15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280,000,000 shares of Class A common stock with a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per share. Holders of Class A common stock are entitled to one vote for each share. At March 31, 2023 and December 31, 2022, there were 1,329,500 Class A common stock issued or outstanding, excluding 6,630,703 and 28,750,000 Class A common stock subject to possible redemption.</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 The Company is authorized to issue 20,000,000 shares of Class B common stock with a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per share. Holders of the Class B common stock are entitled to one vote for each share. On September 24, 2021, the Company issued 862,500 shares of Class B common stock in connection with a 1.1 stock split. As of March 31, 2023 and December 31, 2022, there were 9,487,500 shares of Class B common stock issued and outstanding.</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NOTES TO CONDENSED FINANCIAL STATEMENTS</w:t>
      </w: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consummation of this offering, the placement units and securities underlying the placement units and assuming the initial stockholders do not purchase units in this offering).</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 -linked securities issued, or to be issued, to any seller in the initial Business Combination or any private placement-equivalent units and their underlying securities issued to the Sponsor or its affiliates upon conversion of Working Capital Loans made to the Company) .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6"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73"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2" w:lineRule="exact"/>
        <w:rPr>
          <w:sz w:val="20"/>
          <w:szCs w:val="20"/>
          <w:color w:val="auto"/>
        </w:rPr>
      </w:pPr>
    </w:p>
    <w:p>
      <w:pPr>
        <w:jc w:val="both"/>
        <w:ind w:right="40"/>
        <w:spacing w:after="0" w:line="277" w:lineRule="auto"/>
        <w:rPr>
          <w:sz w:val="20"/>
          <w:szCs w:val="20"/>
          <w:color w:val="auto"/>
        </w:rPr>
      </w:pPr>
      <w:r>
        <w:rPr>
          <w:rFonts w:ascii="Arial" w:cs="Arial" w:eastAsia="Arial" w:hAnsi="Arial"/>
          <w:sz w:val="14"/>
          <w:szCs w:val="14"/>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w:t>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80"/>
          </w:cols>
          <w:pgMar w:left="1280" w:top="562" w:right="1240"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Once the warrants become exercisable, the Company may redeem the outstanding warrants:</w:t>
      </w:r>
    </w:p>
    <w:p>
      <w:pPr>
        <w:spacing w:after="0" w:line="188" w:lineRule="exact"/>
        <w:rPr>
          <w:sz w:val="20"/>
          <w:szCs w:val="20"/>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whole and not in part;</w:t>
      </w:r>
    </w:p>
    <w:p>
      <w:pPr>
        <w:spacing w:after="0" w:line="188" w:lineRule="exact"/>
        <w:rPr>
          <w:rFonts w:ascii="Arial" w:cs="Arial" w:eastAsia="Arial" w:hAnsi="Arial"/>
          <w:sz w:val="16"/>
          <w:szCs w:val="16"/>
          <w:color w:val="auto"/>
        </w:rPr>
      </w:pPr>
    </w:p>
    <w:p>
      <w:pPr>
        <w:ind w:left="580" w:hanging="29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 price of $0.01 per warrant;</w:t>
      </w:r>
    </w:p>
    <w:p>
      <w:pPr>
        <w:spacing w:after="0" w:line="188" w:lineRule="exact"/>
        <w:rPr>
          <w:rFonts w:ascii="Arial" w:cs="Arial" w:eastAsia="Arial" w:hAnsi="Arial"/>
          <w:sz w:val="16"/>
          <w:szCs w:val="16"/>
          <w:color w:val="auto"/>
        </w:rPr>
      </w:pPr>
    </w:p>
    <w:p>
      <w:pPr>
        <w:ind w:left="580" w:hanging="294"/>
        <w:spacing w:after="0" w:line="252"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given after the warrants become exercisable (the “ 30-day redemption period”) to each warrant holder;</w:t>
      </w:r>
    </w:p>
    <w:p>
      <w:pPr>
        <w:spacing w:after="0" w:line="166" w:lineRule="exact"/>
        <w:rPr>
          <w:sz w:val="20"/>
          <w:szCs w:val="20"/>
          <w:color w:val="auto"/>
        </w:rPr>
      </w:pPr>
    </w:p>
    <w:p>
      <w:pPr>
        <w:jc w:val="both"/>
        <w:ind w:left="580" w:hanging="299"/>
        <w:spacing w:after="0"/>
        <w:tabs>
          <w:tab w:leader="none" w:pos="560" w:val="left"/>
        </w:tabs>
        <w:rPr>
          <w:sz w:val="20"/>
          <w:szCs w:val="20"/>
          <w:color w:val="auto"/>
        </w:rPr>
      </w:pPr>
      <w:r>
        <w:rPr>
          <w:rFonts w:ascii="Arial" w:cs="Arial" w:eastAsia="Arial" w:hAnsi="Arial"/>
          <w:sz w:val="16"/>
          <w:szCs w:val="16"/>
          <w:color w:val="auto"/>
        </w:rPr>
        <w:t>●</w:t>
        <w:tab/>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76" w:lineRule="exact"/>
        <w:rPr>
          <w:sz w:val="20"/>
          <w:szCs w:val="20"/>
          <w:color w:val="auto"/>
        </w:rPr>
      </w:pPr>
    </w:p>
    <w:p>
      <w:pPr>
        <w:ind w:left="580" w:right="20" w:hanging="294"/>
        <w:spacing w:after="0" w:line="252"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there is a current registration statement in effect with respect to the shares of Class A common stock underlying such warrants.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$ 18.00 per share redemption trigger price described below under “Redemption of warrants” will be adjusted (to the nearest cent) to be equal to 180% of the greater of the Market Value and the Newly Issued Price.</w:t>
      </w:r>
    </w:p>
    <w:p>
      <w:pPr>
        <w:spacing w:after="0" w:line="302"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BURTECH ACQUISITION CORP.</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FINANCIAL STATEMENTS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FAIR VALUE MEASUREMENTS</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following table presents information about the Company’s assets and liabilities that were measured at fair value on a recurring basis as of March 31, 2023 and December 31, 2022 and indicates the fair value hierarchy of the valuation techniques the Company utilized to determine such fair value.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Quoted Prices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48"/>
              <w:spacing w:after="0"/>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88"/>
              <w:spacing w:after="0"/>
              <w:rPr>
                <w:sz w:val="20"/>
                <w:szCs w:val="20"/>
                <w:color w:val="auto"/>
              </w:rPr>
            </w:pPr>
            <w:r>
              <w:rPr>
                <w:rFonts w:ascii="Arial" w:cs="Arial" w:eastAsia="Arial" w:hAnsi="Arial"/>
                <w:sz w:val="13"/>
                <w:szCs w:val="13"/>
                <w:b w:val="1"/>
                <w:bCs w:val="1"/>
                <w:color w:val="auto"/>
              </w:rPr>
              <w:t>Significant Other</w:t>
            </w:r>
          </w:p>
        </w:tc>
      </w:tr>
      <w:tr>
        <w:trPr>
          <w:trHeight w:val="156"/>
        </w:trPr>
        <w:tc>
          <w:tcPr>
            <w:tcW w:w="3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Active Markets</w:t>
            </w:r>
          </w:p>
        </w:tc>
        <w:tc>
          <w:tcPr>
            <w:tcW w:w="8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rPr>
              <w:t>Observable Inputs</w:t>
            </w:r>
          </w:p>
        </w:tc>
        <w:tc>
          <w:tcPr>
            <w:tcW w:w="14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Unobservable Inputs</w:t>
            </w:r>
          </w:p>
        </w:tc>
      </w:tr>
      <w:tr>
        <w:trPr>
          <w:trHeight w:val="172"/>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March 31, 2023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3"/>
                <w:szCs w:val="13"/>
                <w:b w:val="1"/>
                <w:bCs w:val="1"/>
                <w:color w:val="auto"/>
              </w:rPr>
              <w:t>(Level 3)</w:t>
            </w:r>
          </w:p>
        </w:tc>
      </w:tr>
      <w:tr>
        <w:trPr>
          <w:trHeight w:val="172"/>
        </w:trPr>
        <w:tc>
          <w:tcPr>
            <w:tcW w:w="362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Assets:</w:t>
            </w: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80"/>
        </w:trPr>
        <w:tc>
          <w:tcPr>
            <w:tcW w:w="3620" w:type="dxa"/>
            <w:vAlign w:val="bottom"/>
          </w:tcPr>
          <w:p>
            <w:pPr>
              <w:spacing w:after="0" w:line="180" w:lineRule="exact"/>
              <w:rPr>
                <w:sz w:val="20"/>
                <w:szCs w:val="20"/>
                <w:color w:val="auto"/>
              </w:rPr>
            </w:pPr>
            <w:r>
              <w:rPr>
                <w:rFonts w:ascii="Arial" w:cs="Arial" w:eastAsia="Arial" w:hAnsi="Arial"/>
                <w:sz w:val="16"/>
                <w:szCs w:val="16"/>
                <w:color w:val="auto"/>
              </w:rPr>
              <w:t>U.S. Money Market Funds held in Trust Account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line="180" w:lineRule="exact"/>
              <w:rPr>
                <w:sz w:val="20"/>
                <w:szCs w:val="20"/>
                <w:color w:val="auto"/>
              </w:rPr>
            </w:pPr>
            <w:r>
              <w:rPr>
                <w:rFonts w:ascii="Arial" w:cs="Arial" w:eastAsia="Arial" w:hAnsi="Arial"/>
                <w:sz w:val="16"/>
                <w:szCs w:val="16"/>
                <w:color w:val="auto"/>
                <w:w w:val="98"/>
              </w:rPr>
              <w:t>$ 69,431,940</w:t>
            </w:r>
          </w:p>
        </w:tc>
        <w:tc>
          <w:tcPr>
            <w:tcW w:w="20" w:type="dxa"/>
            <w:vAlign w:val="bottom"/>
          </w:tcPr>
          <w:p>
            <w:pPr>
              <w:spacing w:after="0"/>
              <w:rPr>
                <w:sz w:val="15"/>
                <w:szCs w:val="15"/>
                <w:color w:val="auto"/>
              </w:rPr>
            </w:pPr>
          </w:p>
        </w:tc>
        <w:tc>
          <w:tcPr>
            <w:tcW w:w="300" w:type="dxa"/>
            <w:vAlign w:val="bottom"/>
            <w:gridSpan w:val="3"/>
          </w:tcPr>
          <w:p>
            <w:pPr>
              <w:jc w:val="right"/>
              <w:ind w:right="10"/>
              <w:spacing w:after="0" w:line="180"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0" w:lineRule="exact"/>
              <w:rPr>
                <w:sz w:val="20"/>
                <w:szCs w:val="20"/>
                <w:color w:val="auto"/>
              </w:rPr>
            </w:pPr>
            <w:r>
              <w:rPr>
                <w:rFonts w:ascii="Arial" w:cs="Arial" w:eastAsia="Arial" w:hAnsi="Arial"/>
                <w:sz w:val="16"/>
                <w:szCs w:val="16"/>
                <w:color w:val="auto"/>
              </w:rPr>
              <w:t>69,431,940</w:t>
            </w:r>
          </w:p>
        </w:tc>
        <w:tc>
          <w:tcPr>
            <w:tcW w:w="6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tcPr>
          <w:p>
            <w:pPr>
              <w:ind w:left="960"/>
              <w:spacing w:after="0" w:line="180" w:lineRule="exact"/>
              <w:rPr>
                <w:sz w:val="20"/>
                <w:szCs w:val="20"/>
                <w:color w:val="auto"/>
              </w:rPr>
            </w:pPr>
            <w:r>
              <w:rPr>
                <w:rFonts w:ascii="Arial" w:cs="Arial" w:eastAsia="Arial" w:hAnsi="Arial"/>
                <w:sz w:val="16"/>
                <w:szCs w:val="16"/>
                <w:b w:val="1"/>
                <w:bCs w:val="1"/>
                <w:color w:val="auto"/>
              </w:rPr>
              <w:t>—</w:t>
            </w:r>
          </w:p>
        </w:tc>
        <w:tc>
          <w:tcPr>
            <w:tcW w:w="2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80" w:lineRule="exact"/>
              <w:rPr>
                <w:sz w:val="20"/>
                <w:szCs w:val="20"/>
                <w:color w:val="auto"/>
              </w:rPr>
            </w:pPr>
            <w:r>
              <w:rPr>
                <w:rFonts w:ascii="Arial" w:cs="Arial" w:eastAsia="Arial" w:hAnsi="Arial"/>
                <w:sz w:val="16"/>
                <w:szCs w:val="16"/>
                <w:b w:val="1"/>
                <w:bCs w:val="1"/>
                <w:color w:val="auto"/>
              </w:rPr>
              <w:t>—</w:t>
            </w:r>
          </w:p>
        </w:tc>
      </w:tr>
      <w:tr>
        <w:trPr>
          <w:trHeight w:val="172"/>
        </w:trPr>
        <w:tc>
          <w:tcPr>
            <w:tcW w:w="36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8"/>
              </w:rPr>
              <w:t>$ 69,431,940</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line="172" w:lineRule="exact"/>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69,431,940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ind w:left="960"/>
              <w:spacing w:after="0" w:line="172"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shd w:val="clear" w:color="auto" w:fill="CCEEFF"/>
          </w:tcPr>
          <w:p>
            <w:pPr>
              <w:ind w:left="1100"/>
              <w:spacing w:after="0" w:line="172" w:lineRule="exact"/>
              <w:rPr>
                <w:sz w:val="20"/>
                <w:szCs w:val="20"/>
                <w:color w:val="auto"/>
              </w:rPr>
            </w:pPr>
            <w:r>
              <w:rPr>
                <w:rFonts w:ascii="Arial" w:cs="Arial" w:eastAsia="Arial" w:hAnsi="Arial"/>
                <w:sz w:val="16"/>
                <w:szCs w:val="16"/>
                <w:b w:val="1"/>
                <w:bCs w:val="1"/>
                <w:color w:val="auto"/>
              </w:rPr>
              <w:t>—</w:t>
            </w: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09"/>
        </w:trPr>
        <w:tc>
          <w:tcPr>
            <w:tcW w:w="3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Quoted Prices In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right="48"/>
              <w:spacing w:after="0"/>
              <w:rPr>
                <w:sz w:val="20"/>
                <w:szCs w:val="20"/>
                <w:color w:val="auto"/>
              </w:rPr>
            </w:pPr>
            <w:r>
              <w:rPr>
                <w:rFonts w:ascii="Arial" w:cs="Arial" w:eastAsia="Arial" w:hAnsi="Arial"/>
                <w:sz w:val="13"/>
                <w:szCs w:val="13"/>
                <w:b w:val="1"/>
                <w:bCs w:val="1"/>
                <w:color w:val="auto"/>
              </w:rPr>
              <w:t>Significant Other</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88"/>
              <w:spacing w:after="0"/>
              <w:rPr>
                <w:sz w:val="20"/>
                <w:szCs w:val="20"/>
                <w:color w:val="auto"/>
              </w:rPr>
            </w:pPr>
            <w:r>
              <w:rPr>
                <w:rFonts w:ascii="Arial" w:cs="Arial" w:eastAsia="Arial" w:hAnsi="Arial"/>
                <w:sz w:val="13"/>
                <w:szCs w:val="13"/>
                <w:b w:val="1"/>
                <w:bCs w:val="1"/>
                <w:color w:val="auto"/>
              </w:rPr>
              <w:t>Significant Other</w:t>
            </w:r>
          </w:p>
        </w:tc>
      </w:tr>
      <w:tr>
        <w:trPr>
          <w:trHeight w:val="156"/>
        </w:trPr>
        <w:tc>
          <w:tcPr>
            <w:tcW w:w="3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Active Markets</w:t>
            </w:r>
          </w:p>
        </w:tc>
        <w:tc>
          <w:tcPr>
            <w:tcW w:w="80" w:type="dxa"/>
            <w:vAlign w:val="bottom"/>
          </w:tcPr>
          <w:p>
            <w:pPr>
              <w:spacing w:after="0"/>
              <w:rPr>
                <w:sz w:val="13"/>
                <w:szCs w:val="13"/>
                <w:color w:val="auto"/>
              </w:rPr>
            </w:pP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auto"/>
              </w:rPr>
              <w:t>Observable Inputs</w:t>
            </w:r>
          </w:p>
        </w:tc>
        <w:tc>
          <w:tcPr>
            <w:tcW w:w="14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Unobservable Inputs</w:t>
            </w:r>
          </w:p>
        </w:tc>
      </w:tr>
      <w:tr>
        <w:trPr>
          <w:trHeight w:val="172"/>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48"/>
              <w:spacing w:after="0"/>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Arial" w:cs="Arial" w:eastAsia="Arial" w:hAnsi="Arial"/>
                <w:sz w:val="13"/>
                <w:szCs w:val="13"/>
                <w:b w:val="1"/>
                <w:bCs w:val="1"/>
                <w:color w:val="auto"/>
              </w:rPr>
              <w:t>(Level 3)</w:t>
            </w:r>
          </w:p>
        </w:tc>
      </w:tr>
      <w:tr>
        <w:trPr>
          <w:trHeight w:val="172"/>
        </w:trPr>
        <w:tc>
          <w:tcPr>
            <w:tcW w:w="3620" w:type="dxa"/>
            <w:vAlign w:val="bottom"/>
            <w:tcBorders>
              <w:top w:val="single" w:sz="8" w:color="CCEEFF"/>
            </w:tcBorders>
            <w:shd w:val="clear" w:color="auto" w:fill="CCEEFF"/>
          </w:tcPr>
          <w:p>
            <w:pPr>
              <w:spacing w:after="0" w:line="172" w:lineRule="exact"/>
              <w:rPr>
                <w:sz w:val="20"/>
                <w:szCs w:val="20"/>
                <w:color w:val="auto"/>
              </w:rPr>
            </w:pPr>
            <w:r>
              <w:rPr>
                <w:rFonts w:ascii="Arial" w:cs="Arial" w:eastAsia="Arial" w:hAnsi="Arial"/>
                <w:sz w:val="16"/>
                <w:szCs w:val="16"/>
                <w:color w:val="auto"/>
              </w:rPr>
              <w:t>Assets:</w:t>
            </w:r>
          </w:p>
        </w:tc>
        <w:tc>
          <w:tcPr>
            <w:tcW w:w="3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r>
      <w:tr>
        <w:trPr>
          <w:trHeight w:val="180"/>
        </w:trPr>
        <w:tc>
          <w:tcPr>
            <w:tcW w:w="3620" w:type="dxa"/>
            <w:vAlign w:val="bottom"/>
          </w:tcPr>
          <w:p>
            <w:pPr>
              <w:spacing w:after="0" w:line="180" w:lineRule="exact"/>
              <w:rPr>
                <w:sz w:val="20"/>
                <w:szCs w:val="20"/>
                <w:color w:val="auto"/>
              </w:rPr>
            </w:pPr>
            <w:r>
              <w:rPr>
                <w:rFonts w:ascii="Arial" w:cs="Arial" w:eastAsia="Arial" w:hAnsi="Arial"/>
                <w:sz w:val="16"/>
                <w:szCs w:val="16"/>
                <w:color w:val="auto"/>
              </w:rPr>
              <w:t>U.S. Money Market Funds held in Trust Account</w:t>
            </w:r>
          </w:p>
        </w:tc>
        <w:tc>
          <w:tcPr>
            <w:tcW w:w="560" w:type="dxa"/>
            <w:vAlign w:val="bottom"/>
            <w:gridSpan w:val="2"/>
          </w:tcPr>
          <w:p>
            <w:pPr>
              <w:ind w:left="300"/>
              <w:spacing w:after="0" w:line="180"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0" w:lineRule="exact"/>
              <w:rPr>
                <w:sz w:val="20"/>
                <w:szCs w:val="20"/>
                <w:color w:val="auto"/>
              </w:rPr>
            </w:pPr>
            <w:r>
              <w:rPr>
                <w:rFonts w:ascii="Arial" w:cs="Arial" w:eastAsia="Arial" w:hAnsi="Arial"/>
                <w:sz w:val="16"/>
                <w:szCs w:val="16"/>
                <w:color w:val="auto"/>
              </w:rPr>
              <w:t>295,802,694</w:t>
            </w:r>
          </w:p>
        </w:tc>
        <w:tc>
          <w:tcPr>
            <w:tcW w:w="20" w:type="dxa"/>
            <w:vAlign w:val="bottom"/>
          </w:tcPr>
          <w:p>
            <w:pPr>
              <w:spacing w:after="0"/>
              <w:rPr>
                <w:sz w:val="15"/>
                <w:szCs w:val="15"/>
                <w:color w:val="auto"/>
              </w:rPr>
            </w:pPr>
          </w:p>
        </w:tc>
        <w:tc>
          <w:tcPr>
            <w:tcW w:w="1200" w:type="dxa"/>
            <w:vAlign w:val="bottom"/>
            <w:gridSpan w:val="4"/>
          </w:tcPr>
          <w:p>
            <w:pPr>
              <w:jc w:val="right"/>
              <w:spacing w:after="0" w:line="180" w:lineRule="exact"/>
              <w:rPr>
                <w:sz w:val="20"/>
                <w:szCs w:val="20"/>
                <w:color w:val="auto"/>
              </w:rPr>
            </w:pPr>
            <w:r>
              <w:rPr>
                <w:rFonts w:ascii="Arial" w:cs="Arial" w:eastAsia="Arial" w:hAnsi="Arial"/>
                <w:sz w:val="16"/>
                <w:szCs w:val="16"/>
                <w:color w:val="auto"/>
              </w:rPr>
              <w:t>$ 295,802,694</w:t>
            </w:r>
          </w:p>
        </w:tc>
        <w:tc>
          <w:tcPr>
            <w:tcW w:w="6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180" w:type="dxa"/>
            <w:vAlign w:val="bottom"/>
          </w:tcPr>
          <w:p>
            <w:pPr>
              <w:ind w:left="960"/>
              <w:spacing w:after="0" w:line="180"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300" w:type="dxa"/>
            <w:vAlign w:val="bottom"/>
          </w:tcPr>
          <w:p>
            <w:pPr>
              <w:ind w:left="1100"/>
              <w:spacing w:after="0" w:line="180" w:lineRule="exact"/>
              <w:rPr>
                <w:sz w:val="20"/>
                <w:szCs w:val="20"/>
                <w:color w:val="auto"/>
              </w:rPr>
            </w:pPr>
            <w:r>
              <w:rPr>
                <w:rFonts w:ascii="Arial" w:cs="Arial" w:eastAsia="Arial" w:hAnsi="Arial"/>
                <w:sz w:val="16"/>
                <w:szCs w:val="16"/>
                <w:color w:val="auto"/>
              </w:rPr>
              <w:t>—</w:t>
            </w:r>
          </w:p>
        </w:tc>
      </w:tr>
      <w:tr>
        <w:trPr>
          <w:trHeight w:val="172"/>
        </w:trPr>
        <w:tc>
          <w:tcPr>
            <w:tcW w:w="36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rPr>
              <w:t>295,802,694</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040" w:type="dxa"/>
            <w:vAlign w:val="bottom"/>
            <w:tcBorders>
              <w:top w:val="single" w:sz="8" w:color="auto"/>
              <w:bottom w:val="single" w:sz="8" w:color="auto"/>
            </w:tcBorders>
            <w:gridSpan w:val="2"/>
            <w:shd w:val="clear" w:color="auto" w:fill="CCEEFF"/>
          </w:tcPr>
          <w:p>
            <w:pPr>
              <w:jc w:val="right"/>
              <w:spacing w:after="0" w:line="172" w:lineRule="exact"/>
              <w:rPr>
                <w:sz w:val="20"/>
                <w:szCs w:val="20"/>
                <w:color w:val="auto"/>
              </w:rPr>
            </w:pPr>
            <w:r>
              <w:rPr>
                <w:rFonts w:ascii="Arial" w:cs="Arial" w:eastAsia="Arial" w:hAnsi="Arial"/>
                <w:sz w:val="16"/>
                <w:szCs w:val="16"/>
                <w:b w:val="1"/>
                <w:bCs w:val="1"/>
                <w:color w:val="auto"/>
                <w:w w:val="93"/>
              </w:rPr>
              <w:t>$ 295,802,694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shd w:val="clear" w:color="auto" w:fill="CCEEFF"/>
          </w:tcPr>
          <w:p>
            <w:pPr>
              <w:ind w:left="960"/>
              <w:spacing w:after="0" w:line="172" w:lineRule="exact"/>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Borders>
              <w:top w:val="single" w:sz="8" w:color="auto"/>
              <w:bottom w:val="single" w:sz="8" w:color="auto"/>
            </w:tcBorders>
            <w:shd w:val="clear" w:color="auto" w:fill="CCEEFF"/>
          </w:tcPr>
          <w:p>
            <w:pPr>
              <w:ind w:left="1100"/>
              <w:spacing w:after="0" w:line="172" w:lineRule="exact"/>
              <w:rPr>
                <w:sz w:val="20"/>
                <w:szCs w:val="20"/>
                <w:color w:val="auto"/>
              </w:rPr>
            </w:pPr>
            <w:r>
              <w:rPr>
                <w:rFonts w:ascii="Arial" w:cs="Arial" w:eastAsia="Arial" w:hAnsi="Arial"/>
                <w:sz w:val="16"/>
                <w:szCs w:val="16"/>
                <w:b w:val="1"/>
                <w:bCs w:val="1"/>
                <w:color w:val="auto"/>
              </w:rPr>
              <w:t>—</w:t>
            </w:r>
          </w:p>
        </w:tc>
      </w:tr>
      <w:tr>
        <w:trPr>
          <w:trHeight w:val="20"/>
        </w:trPr>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SUBSEQUENT EVENTS</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unaudited condensed financial statements were issued. Based upon this review, the Company did not identify any subsequent events, other than below, that would have required adjustment or disclosure in the unaudited condensed financial statements.</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May 23, 2023, the Company received a notification letter from the Listing Qualifications Department of NASDAQ indicating that, as a result of the Company’s delay in filing its Quarterly Report on Form 10-Q for the period ended March 31, 2023 with the SEC, the Company was not in compliance with the requirements for continued listing under Nasdaq Listing Rule 5250(c)(1). The notification letter has no immediate effect on the listing or trading of the Company’s common stock on the Nasdaq Global Market. The Notice states that the Company has 60 calendar days from the date of the Notice, or July 24, 2023, to submit a plan to regain compliance with the Listing Rule.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22" w:name="page23"/>
    <w:bookmarkEnd w:id="22"/>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6" w:lineRule="exact"/>
        <w:rPr>
          <w:sz w:val="20"/>
          <w:szCs w:val="20"/>
          <w:color w:val="auto"/>
        </w:rPr>
      </w:pPr>
    </w:p>
    <w:p>
      <w:pPr>
        <w:jc w:val="both"/>
        <w:ind w:left="2"/>
        <w:spacing w:after="0" w:line="281" w:lineRule="auto"/>
        <w:rPr>
          <w:sz w:val="20"/>
          <w:szCs w:val="20"/>
          <w:color w:val="auto"/>
        </w:rPr>
      </w:pPr>
      <w:r>
        <w:rPr>
          <w:rFonts w:ascii="Arial" w:cs="Arial" w:eastAsia="Arial" w:hAnsi="Arial"/>
          <w:sz w:val="14"/>
          <w:szCs w:val="14"/>
          <w:color w:val="auto"/>
        </w:rPr>
        <w:t>References in this report (this “Quarterly Report”) to “we,” “us” or the “Company” refer to BurTech Acquisition Corp. References to our “management” or our “management team” refer to our officers and directors, and references to the “Sponsor” refer to BurTech LP, LLC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4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6" w:lineRule="exact"/>
        <w:rPr>
          <w:sz w:val="20"/>
          <w:szCs w:val="20"/>
          <w:color w:val="auto"/>
        </w:rPr>
      </w:pPr>
    </w:p>
    <w:p>
      <w:pPr>
        <w:jc w:val="both"/>
        <w:ind w:left="2"/>
        <w:spacing w:after="0" w:line="236" w:lineRule="auto"/>
        <w:rPr>
          <w:sz w:val="20"/>
          <w:szCs w:val="20"/>
          <w:color w:val="auto"/>
        </w:rPr>
      </w:pPr>
      <w:r>
        <w:rPr>
          <w:rFonts w:ascii="Arial" w:cs="Arial" w:eastAsia="Arial" w:hAnsi="Arial"/>
          <w:sz w:val="16"/>
          <w:szCs w:val="16"/>
          <w:color w:val="auto"/>
        </w:rPr>
        <w:t>This Quarterly Report includes “forward- 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10 -K (as defined below) filed with the U.S. Securities and Exchange Commission (the “SEC”) . The Company’s filings with the SEC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Overview</w:t>
      </w:r>
    </w:p>
    <w:p>
      <w:pPr>
        <w:spacing w:after="0" w:line="196" w:lineRule="exact"/>
        <w:rPr>
          <w:sz w:val="20"/>
          <w:szCs w:val="20"/>
          <w:color w:val="auto"/>
        </w:rPr>
      </w:pPr>
    </w:p>
    <w:p>
      <w:pPr>
        <w:jc w:val="both"/>
        <w:ind w:left="2"/>
        <w:spacing w:after="0" w:line="243" w:lineRule="auto"/>
        <w:rPr>
          <w:sz w:val="20"/>
          <w:szCs w:val="20"/>
          <w:color w:val="auto"/>
        </w:rPr>
      </w:pPr>
      <w:r>
        <w:rPr>
          <w:rFonts w:ascii="Arial" w:cs="Arial" w:eastAsia="Arial" w:hAnsi="Arial"/>
          <w:sz w:val="16"/>
          <w:szCs w:val="16"/>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73" w:lineRule="exact"/>
        <w:rPr>
          <w:sz w:val="20"/>
          <w:szCs w:val="20"/>
          <w:color w:val="auto"/>
        </w:rPr>
      </w:pPr>
    </w:p>
    <w:p>
      <w:pPr>
        <w:jc w:val="both"/>
        <w:ind w:left="2"/>
        <w:spacing w:after="0" w:line="238" w:lineRule="auto"/>
        <w:rPr>
          <w:sz w:val="20"/>
          <w:szCs w:val="20"/>
          <w:color w:val="auto"/>
        </w:rPr>
      </w:pPr>
      <w:r>
        <w:rPr>
          <w:rFonts w:ascii="Arial" w:cs="Arial" w:eastAsia="Arial" w:hAnsi="Arial"/>
          <w:sz w:val="16"/>
          <w:szCs w:val="16"/>
          <w:color w:val="auto"/>
        </w:rPr>
        <w:t>On December 15, 2021, we completed the IPO of 28,750,000 units, including 3,750,000 units from the full exercise of the overallotment option by the underwriters, at $10.00 per unit (the “Units”) .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78" w:lineRule="exact"/>
        <w:rPr>
          <w:sz w:val="20"/>
          <w:szCs w:val="20"/>
          <w:color w:val="auto"/>
        </w:rPr>
      </w:pPr>
    </w:p>
    <w:p>
      <w:pPr>
        <w:jc w:val="both"/>
        <w:ind w:left="2"/>
        <w:spacing w:after="0" w:line="286" w:lineRule="auto"/>
        <w:rPr>
          <w:sz w:val="20"/>
          <w:szCs w:val="20"/>
          <w:color w:val="auto"/>
        </w:rPr>
      </w:pPr>
      <w:r>
        <w:rPr>
          <w:rFonts w:ascii="Arial" w:cs="Arial" w:eastAsia="Arial" w:hAnsi="Arial"/>
          <w:sz w:val="14"/>
          <w:szCs w:val="14"/>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such holders. Following redemptions, the Company will have 6,630,703 shares of Class A common stock outstanding, and approximately $68.0 million will remain in the Company’s trust account.</w:t>
      </w:r>
    </w:p>
    <w:p>
      <w:pPr>
        <w:spacing w:after="0" w:line="145" w:lineRule="exact"/>
        <w:rPr>
          <w:sz w:val="20"/>
          <w:szCs w:val="20"/>
          <w:color w:val="auto"/>
        </w:rPr>
      </w:pPr>
    </w:p>
    <w:p>
      <w:pPr>
        <w:jc w:val="both"/>
        <w:ind w:left="2"/>
        <w:spacing w:after="0" w:line="270" w:lineRule="auto"/>
        <w:rPr>
          <w:sz w:val="20"/>
          <w:szCs w:val="20"/>
          <w:color w:val="auto"/>
        </w:rPr>
      </w:pPr>
      <w:r>
        <w:rPr>
          <w:rFonts w:ascii="Arial" w:cs="Arial" w:eastAsia="Arial" w:hAnsi="Arial"/>
          <w:sz w:val="14"/>
          <w:szCs w:val="14"/>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jc w:val="center"/>
        <w:ind w:left="4582" w:hanging="4582"/>
        <w:spacing w:after="0" w:line="740" w:lineRule="auto"/>
        <w:tabs>
          <w:tab w:leader="none" w:pos="247"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promptly as reasonably possible following the redemption, subject to the approval of our remaining stockholders and our board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591502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62" w:right="1280"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96"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We have neither engaged in any operations nor generated any revenues to date. Our only activities through March 31, 2023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the three months ended March 31, 2023, we had a net income of $1,574,791, which consisted of interest from marketable securities held in our Trust Account of $3,075,729, offset by operating costs and franchise taxes of $895,810. and provision for income taxes of $605,128.</w:t>
      </w:r>
    </w:p>
    <w:p>
      <w:pPr>
        <w:spacing w:after="0" w:line="173"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For the three months ended March 31, 2022, we had a net loss of $96,922, which consisted of $126,308 in operating costs offset by $27 in interest income from the operating bank account and interest income of $29,386 from marketable securities held in our Trust Account.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Going Concern</w:t>
      </w:r>
    </w:p>
    <w:p>
      <w:pPr>
        <w:spacing w:after="0" w:line="19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As of March 31, 2023, the Company had $1,172,371 in its operating bank accounts, $69,431,940 in investments held in the Trust Account to be used for a Business Combination or to repurchase or redeem its Public Shares in connection therewith and working capital deficit of $3,061,468. As of March 31, 2023, $2,130,305 of the amount on deposit in the Trust Account represented interest income.</w:t>
      </w:r>
    </w:p>
    <w:p>
      <w:pPr>
        <w:spacing w:after="0" w:line="17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Our liquidity needs up to March 31, 2023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March 31, 2023, there was $99,975 outstanding under any Working Capital Loans.</w:t>
      </w:r>
    </w:p>
    <w:p>
      <w:pPr>
        <w:spacing w:after="0" w:line="176"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76"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The Company is less than 7 months from its mandatory liquidation as of the time of filing this Annual Report on Form 10-K. In connection with the Company’s assessment of going concern considerations in accordance with Accounting Standards Codification Subtopic 205- 40,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unaudited condensed financial statements contained in this Annual Report on Form 10-K are issued.</w:t>
      </w:r>
    </w:p>
    <w:p>
      <w:pPr>
        <w:spacing w:after="0" w:line="178"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These conditions raise substantial doubt about the Company’s ability to continue as a going concern. These unaudited condensed financial statements do not include any adjustments relating to the recovery of the recorded assets or the classification of the liabilities that might be necessary should the Company be unable to continue as a going concern.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Financing Arrangements</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62" w:right="1260"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2023.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96"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We do not have any long- term debt, capital lease obligations, operating lease obligations or long-term liabilities, other than an agreement to pay an affiliate of our financial advisor a monthly fee of $ 10,000 for office space, utilities and administrative support. Upon completion of our Business Combination or the Company’s liquidation, we will cease paying these monthly fees.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9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The preparation of the unaudited condensed financial statements in conformity with U.S.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Subject to Possible Redemption</w:t>
      </w:r>
    </w:p>
    <w:p>
      <w:pPr>
        <w:spacing w:after="0" w:line="196" w:lineRule="exact"/>
        <w:rPr>
          <w:sz w:val="20"/>
          <w:szCs w:val="20"/>
          <w:color w:val="auto"/>
        </w:rPr>
      </w:pPr>
    </w:p>
    <w:p>
      <w:pPr>
        <w:jc w:val="both"/>
        <w:ind w:right="20"/>
        <w:spacing w:after="0" w:line="276" w:lineRule="auto"/>
        <w:rPr>
          <w:sz w:val="20"/>
          <w:szCs w:val="20"/>
          <w:color w:val="auto"/>
        </w:rPr>
      </w:pPr>
      <w:r>
        <w:rPr>
          <w:rFonts w:ascii="Arial" w:cs="Arial" w:eastAsia="Arial" w:hAnsi="Arial"/>
          <w:sz w:val="14"/>
          <w:szCs w:val="14"/>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March 31, 2023 and December 31, 2022, 6,630,703 and 28,750,000 Class A common stock subject to possible redemption are presented at redemption value as temporary equity, outside of the stockholders’ deficit section of our balance sheets.</w:t>
      </w:r>
    </w:p>
    <w:p>
      <w:pPr>
        <w:spacing w:after="0" w:line="151"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6"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7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We account for the public warrants and private warrants collectively (“Warrants”), as either equity or liability- 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For issued or modified warrants that meet all of the criteria for equity classification, such warrants are required to be recorded as a component of additional paid -in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0"/>
          </w:cols>
          <w:pgMar w:left="1280" w:top="562" w:right="1260"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Income/Loss Per Common Stock</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three months ended March 31, 2023 and 2022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In August 2020, the FASB issued Accounting Standards Update (“ASU”) 2020-06, Debt - Debt with Conversion and Other Options (Subtopic 470 -20)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 We have not adopted this guidance as of March 31, 2023.</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June 2016, the FASB issued Accounting Standards Update (“ASU”) 2016-13 – Financial Instruments – Credit Losses (Topic 326): Measurement of Credit Losses on Financial Instruments (“ASU 2016-13”). This 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financial statements.</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management does not believe that any other recently issued, but not yet effective, accounting standards if currently adopted would have a material effect on the accompanying financial statement.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a smaller reporting company we are not required to make disclosures under this Item.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officer and principal financial officer, to allow timely decisions regarding required disclosure.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the effectiveness of our disclosure controls and procedures as of the end of the fiscal quarter ended March 31, 2023, as such term is defined in Rules 13a-15(e) and 15d-15(e) under the Exchange Act. Based on this evaluation, our principal executive officer and principal financial officer has concluded that during the period covered by this report, our disclosure controls and procedures were effective.</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6"/>
          <w:szCs w:val="16"/>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Rules 13a-15(f) and 15d- 15(f)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 - 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i w:val="1"/>
          <w:iCs w:val="1"/>
          <w:color w:val="auto"/>
        </w:rPr>
        <w:t>We may be subject to the Excise Tax included in the Inflation Reduction Act of 2022 in connection with redemptions of our common stock after December 31, 2023.</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62" w:right="1280" w:bottom="1440" w:gutter="0" w:footer="0" w:header="0"/>
        </w:sectPr>
      </w:pPr>
    </w:p>
    <w:bookmarkStart w:id="28" w:name="page29"/>
    <w:bookmarkEnd w:id="28"/>
    <w:p>
      <w:pPr>
        <w:ind w:left="2"/>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6. EXHIBITS</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exhibits are filed as part of, or incorporated by reference into, this Quarterly Report:</w:t>
      </w:r>
    </w:p>
    <w:p>
      <w:pPr>
        <w:spacing w:after="0" w:line="180"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112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260" w:type="dxa"/>
            <w:vAlign w:val="bottom"/>
          </w:tcPr>
          <w:p>
            <w:pPr>
              <w:spacing w:after="0"/>
              <w:rPr>
                <w:sz w:val="14"/>
                <w:szCs w:val="14"/>
                <w:color w:val="auto"/>
              </w:rPr>
            </w:pPr>
          </w:p>
        </w:tc>
        <w:tc>
          <w:tcPr>
            <w:tcW w:w="798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148"/>
        </w:trPr>
        <w:tc>
          <w:tcPr>
            <w:tcW w:w="11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6"/>
                <w:szCs w:val="16"/>
                <w:color w:val="auto"/>
              </w:rPr>
              <w:t>31.1*</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960" w:type="dxa"/>
            <w:vAlign w:val="bottom"/>
            <w:tcBorders>
              <w:top w:val="single" w:sz="8" w:color="auto"/>
              <w:bottom w:val="single" w:sz="8" w:color="0000EE"/>
            </w:tcBorders>
            <w:gridSpan w:val="2"/>
            <w:shd w:val="clear" w:color="auto" w:fill="CCEEFF"/>
          </w:tcPr>
          <w:p>
            <w:pPr>
              <w:spacing w:after="0" w:line="148"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Certification of Principal Executive Officer Pursuant to Securities Exchange Act Rules 13a-14(a) and 15d-14(a), as</w:t>
              </w:r>
            </w:hyperlink>
          </w:p>
        </w:tc>
        <w:tc>
          <w:tcPr>
            <w:tcW w:w="20" w:type="dxa"/>
            <w:vAlign w:val="bottom"/>
          </w:tcPr>
          <w:p>
            <w:pPr>
              <w:spacing w:after="0"/>
              <w:rPr>
                <w:sz w:val="12"/>
                <w:szCs w:val="12"/>
                <w:color w:val="auto"/>
              </w:rPr>
            </w:pPr>
          </w:p>
        </w:tc>
      </w:tr>
      <w:tr>
        <w:trPr>
          <w:trHeight w:val="164"/>
        </w:trPr>
        <w:tc>
          <w:tcPr>
            <w:tcW w:w="1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700" w:type="dxa"/>
            <w:vAlign w:val="bottom"/>
            <w:tcBorders>
              <w:bottom w:val="single" w:sz="8" w:color="0000EE"/>
            </w:tcBorders>
            <w:shd w:val="clear" w:color="auto" w:fill="CCEEFF"/>
          </w:tcPr>
          <w:p>
            <w:pPr>
              <w:spacing w:after="0" w:line="160"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adopted Pursuant to Section 302 of the Sarbanes-Oxley Act of 2002</w:t>
              </w:r>
            </w:hyperlink>
          </w:p>
        </w:tc>
        <w:tc>
          <w:tcPr>
            <w:tcW w:w="32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120" w:type="dxa"/>
            <w:vAlign w:val="bottom"/>
          </w:tcPr>
          <w:p>
            <w:pPr>
              <w:spacing w:after="0" w:line="156" w:lineRule="exact"/>
              <w:rPr>
                <w:sz w:val="20"/>
                <w:szCs w:val="20"/>
                <w:color w:val="auto"/>
              </w:rPr>
            </w:pPr>
            <w:r>
              <w:rPr>
                <w:rFonts w:ascii="Arial" w:cs="Arial" w:eastAsia="Arial" w:hAnsi="Arial"/>
                <w:sz w:val="16"/>
                <w:szCs w:val="16"/>
                <w:color w:val="auto"/>
              </w:rPr>
              <w:t>31.2*</w:t>
            </w:r>
          </w:p>
        </w:tc>
        <w:tc>
          <w:tcPr>
            <w:tcW w:w="260" w:type="dxa"/>
            <w:vAlign w:val="bottom"/>
          </w:tcPr>
          <w:p>
            <w:pPr>
              <w:spacing w:after="0"/>
              <w:rPr>
                <w:sz w:val="13"/>
                <w:szCs w:val="13"/>
                <w:color w:val="auto"/>
              </w:rPr>
            </w:pPr>
          </w:p>
        </w:tc>
        <w:tc>
          <w:tcPr>
            <w:tcW w:w="7960" w:type="dxa"/>
            <w:vAlign w:val="bottom"/>
            <w:tcBorders>
              <w:bottom w:val="single" w:sz="8" w:color="0000EE"/>
            </w:tcBorders>
            <w:gridSpan w:val="2"/>
          </w:tcPr>
          <w:p>
            <w:pPr>
              <w:spacing w:after="0" w:line="156" w:lineRule="exact"/>
              <w:rPr>
                <w:rFonts w:ascii="Arial" w:cs="Arial" w:eastAsia="Arial" w:hAnsi="Arial"/>
                <w:sz w:val="16"/>
                <w:szCs w:val="16"/>
                <w:color w:val="0000EE"/>
                <w:w w:val="98"/>
              </w:rPr>
            </w:pPr>
            <w:hyperlink w:anchor="page1">
              <w:r>
                <w:rPr>
                  <w:rFonts w:ascii="Arial" w:cs="Arial" w:eastAsia="Arial" w:hAnsi="Arial"/>
                  <w:sz w:val="16"/>
                  <w:szCs w:val="16"/>
                  <w:color w:val="0000EE"/>
                  <w:w w:val="98"/>
                </w:rPr>
                <w:t>Certification of Principal Financial Officer Pursuant to Securities Exchange Act Rules 13a-14(a) and 15d-14(a), as</w:t>
              </w:r>
            </w:hyperlink>
          </w:p>
        </w:tc>
        <w:tc>
          <w:tcPr>
            <w:tcW w:w="20" w:type="dxa"/>
            <w:vAlign w:val="bottom"/>
          </w:tcPr>
          <w:p>
            <w:pPr>
              <w:spacing w:after="0"/>
              <w:rPr>
                <w:sz w:val="13"/>
                <w:szCs w:val="13"/>
                <w:color w:val="auto"/>
              </w:rPr>
            </w:pPr>
          </w:p>
        </w:tc>
      </w:tr>
      <w:tr>
        <w:trPr>
          <w:trHeight w:val="164"/>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00" w:type="dxa"/>
            <w:vAlign w:val="bottom"/>
            <w:tcBorders>
              <w:bottom w:val="single" w:sz="8" w:color="0000EE"/>
            </w:tcBorders>
          </w:tcPr>
          <w:p>
            <w:pPr>
              <w:spacing w:after="0" w:line="160"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adopted Pursuant to Section 302 of the Sarbanes-Oxley Act of 2002</w:t>
              </w:r>
            </w:hyperlink>
          </w:p>
        </w:tc>
        <w:tc>
          <w:tcPr>
            <w:tcW w:w="3280" w:type="dxa"/>
            <w:vAlign w:val="bottom"/>
            <w:gridSpan w:val="2"/>
          </w:tcPr>
          <w:p>
            <w:pPr>
              <w:spacing w:after="0"/>
              <w:rPr>
                <w:sz w:val="14"/>
                <w:szCs w:val="14"/>
                <w:color w:val="auto"/>
              </w:rPr>
            </w:pPr>
          </w:p>
        </w:tc>
      </w:tr>
      <w:tr>
        <w:trPr>
          <w:trHeight w:val="156"/>
        </w:trPr>
        <w:tc>
          <w:tcPr>
            <w:tcW w:w="112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color w:val="auto"/>
              </w:rPr>
              <w:t>32**</w:t>
            </w:r>
          </w:p>
        </w:tc>
        <w:tc>
          <w:tcPr>
            <w:tcW w:w="260" w:type="dxa"/>
            <w:vAlign w:val="bottom"/>
            <w:tcBorders>
              <w:bottom w:val="single" w:sz="8" w:color="CCEEFF"/>
            </w:tcBorders>
            <w:shd w:val="clear" w:color="auto" w:fill="CCEEFF"/>
          </w:tcPr>
          <w:p>
            <w:pPr>
              <w:spacing w:after="0"/>
              <w:rPr>
                <w:sz w:val="13"/>
                <w:szCs w:val="13"/>
                <w:color w:val="auto"/>
              </w:rPr>
            </w:pPr>
          </w:p>
        </w:tc>
        <w:tc>
          <w:tcPr>
            <w:tcW w:w="7960" w:type="dxa"/>
            <w:vAlign w:val="bottom"/>
            <w:tcBorders>
              <w:bottom w:val="single" w:sz="8" w:color="0000EE"/>
            </w:tcBorders>
            <w:gridSpan w:val="2"/>
            <w:shd w:val="clear" w:color="auto" w:fill="CCEEFF"/>
          </w:tcPr>
          <w:p>
            <w:pPr>
              <w:spacing w:after="0" w:line="156" w:lineRule="exact"/>
              <w:rPr>
                <w:rFonts w:ascii="Arial" w:cs="Arial" w:eastAsia="Arial" w:hAnsi="Arial"/>
                <w:sz w:val="16"/>
                <w:szCs w:val="16"/>
                <w:color w:val="0000EE"/>
                <w:w w:val="99"/>
              </w:rPr>
            </w:pPr>
            <w:hyperlink w:anchor="page1">
              <w:r>
                <w:rPr>
                  <w:rFonts w:ascii="Arial" w:cs="Arial" w:eastAsia="Arial" w:hAnsi="Arial"/>
                  <w:sz w:val="16"/>
                  <w:szCs w:val="16"/>
                  <w:color w:val="0000EE"/>
                  <w:w w:val="99"/>
                </w:rPr>
                <w:t>Certification of Principal Executive Officer and Principal Financial Officer Pursuant to 18 U.S.C. Section 1350, as</w:t>
              </w:r>
            </w:hyperlink>
          </w:p>
        </w:tc>
        <w:tc>
          <w:tcPr>
            <w:tcW w:w="20" w:type="dxa"/>
            <w:vAlign w:val="bottom"/>
          </w:tcPr>
          <w:p>
            <w:pPr>
              <w:spacing w:after="0"/>
              <w:rPr>
                <w:sz w:val="13"/>
                <w:szCs w:val="13"/>
                <w:color w:val="auto"/>
              </w:rPr>
            </w:pPr>
          </w:p>
        </w:tc>
      </w:tr>
      <w:tr>
        <w:trPr>
          <w:trHeight w:val="164"/>
        </w:trPr>
        <w:tc>
          <w:tcPr>
            <w:tcW w:w="1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700" w:type="dxa"/>
            <w:vAlign w:val="bottom"/>
            <w:tcBorders>
              <w:bottom w:val="single" w:sz="8" w:color="0000EE"/>
            </w:tcBorders>
            <w:shd w:val="clear" w:color="auto" w:fill="CCEEFF"/>
          </w:tcPr>
          <w:p>
            <w:pPr>
              <w:spacing w:after="0" w:line="160" w:lineRule="exact"/>
              <w:rPr>
                <w:rFonts w:ascii="Arial" w:cs="Arial" w:eastAsia="Arial" w:hAnsi="Arial"/>
                <w:sz w:val="16"/>
                <w:szCs w:val="16"/>
                <w:color w:val="0000EE"/>
                <w:w w:val="97"/>
              </w:rPr>
            </w:pPr>
            <w:hyperlink w:anchor="page1">
              <w:r>
                <w:rPr>
                  <w:rFonts w:ascii="Arial" w:cs="Arial" w:eastAsia="Arial" w:hAnsi="Arial"/>
                  <w:sz w:val="16"/>
                  <w:szCs w:val="16"/>
                  <w:color w:val="0000EE"/>
                  <w:w w:val="97"/>
                </w:rPr>
                <w:t>adopted Pursuant to Section 906 of the Sarbanes-Oxley Act of 2002</w:t>
              </w:r>
            </w:hyperlink>
          </w:p>
        </w:tc>
        <w:tc>
          <w:tcPr>
            <w:tcW w:w="32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1120" w:type="dxa"/>
            <w:vAlign w:val="bottom"/>
          </w:tcPr>
          <w:p>
            <w:pPr>
              <w:spacing w:after="0" w:line="180" w:lineRule="exact"/>
              <w:rPr>
                <w:sz w:val="20"/>
                <w:szCs w:val="20"/>
                <w:color w:val="auto"/>
              </w:rPr>
            </w:pPr>
            <w:r>
              <w:rPr>
                <w:rFonts w:ascii="Arial" w:cs="Arial" w:eastAsia="Arial" w:hAnsi="Arial"/>
                <w:sz w:val="16"/>
                <w:szCs w:val="16"/>
                <w:color w:val="auto"/>
              </w:rPr>
              <w:t>101.INS</w:t>
            </w:r>
          </w:p>
        </w:tc>
        <w:tc>
          <w:tcPr>
            <w:tcW w:w="260" w:type="dxa"/>
            <w:vAlign w:val="bottom"/>
          </w:tcPr>
          <w:p>
            <w:pPr>
              <w:spacing w:after="0"/>
              <w:rPr>
                <w:sz w:val="15"/>
                <w:szCs w:val="15"/>
                <w:color w:val="auto"/>
              </w:rPr>
            </w:pPr>
          </w:p>
        </w:tc>
        <w:tc>
          <w:tcPr>
            <w:tcW w:w="7960" w:type="dxa"/>
            <w:vAlign w:val="bottom"/>
            <w:gridSpan w:val="2"/>
          </w:tcPr>
          <w:p>
            <w:pPr>
              <w:spacing w:after="0" w:line="180" w:lineRule="exact"/>
              <w:rPr>
                <w:sz w:val="20"/>
                <w:szCs w:val="20"/>
                <w:color w:val="auto"/>
              </w:rPr>
            </w:pPr>
            <w:r>
              <w:rPr>
                <w:rFonts w:ascii="Arial" w:cs="Arial" w:eastAsia="Arial" w:hAnsi="Arial"/>
                <w:sz w:val="16"/>
                <w:szCs w:val="16"/>
                <w:color w:val="auto"/>
              </w:rPr>
              <w:t>Inline XBRL Instance Document</w:t>
            </w:r>
          </w:p>
        </w:tc>
        <w:tc>
          <w:tcPr>
            <w:tcW w:w="20" w:type="dxa"/>
            <w:vAlign w:val="bottom"/>
          </w:tcPr>
          <w:p>
            <w:pPr>
              <w:spacing w:after="0"/>
              <w:rPr>
                <w:sz w:val="15"/>
                <w:szCs w:val="15"/>
                <w:color w:val="auto"/>
              </w:rPr>
            </w:pPr>
          </w:p>
        </w:tc>
      </w:tr>
      <w:tr>
        <w:trPr>
          <w:trHeight w:val="180"/>
        </w:trPr>
        <w:tc>
          <w:tcPr>
            <w:tcW w:w="11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101.CAL</w:t>
            </w:r>
          </w:p>
        </w:tc>
        <w:tc>
          <w:tcPr>
            <w:tcW w:w="260" w:type="dxa"/>
            <w:vAlign w:val="bottom"/>
            <w:shd w:val="clear" w:color="auto" w:fill="CCEEFF"/>
          </w:tcPr>
          <w:p>
            <w:pPr>
              <w:spacing w:after="0"/>
              <w:rPr>
                <w:sz w:val="15"/>
                <w:szCs w:val="15"/>
                <w:color w:val="auto"/>
              </w:rPr>
            </w:pPr>
          </w:p>
        </w:tc>
        <w:tc>
          <w:tcPr>
            <w:tcW w:w="79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Inline XBRL Taxonomy Extension Calculation Linkbase Document</w:t>
            </w:r>
          </w:p>
        </w:tc>
        <w:tc>
          <w:tcPr>
            <w:tcW w:w="20" w:type="dxa"/>
            <w:vAlign w:val="bottom"/>
          </w:tcPr>
          <w:p>
            <w:pPr>
              <w:spacing w:after="0"/>
              <w:rPr>
                <w:sz w:val="15"/>
                <w:szCs w:val="15"/>
                <w:color w:val="auto"/>
              </w:rPr>
            </w:pPr>
          </w:p>
        </w:tc>
      </w:tr>
      <w:tr>
        <w:trPr>
          <w:trHeight w:val="180"/>
        </w:trPr>
        <w:tc>
          <w:tcPr>
            <w:tcW w:w="1120" w:type="dxa"/>
            <w:vAlign w:val="bottom"/>
          </w:tcPr>
          <w:p>
            <w:pPr>
              <w:spacing w:after="0" w:line="180" w:lineRule="exact"/>
              <w:rPr>
                <w:sz w:val="20"/>
                <w:szCs w:val="20"/>
                <w:color w:val="auto"/>
              </w:rPr>
            </w:pPr>
            <w:r>
              <w:rPr>
                <w:rFonts w:ascii="Arial" w:cs="Arial" w:eastAsia="Arial" w:hAnsi="Arial"/>
                <w:sz w:val="16"/>
                <w:szCs w:val="16"/>
                <w:color w:val="auto"/>
              </w:rPr>
              <w:t>101.SCH</w:t>
            </w:r>
          </w:p>
        </w:tc>
        <w:tc>
          <w:tcPr>
            <w:tcW w:w="260" w:type="dxa"/>
            <w:vAlign w:val="bottom"/>
          </w:tcPr>
          <w:p>
            <w:pPr>
              <w:spacing w:after="0"/>
              <w:rPr>
                <w:sz w:val="15"/>
                <w:szCs w:val="15"/>
                <w:color w:val="auto"/>
              </w:rPr>
            </w:pPr>
          </w:p>
        </w:tc>
        <w:tc>
          <w:tcPr>
            <w:tcW w:w="7960" w:type="dxa"/>
            <w:vAlign w:val="bottom"/>
            <w:gridSpan w:val="2"/>
          </w:tcPr>
          <w:p>
            <w:pPr>
              <w:spacing w:after="0" w:line="180" w:lineRule="exact"/>
              <w:rPr>
                <w:sz w:val="20"/>
                <w:szCs w:val="20"/>
                <w:color w:val="auto"/>
              </w:rPr>
            </w:pPr>
            <w:r>
              <w:rPr>
                <w:rFonts w:ascii="Arial" w:cs="Arial" w:eastAsia="Arial" w:hAnsi="Arial"/>
                <w:sz w:val="16"/>
                <w:szCs w:val="16"/>
                <w:color w:val="auto"/>
              </w:rPr>
              <w:t>Inline XBRL Taxonomy Extension Schema Document</w:t>
            </w:r>
          </w:p>
        </w:tc>
        <w:tc>
          <w:tcPr>
            <w:tcW w:w="20" w:type="dxa"/>
            <w:vAlign w:val="bottom"/>
          </w:tcPr>
          <w:p>
            <w:pPr>
              <w:spacing w:after="0"/>
              <w:rPr>
                <w:sz w:val="15"/>
                <w:szCs w:val="15"/>
                <w:color w:val="auto"/>
              </w:rPr>
            </w:pPr>
          </w:p>
        </w:tc>
      </w:tr>
      <w:tr>
        <w:trPr>
          <w:trHeight w:val="180"/>
        </w:trPr>
        <w:tc>
          <w:tcPr>
            <w:tcW w:w="11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101.DEF</w:t>
            </w:r>
          </w:p>
        </w:tc>
        <w:tc>
          <w:tcPr>
            <w:tcW w:w="260" w:type="dxa"/>
            <w:vAlign w:val="bottom"/>
            <w:shd w:val="clear" w:color="auto" w:fill="CCEEFF"/>
          </w:tcPr>
          <w:p>
            <w:pPr>
              <w:spacing w:after="0"/>
              <w:rPr>
                <w:sz w:val="15"/>
                <w:szCs w:val="15"/>
                <w:color w:val="auto"/>
              </w:rPr>
            </w:pPr>
          </w:p>
        </w:tc>
        <w:tc>
          <w:tcPr>
            <w:tcW w:w="79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Inline XBRL Taxonomy Extension Definition Linkbase Document</w:t>
            </w:r>
          </w:p>
        </w:tc>
        <w:tc>
          <w:tcPr>
            <w:tcW w:w="20" w:type="dxa"/>
            <w:vAlign w:val="bottom"/>
          </w:tcPr>
          <w:p>
            <w:pPr>
              <w:spacing w:after="0"/>
              <w:rPr>
                <w:sz w:val="15"/>
                <w:szCs w:val="15"/>
                <w:color w:val="auto"/>
              </w:rPr>
            </w:pPr>
          </w:p>
        </w:tc>
      </w:tr>
      <w:tr>
        <w:trPr>
          <w:trHeight w:val="180"/>
        </w:trPr>
        <w:tc>
          <w:tcPr>
            <w:tcW w:w="1120" w:type="dxa"/>
            <w:vAlign w:val="bottom"/>
          </w:tcPr>
          <w:p>
            <w:pPr>
              <w:spacing w:after="0" w:line="180" w:lineRule="exact"/>
              <w:rPr>
                <w:sz w:val="20"/>
                <w:szCs w:val="20"/>
                <w:color w:val="auto"/>
              </w:rPr>
            </w:pPr>
            <w:r>
              <w:rPr>
                <w:rFonts w:ascii="Arial" w:cs="Arial" w:eastAsia="Arial" w:hAnsi="Arial"/>
                <w:sz w:val="16"/>
                <w:szCs w:val="16"/>
                <w:color w:val="auto"/>
              </w:rPr>
              <w:t>101.LAB</w:t>
            </w:r>
          </w:p>
        </w:tc>
        <w:tc>
          <w:tcPr>
            <w:tcW w:w="260" w:type="dxa"/>
            <w:vAlign w:val="bottom"/>
          </w:tcPr>
          <w:p>
            <w:pPr>
              <w:spacing w:after="0"/>
              <w:rPr>
                <w:sz w:val="15"/>
                <w:szCs w:val="15"/>
                <w:color w:val="auto"/>
              </w:rPr>
            </w:pPr>
          </w:p>
        </w:tc>
        <w:tc>
          <w:tcPr>
            <w:tcW w:w="7960" w:type="dxa"/>
            <w:vAlign w:val="bottom"/>
            <w:gridSpan w:val="2"/>
          </w:tcPr>
          <w:p>
            <w:pPr>
              <w:spacing w:after="0" w:line="180" w:lineRule="exact"/>
              <w:rPr>
                <w:sz w:val="20"/>
                <w:szCs w:val="20"/>
                <w:color w:val="auto"/>
              </w:rPr>
            </w:pPr>
            <w:r>
              <w:rPr>
                <w:rFonts w:ascii="Arial" w:cs="Arial" w:eastAsia="Arial" w:hAnsi="Arial"/>
                <w:sz w:val="16"/>
                <w:szCs w:val="16"/>
                <w:color w:val="auto"/>
              </w:rPr>
              <w:t>Inline XBRL Taxonomy Extension Labels Linkbase Document</w:t>
            </w:r>
          </w:p>
        </w:tc>
        <w:tc>
          <w:tcPr>
            <w:tcW w:w="20" w:type="dxa"/>
            <w:vAlign w:val="bottom"/>
          </w:tcPr>
          <w:p>
            <w:pPr>
              <w:spacing w:after="0"/>
              <w:rPr>
                <w:sz w:val="15"/>
                <w:szCs w:val="15"/>
                <w:color w:val="auto"/>
              </w:rPr>
            </w:pPr>
          </w:p>
        </w:tc>
      </w:tr>
      <w:tr>
        <w:trPr>
          <w:trHeight w:val="180"/>
        </w:trPr>
        <w:tc>
          <w:tcPr>
            <w:tcW w:w="11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101.PRE</w:t>
            </w:r>
          </w:p>
        </w:tc>
        <w:tc>
          <w:tcPr>
            <w:tcW w:w="260" w:type="dxa"/>
            <w:vAlign w:val="bottom"/>
            <w:shd w:val="clear" w:color="auto" w:fill="CCEEFF"/>
          </w:tcPr>
          <w:p>
            <w:pPr>
              <w:spacing w:after="0"/>
              <w:rPr>
                <w:sz w:val="15"/>
                <w:szCs w:val="15"/>
                <w:color w:val="auto"/>
              </w:rPr>
            </w:pPr>
          </w:p>
        </w:tc>
        <w:tc>
          <w:tcPr>
            <w:tcW w:w="7960" w:type="dxa"/>
            <w:vAlign w:val="bottom"/>
            <w:gridSpan w:val="2"/>
            <w:shd w:val="clear" w:color="auto" w:fill="CCEEFF"/>
          </w:tcPr>
          <w:p>
            <w:pPr>
              <w:spacing w:after="0" w:line="180" w:lineRule="exact"/>
              <w:rPr>
                <w:sz w:val="20"/>
                <w:szCs w:val="20"/>
                <w:color w:val="auto"/>
              </w:rPr>
            </w:pPr>
            <w:r>
              <w:rPr>
                <w:rFonts w:ascii="Arial" w:cs="Arial" w:eastAsia="Arial" w:hAnsi="Arial"/>
                <w:sz w:val="16"/>
                <w:szCs w:val="16"/>
                <w:color w:val="auto"/>
              </w:rPr>
              <w:t>Inline XBRL Taxonomy Extension Presentation Linkbase Document</w:t>
            </w:r>
          </w:p>
        </w:tc>
        <w:tc>
          <w:tcPr>
            <w:tcW w:w="20" w:type="dxa"/>
            <w:vAlign w:val="bottom"/>
          </w:tcPr>
          <w:p>
            <w:pPr>
              <w:spacing w:after="0"/>
              <w:rPr>
                <w:sz w:val="15"/>
                <w:szCs w:val="15"/>
                <w:color w:val="auto"/>
              </w:rPr>
            </w:pPr>
          </w:p>
        </w:tc>
      </w:tr>
      <w:tr>
        <w:trPr>
          <w:trHeight w:val="197"/>
        </w:trPr>
        <w:tc>
          <w:tcPr>
            <w:tcW w:w="1120" w:type="dxa"/>
            <w:vAlign w:val="bottom"/>
          </w:tcPr>
          <w:p>
            <w:pPr>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7"/>
                <w:szCs w:val="17"/>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14789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78915" cy="7620"/>
                    </a:xfrm>
                    <a:prstGeom prst="rect">
                      <a:avLst/>
                    </a:prstGeom>
                    <a:noFill/>
                  </pic:spPr>
                </pic:pic>
              </a:graphicData>
            </a:graphic>
          </wp:anchor>
        </w:drawing>
      </w:r>
    </w:p>
    <w:p>
      <w:pPr>
        <w:spacing w:after="0" w:line="136" w:lineRule="exact"/>
        <w:rPr>
          <w:sz w:val="20"/>
          <w:szCs w:val="20"/>
          <w:color w:val="auto"/>
        </w:rPr>
      </w:pPr>
    </w:p>
    <w:p>
      <w:pPr>
        <w:ind w:left="282" w:hanging="282"/>
        <w:spacing w:after="0"/>
        <w:tabs>
          <w:tab w:leader="none" w:pos="282"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6" w:lineRule="exact"/>
        <w:rPr>
          <w:sz w:val="20"/>
          <w:szCs w:val="20"/>
          <w:color w:val="auto"/>
        </w:rPr>
      </w:pPr>
    </w:p>
    <w:p>
      <w:pPr>
        <w:jc w:val="both"/>
        <w:ind w:left="282" w:hanging="282"/>
        <w:spacing w:after="0" w:line="237" w:lineRule="auto"/>
        <w:tabs>
          <w:tab w:leader="none" w:pos="282" w:val="left"/>
        </w:tabs>
        <w:numPr>
          <w:ilvl w:val="0"/>
          <w:numId w:val="8"/>
        </w:numPr>
        <w:rPr>
          <w:rFonts w:ascii="Arial" w:cs="Arial" w:eastAsia="Arial" w:hAnsi="Arial"/>
          <w:sz w:val="16"/>
          <w:szCs w:val="16"/>
          <w:color w:val="auto"/>
        </w:rPr>
      </w:pPr>
      <w:r>
        <w:rPr>
          <w:rFonts w:ascii="Arial" w:cs="Arial" w:eastAsia="Arial" w:hAnsi="Arial"/>
          <w:sz w:val="16"/>
          <w:szCs w:val="16"/>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34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591502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2"/>
          </w:cols>
          <w:pgMar w:left="1278" w:top="562" w:right="1280"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BurTech Acquisition Corp.</w:t>
      </w:r>
    </w:p>
    <w:p>
      <w:pPr>
        <w:spacing w:after="0" w:line="184"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Date: June 1, 2023</w:t>
      </w:r>
      <w:r>
        <w:rPr>
          <w:sz w:val="20"/>
          <w:szCs w:val="20"/>
          <w:color w:val="auto"/>
        </w:rPr>
        <w:tab/>
      </w:r>
      <w:r>
        <w:rPr>
          <w:rFonts w:ascii="Arial" w:cs="Arial" w:eastAsia="Arial" w:hAnsi="Arial"/>
          <w:sz w:val="14"/>
          <w:szCs w:val="14"/>
          <w:color w:val="auto"/>
        </w:rPr>
        <w:t>By:/s/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16510</wp:posOffset>
            </wp:positionV>
            <wp:extent cx="282003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20035" cy="7620"/>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Shahal Khan</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Chief Executive Officer (</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p>
      <w:pPr>
        <w:spacing w:after="0" w:line="166" w:lineRule="exact"/>
        <w:rPr>
          <w:sz w:val="20"/>
          <w:szCs w:val="20"/>
          <w:color w:val="auto"/>
        </w:rPr>
      </w:pPr>
    </w:p>
    <w:p>
      <w:pPr>
        <w:spacing w:after="0"/>
        <w:tabs>
          <w:tab w:leader="none" w:pos="4640" w:val="left"/>
        </w:tabs>
        <w:rPr>
          <w:sz w:val="20"/>
          <w:szCs w:val="20"/>
          <w:color w:val="auto"/>
        </w:rPr>
      </w:pPr>
      <w:r>
        <w:rPr>
          <w:rFonts w:ascii="Arial" w:cs="Arial" w:eastAsia="Arial" w:hAnsi="Arial"/>
          <w:sz w:val="14"/>
          <w:szCs w:val="14"/>
          <w:color w:val="auto"/>
        </w:rPr>
        <w:t>Date: June 1, 2023</w:t>
      </w:r>
      <w:r>
        <w:rPr>
          <w:sz w:val="20"/>
          <w:szCs w:val="20"/>
          <w:color w:val="auto"/>
        </w:rPr>
        <w:tab/>
      </w:r>
      <w:r>
        <w:rPr>
          <w:rFonts w:ascii="Arial" w:cs="Arial" w:eastAsia="Arial" w:hAnsi="Arial"/>
          <w:sz w:val="14"/>
          <w:szCs w:val="14"/>
          <w:color w:val="auto"/>
        </w:rPr>
        <w:t>By:/s/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16510</wp:posOffset>
            </wp:positionV>
            <wp:extent cx="28200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20035" cy="7620"/>
                    </a:xfrm>
                    <a:prstGeom prst="rect">
                      <a:avLst/>
                    </a:prstGeom>
                    <a:noFill/>
                  </pic:spPr>
                </pic:pic>
              </a:graphicData>
            </a:graphic>
          </wp:anchor>
        </w:drawing>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Roman Livson</w:t>
      </w:r>
    </w:p>
    <w:p>
      <w:pPr>
        <w:ind w:left="4900"/>
        <w:spacing w:after="0" w:line="236" w:lineRule="auto"/>
        <w:rPr>
          <w:sz w:val="20"/>
          <w:szCs w:val="20"/>
          <w:color w:val="auto"/>
        </w:rPr>
      </w:pPr>
      <w:r>
        <w:rPr>
          <w:rFonts w:ascii="Arial" w:cs="Arial" w:eastAsia="Arial" w:hAnsi="Arial"/>
          <w:sz w:val="16"/>
          <w:szCs w:val="16"/>
          <w:color w:val="auto"/>
        </w:rPr>
        <w:t>Chief Financial Officer and Secretary</w:t>
      </w:r>
    </w:p>
    <w:p>
      <w:pPr>
        <w:ind w:left="4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306705</wp:posOffset>
            </wp:positionV>
            <wp:extent cx="591502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20"/>
          </w:cols>
          <w:pgMar w:left="1280" w:top="562" w:right="1300" w:bottom="1440" w:gutter="0" w:footer="0" w:header="0"/>
        </w:sectPr>
      </w:pPr>
    </w:p>
    <w:bookmarkStart w:id="30" w:name="page31"/>
    <w:bookmarkEnd w:id="30"/>
    <w:p>
      <w:pPr>
        <w:ind w:left="8482"/>
        <w:spacing w:after="0"/>
        <w:rPr>
          <w:sz w:val="20"/>
          <w:szCs w:val="20"/>
          <w:color w:val="auto"/>
        </w:rPr>
      </w:pPr>
      <w:r>
        <w:rPr>
          <w:rFonts w:ascii="Arial" w:cs="Arial" w:eastAsia="Arial" w:hAnsi="Arial"/>
          <w:sz w:val="14"/>
          <w:szCs w:val="14"/>
          <w:b w:val="1"/>
          <w:bCs w:val="1"/>
          <w:color w:val="auto"/>
        </w:rPr>
        <w:t>Exhibit 31.1</w:t>
      </w:r>
    </w:p>
    <w:p>
      <w:pPr>
        <w:spacing w:after="0" w:line="211"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10" w:lineRule="exact"/>
        <w:rPr>
          <w:sz w:val="20"/>
          <w:szCs w:val="20"/>
          <w:color w:val="auto"/>
        </w:rPr>
      </w:pPr>
    </w:p>
    <w:p>
      <w:pPr>
        <w:jc w:val="center"/>
        <w:ind w:right="58"/>
        <w:spacing w:after="0"/>
        <w:rPr>
          <w:sz w:val="20"/>
          <w:szCs w:val="20"/>
          <w:color w:val="auto"/>
        </w:rPr>
      </w:pPr>
      <w:r>
        <w:rPr>
          <w:rFonts w:ascii="Arial" w:cs="Arial" w:eastAsia="Arial" w:hAnsi="Arial"/>
          <w:sz w:val="16"/>
          <w:szCs w:val="16"/>
          <w:b w:val="1"/>
          <w:bCs w:val="1"/>
          <w:color w:val="auto"/>
        </w:rPr>
        <w:t>PURSUANT TO RULE 13A-14(A) AND 15D-14(A) UNDER THE SECURITIES EXCHANGE ACT OF 1934,</w:t>
      </w:r>
    </w:p>
    <w:p>
      <w:pPr>
        <w:jc w:val="center"/>
        <w:ind w:right="78"/>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6"/>
          <w:szCs w:val="16"/>
          <w:color w:val="auto"/>
        </w:rPr>
        <w:t>I, Shahal Khan, certify that:</w:t>
      </w:r>
    </w:p>
    <w:p>
      <w:pPr>
        <w:spacing w:after="0" w:line="188" w:lineRule="exact"/>
        <w:rPr>
          <w:sz w:val="20"/>
          <w:szCs w:val="20"/>
          <w:color w:val="auto"/>
        </w:rPr>
      </w:pPr>
    </w:p>
    <w:p>
      <w:pPr>
        <w:ind w:left="182" w:hanging="182"/>
        <w:spacing w:after="0"/>
        <w:tabs>
          <w:tab w:leader="none" w:pos="182"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March 31, 2023 of BurTech Acquisition Corp.;</w:t>
      </w:r>
    </w:p>
    <w:p>
      <w:pPr>
        <w:spacing w:after="0" w:line="188" w:lineRule="exact"/>
        <w:rPr>
          <w:rFonts w:ascii="Arial" w:cs="Arial" w:eastAsia="Arial" w:hAnsi="Arial"/>
          <w:sz w:val="16"/>
          <w:szCs w:val="16"/>
          <w:color w:val="auto"/>
        </w:rPr>
      </w:pPr>
    </w:p>
    <w:p>
      <w:pPr>
        <w:jc w:val="both"/>
        <w:ind w:left="2" w:right="20" w:hanging="2"/>
        <w:spacing w:after="0" w:line="243" w:lineRule="auto"/>
        <w:tabs>
          <w:tab w:leader="none" w:pos="205"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3" w:lineRule="exact"/>
        <w:rPr>
          <w:rFonts w:ascii="Arial" w:cs="Arial" w:eastAsia="Arial" w:hAnsi="Arial"/>
          <w:sz w:val="16"/>
          <w:szCs w:val="16"/>
          <w:color w:val="auto"/>
        </w:rPr>
      </w:pPr>
    </w:p>
    <w:p>
      <w:pPr>
        <w:jc w:val="both"/>
        <w:ind w:left="2" w:right="20" w:hanging="2"/>
        <w:spacing w:after="0" w:line="322" w:lineRule="auto"/>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4"/>
          <w:szCs w:val="14"/>
          <w:color w:val="auto"/>
        </w:rPr>
      </w:pPr>
    </w:p>
    <w:p>
      <w:pPr>
        <w:ind w:left="2" w:right="20" w:hanging="2"/>
        <w:spacing w:after="0" w:line="252" w:lineRule="auto"/>
        <w:tabs>
          <w:tab w:leader="none" w:pos="18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6"/>
          <w:szCs w:val="16"/>
          <w:color w:val="auto"/>
        </w:rPr>
      </w:pPr>
    </w:p>
    <w:p>
      <w:pPr>
        <w:jc w:val="both"/>
        <w:ind w:left="582" w:hanging="6"/>
        <w:spacing w:after="0" w:line="243" w:lineRule="auto"/>
        <w:tabs>
          <w:tab w:leader="none" w:pos="764"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802"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80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794"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jc w:val="both"/>
        <w:ind w:left="2" w:right="20" w:hanging="2"/>
        <w:spacing w:after="0" w:line="243"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772"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582" w:right="40" w:hanging="6"/>
        <w:spacing w:after="0" w:line="252" w:lineRule="auto"/>
        <w:tabs>
          <w:tab w:leader="none" w:pos="786"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6"/>
          <w:szCs w:val="16"/>
          <w:color w:val="auto"/>
        </w:rPr>
        <w:t>Date: June 1, 2023</w:t>
      </w:r>
    </w:p>
    <w:p>
      <w:pPr>
        <w:spacing w:after="0" w:line="6" w:lineRule="exact"/>
        <w:rPr>
          <w:sz w:val="20"/>
          <w:szCs w:val="20"/>
          <w:color w:val="auto"/>
        </w:rPr>
      </w:pPr>
    </w:p>
    <w:p>
      <w:pPr>
        <w:ind w:left="4682"/>
        <w:spacing w:after="0"/>
        <w:rPr>
          <w:sz w:val="20"/>
          <w:szCs w:val="20"/>
          <w:color w:val="auto"/>
        </w:rPr>
      </w:pPr>
      <w:r>
        <w:rPr>
          <w:rFonts w:ascii="Arial" w:cs="Arial" w:eastAsia="Arial" w:hAnsi="Arial"/>
          <w:sz w:val="16"/>
          <w:szCs w:val="16"/>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-3810</wp:posOffset>
            </wp:positionV>
            <wp:extent cx="27819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81935" cy="7620"/>
                    </a:xfrm>
                    <a:prstGeom prst="rect">
                      <a:avLst/>
                    </a:prstGeom>
                    <a:noFill/>
                  </pic:spPr>
                </pic:pic>
              </a:graphicData>
            </a:graphic>
          </wp:anchor>
        </w:drawing>
      </w:r>
    </w:p>
    <w:p>
      <w:pPr>
        <w:ind w:left="4962"/>
        <w:spacing w:after="0"/>
        <w:rPr>
          <w:sz w:val="20"/>
          <w:szCs w:val="20"/>
          <w:color w:val="auto"/>
        </w:rPr>
      </w:pPr>
      <w:r>
        <w:rPr>
          <w:rFonts w:ascii="Arial" w:cs="Arial" w:eastAsia="Arial" w:hAnsi="Arial"/>
          <w:sz w:val="16"/>
          <w:szCs w:val="16"/>
          <w:color w:val="auto"/>
        </w:rPr>
        <w:t>Shahal Khan</w:t>
      </w:r>
    </w:p>
    <w:p>
      <w:pPr>
        <w:ind w:left="4962"/>
        <w:spacing w:after="0" w:line="236" w:lineRule="auto"/>
        <w:rPr>
          <w:sz w:val="20"/>
          <w:szCs w:val="20"/>
          <w:color w:val="auto"/>
        </w:rPr>
      </w:pPr>
      <w:r>
        <w:rPr>
          <w:rFonts w:ascii="Arial" w:cs="Arial" w:eastAsia="Arial" w:hAnsi="Arial"/>
          <w:sz w:val="16"/>
          <w:szCs w:val="16"/>
          <w:color w:val="auto"/>
        </w:rPr>
        <w:t>Chief Executive Officer</w:t>
      </w:r>
    </w:p>
    <w:p>
      <w:pPr>
        <w:ind w:left="4962"/>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591502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4" w:right="1260" w:bottom="1440" w:gutter="0" w:footer="0" w:header="0"/>
        </w:sectPr>
      </w:pPr>
    </w:p>
    <w:bookmarkStart w:id="31" w:name="page32"/>
    <w:bookmarkEnd w:id="31"/>
    <w:p>
      <w:pPr>
        <w:ind w:left="8482"/>
        <w:spacing w:after="0"/>
        <w:rPr>
          <w:sz w:val="20"/>
          <w:szCs w:val="20"/>
          <w:color w:val="auto"/>
        </w:rPr>
      </w:pPr>
      <w:r>
        <w:rPr>
          <w:rFonts w:ascii="Arial" w:cs="Arial" w:eastAsia="Arial" w:hAnsi="Arial"/>
          <w:sz w:val="14"/>
          <w:szCs w:val="14"/>
          <w:b w:val="1"/>
          <w:bCs w:val="1"/>
          <w:color w:val="auto"/>
        </w:rPr>
        <w:t>Exhibit 31.2</w:t>
      </w:r>
    </w:p>
    <w:p>
      <w:pPr>
        <w:spacing w:after="0" w:line="211" w:lineRule="exact"/>
        <w:rPr>
          <w:sz w:val="20"/>
          <w:szCs w:val="20"/>
          <w:color w:val="auto"/>
        </w:rPr>
      </w:pPr>
    </w:p>
    <w:p>
      <w:pPr>
        <w:jc w:val="center"/>
        <w:ind w:right="38"/>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0" w:lineRule="exact"/>
        <w:rPr>
          <w:sz w:val="20"/>
          <w:szCs w:val="20"/>
          <w:color w:val="auto"/>
        </w:rPr>
      </w:pPr>
    </w:p>
    <w:p>
      <w:pPr>
        <w:jc w:val="center"/>
        <w:ind w:right="58"/>
        <w:spacing w:after="0"/>
        <w:rPr>
          <w:sz w:val="20"/>
          <w:szCs w:val="20"/>
          <w:color w:val="auto"/>
        </w:rPr>
      </w:pPr>
      <w:r>
        <w:rPr>
          <w:rFonts w:ascii="Arial" w:cs="Arial" w:eastAsia="Arial" w:hAnsi="Arial"/>
          <w:sz w:val="16"/>
          <w:szCs w:val="16"/>
          <w:b w:val="1"/>
          <w:bCs w:val="1"/>
          <w:color w:val="auto"/>
        </w:rPr>
        <w:t>PURSUANT TO RULE 13A-14(A) AND 15D-14(A) UNDER THE SECURITIES EXCHANGE ACT OF 1934,</w:t>
      </w:r>
    </w:p>
    <w:p>
      <w:pPr>
        <w:jc w:val="center"/>
        <w:ind w:right="78"/>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78" w:lineRule="exact"/>
        <w:rPr>
          <w:sz w:val="20"/>
          <w:szCs w:val="20"/>
          <w:color w:val="auto"/>
        </w:rPr>
      </w:pPr>
    </w:p>
    <w:p>
      <w:pPr>
        <w:ind w:left="2"/>
        <w:spacing w:after="0"/>
        <w:rPr>
          <w:sz w:val="20"/>
          <w:szCs w:val="20"/>
          <w:color w:val="auto"/>
        </w:rPr>
      </w:pPr>
      <w:r>
        <w:rPr>
          <w:rFonts w:ascii="Arial" w:cs="Arial" w:eastAsia="Arial" w:hAnsi="Arial"/>
          <w:sz w:val="16"/>
          <w:szCs w:val="16"/>
          <w:color w:val="auto"/>
        </w:rPr>
        <w:t>I, Roman Livson, certify that:</w:t>
      </w:r>
    </w:p>
    <w:p>
      <w:pPr>
        <w:spacing w:after="0" w:line="188" w:lineRule="exact"/>
        <w:rPr>
          <w:sz w:val="20"/>
          <w:szCs w:val="20"/>
          <w:color w:val="auto"/>
        </w:rPr>
      </w:pPr>
    </w:p>
    <w:p>
      <w:pPr>
        <w:ind w:left="182" w:hanging="182"/>
        <w:spacing w:after="0"/>
        <w:tabs>
          <w:tab w:leader="none" w:pos="18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quarterly period ended March 31, 2023 of BurTech Acquisition Corp.;</w:t>
      </w:r>
    </w:p>
    <w:p>
      <w:pPr>
        <w:spacing w:after="0" w:line="188" w:lineRule="exact"/>
        <w:rPr>
          <w:rFonts w:ascii="Arial" w:cs="Arial" w:eastAsia="Arial" w:hAnsi="Arial"/>
          <w:sz w:val="16"/>
          <w:szCs w:val="16"/>
          <w:color w:val="auto"/>
        </w:rPr>
      </w:pPr>
    </w:p>
    <w:p>
      <w:pPr>
        <w:jc w:val="both"/>
        <w:ind w:left="2" w:right="20" w:hanging="2"/>
        <w:spacing w:after="0" w:line="243" w:lineRule="auto"/>
        <w:tabs>
          <w:tab w:leader="none" w:pos="2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73" w:lineRule="exact"/>
        <w:rPr>
          <w:rFonts w:ascii="Arial" w:cs="Arial" w:eastAsia="Arial" w:hAnsi="Arial"/>
          <w:sz w:val="16"/>
          <w:szCs w:val="16"/>
          <w:color w:val="auto"/>
        </w:rPr>
      </w:pPr>
    </w:p>
    <w:p>
      <w:pPr>
        <w:jc w:val="both"/>
        <w:ind w:left="2" w:right="20" w:hanging="2"/>
        <w:spacing w:after="0" w:line="322" w:lineRule="auto"/>
        <w:tabs>
          <w:tab w:leader="none" w:pos="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4"/>
          <w:szCs w:val="14"/>
          <w:color w:val="auto"/>
        </w:rPr>
      </w:pPr>
    </w:p>
    <w:p>
      <w:pPr>
        <w:ind w:left="2" w:right="20" w:hanging="2"/>
        <w:spacing w:after="0" w:line="252" w:lineRule="auto"/>
        <w:tabs>
          <w:tab w:leader="none" w:pos="18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6"/>
          <w:szCs w:val="16"/>
          <w:color w:val="auto"/>
        </w:rPr>
      </w:pPr>
    </w:p>
    <w:p>
      <w:pPr>
        <w:jc w:val="both"/>
        <w:ind w:left="582" w:hanging="6"/>
        <w:spacing w:after="0" w:line="243" w:lineRule="auto"/>
        <w:tabs>
          <w:tab w:leader="none" w:pos="7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periods in which this report is being prepared; and</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802"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8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periods covered by this report based on such evaluation; and</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794"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jc w:val="both"/>
        <w:ind w:left="2" w:right="20" w:hanging="2"/>
        <w:spacing w:after="0" w:line="243"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6"/>
          <w:szCs w:val="16"/>
          <w:color w:val="auto"/>
        </w:rPr>
      </w:pPr>
    </w:p>
    <w:p>
      <w:pPr>
        <w:jc w:val="both"/>
        <w:ind w:left="582" w:right="20" w:hanging="6"/>
        <w:spacing w:after="0" w:line="243" w:lineRule="auto"/>
        <w:tabs>
          <w:tab w:leader="none" w:pos="772"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582" w:right="40" w:hanging="6"/>
        <w:spacing w:after="0" w:line="252" w:lineRule="auto"/>
        <w:tabs>
          <w:tab w:leader="none" w:pos="786"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6"/>
          <w:szCs w:val="16"/>
          <w:color w:val="auto"/>
        </w:rPr>
        <w:t>Date: June 1, 2023</w:t>
      </w:r>
    </w:p>
    <w:p>
      <w:pPr>
        <w:spacing w:after="0" w:line="6" w:lineRule="exact"/>
        <w:rPr>
          <w:sz w:val="20"/>
          <w:szCs w:val="20"/>
          <w:color w:val="auto"/>
        </w:rPr>
      </w:pPr>
    </w:p>
    <w:p>
      <w:pPr>
        <w:ind w:left="4682"/>
        <w:spacing w:after="0"/>
        <w:rPr>
          <w:sz w:val="20"/>
          <w:szCs w:val="20"/>
          <w:color w:val="auto"/>
        </w:rPr>
      </w:pPr>
      <w:r>
        <w:rPr>
          <w:rFonts w:ascii="Arial" w:cs="Arial" w:eastAsia="Arial" w:hAnsi="Arial"/>
          <w:sz w:val="16"/>
          <w:szCs w:val="16"/>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-3810</wp:posOffset>
            </wp:positionV>
            <wp:extent cx="27819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81935" cy="7620"/>
                    </a:xfrm>
                    <a:prstGeom prst="rect">
                      <a:avLst/>
                    </a:prstGeom>
                    <a:noFill/>
                  </pic:spPr>
                </pic:pic>
              </a:graphicData>
            </a:graphic>
          </wp:anchor>
        </w:drawing>
      </w:r>
    </w:p>
    <w:p>
      <w:pPr>
        <w:ind w:left="4962"/>
        <w:spacing w:after="0"/>
        <w:rPr>
          <w:sz w:val="20"/>
          <w:szCs w:val="20"/>
          <w:color w:val="auto"/>
        </w:rPr>
      </w:pPr>
      <w:r>
        <w:rPr>
          <w:rFonts w:ascii="Arial" w:cs="Arial" w:eastAsia="Arial" w:hAnsi="Arial"/>
          <w:sz w:val="16"/>
          <w:szCs w:val="16"/>
          <w:color w:val="auto"/>
        </w:rPr>
        <w:t>Roman Livson</w:t>
      </w:r>
    </w:p>
    <w:p>
      <w:pPr>
        <w:ind w:left="4962"/>
        <w:spacing w:after="0" w:line="236" w:lineRule="auto"/>
        <w:rPr>
          <w:sz w:val="20"/>
          <w:szCs w:val="20"/>
          <w:color w:val="auto"/>
        </w:rPr>
      </w:pPr>
      <w:r>
        <w:rPr>
          <w:rFonts w:ascii="Arial" w:cs="Arial" w:eastAsia="Arial" w:hAnsi="Arial"/>
          <w:sz w:val="16"/>
          <w:szCs w:val="16"/>
          <w:color w:val="auto"/>
        </w:rPr>
        <w:t>Chief Financial Officer and Secretary</w:t>
      </w:r>
    </w:p>
    <w:p>
      <w:pPr>
        <w:ind w:left="4962"/>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414655</wp:posOffset>
            </wp:positionV>
            <wp:extent cx="591502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62"/>
          </w:cols>
          <w:pgMar w:left="1278" w:top="554" w:right="1260"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18 U.S.C. SECTION 1350</w:t>
      </w:r>
    </w:p>
    <w:p>
      <w:pPr>
        <w:jc w:val="center"/>
        <w:spacing w:after="0" w:line="234"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connection with the Quarterly Report of BurTech Acquisition Corp. (the “Company”) on Form 10-Q for the quarterly period ended March 31, 2023, as filed with the Securities and Exchange Commission (the “Report”), each of the undersigned, in the capacities and on the dates indicated below, certify, pursuant to 18 U.S.C. §1350, as added by §906 of the Sarbanes-Oxley Act of 2002, that:</w:t>
      </w:r>
    </w:p>
    <w:p>
      <w:pPr>
        <w:spacing w:after="0" w:line="173" w:lineRule="exact"/>
        <w:rPr>
          <w:sz w:val="20"/>
          <w:szCs w:val="20"/>
          <w:color w:val="auto"/>
        </w:rPr>
      </w:pPr>
    </w:p>
    <w:p>
      <w:pPr>
        <w:ind w:left="740" w:hanging="166"/>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8" w:lineRule="exact"/>
        <w:rPr>
          <w:rFonts w:ascii="Arial" w:cs="Arial" w:eastAsia="Arial" w:hAnsi="Arial"/>
          <w:sz w:val="16"/>
          <w:szCs w:val="16"/>
          <w:color w:val="auto"/>
        </w:rPr>
      </w:pPr>
    </w:p>
    <w:p>
      <w:pPr>
        <w:ind w:left="580" w:right="20" w:hanging="6"/>
        <w:spacing w:after="0" w:line="252" w:lineRule="auto"/>
        <w:tabs>
          <w:tab w:leader="none" w:pos="7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my knowledge, the information contained in the Report fairly presents, in all material respects, the financial condition and results of operations of the Company as of and for the period covered by the Report.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Date: June 1, 2023</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-3810</wp:posOffset>
            </wp:positionV>
            <wp:extent cx="28657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6"/>
          <w:szCs w:val="16"/>
          <w:color w:val="auto"/>
        </w:rPr>
        <w:t>Shahal Khan</w:t>
      </w:r>
    </w:p>
    <w:p>
      <w:pPr>
        <w:ind w:left="4820"/>
        <w:spacing w:after="0" w:line="236" w:lineRule="auto"/>
        <w:rPr>
          <w:sz w:val="20"/>
          <w:szCs w:val="20"/>
          <w:color w:val="auto"/>
        </w:rPr>
      </w:pPr>
      <w:r>
        <w:rPr>
          <w:rFonts w:ascii="Arial" w:cs="Arial" w:eastAsia="Arial" w:hAnsi="Arial"/>
          <w:sz w:val="16"/>
          <w:szCs w:val="16"/>
          <w:color w:val="auto"/>
        </w:rPr>
        <w:t>Chief Executive Officer</w:t>
      </w:r>
    </w:p>
    <w:p>
      <w:pPr>
        <w:ind w:left="4820"/>
        <w:spacing w:after="0" w:line="234" w:lineRule="auto"/>
        <w:rPr>
          <w:sz w:val="20"/>
          <w:szCs w:val="20"/>
          <w:color w:val="auto"/>
        </w:rPr>
      </w:pPr>
      <w:r>
        <w:rPr>
          <w:rFonts w:ascii="Arial" w:cs="Arial" w:eastAsia="Arial" w:hAnsi="Arial"/>
          <w:sz w:val="16"/>
          <w:szCs w:val="16"/>
          <w:i w:val="1"/>
          <w:iCs w:val="1"/>
          <w:color w:val="auto"/>
        </w:rPr>
        <w:t>(Principal Executive Officer)</w:t>
      </w:r>
    </w:p>
    <w:p>
      <w:pPr>
        <w:spacing w:after="0" w:line="235" w:lineRule="auto"/>
        <w:rPr>
          <w:sz w:val="20"/>
          <w:szCs w:val="20"/>
          <w:color w:val="auto"/>
        </w:rPr>
      </w:pPr>
      <w:r>
        <w:rPr>
          <w:rFonts w:ascii="Arial" w:cs="Arial" w:eastAsia="Arial" w:hAnsi="Arial"/>
          <w:sz w:val="16"/>
          <w:szCs w:val="16"/>
          <w:color w:val="auto"/>
        </w:rPr>
        <w:t>Date: June 1, 2023</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/s/ Roman Livson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-3810</wp:posOffset>
            </wp:positionV>
            <wp:extent cx="286575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65755" cy="762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6"/>
          <w:szCs w:val="16"/>
          <w:color w:val="auto"/>
        </w:rPr>
        <w:t>Roman Livson</w:t>
      </w:r>
    </w:p>
    <w:p>
      <w:pPr>
        <w:ind w:left="4820"/>
        <w:spacing w:after="0" w:line="236" w:lineRule="auto"/>
        <w:rPr>
          <w:sz w:val="20"/>
          <w:szCs w:val="20"/>
          <w:color w:val="auto"/>
        </w:rPr>
      </w:pPr>
      <w:r>
        <w:rPr>
          <w:rFonts w:ascii="Arial" w:cs="Arial" w:eastAsia="Arial" w:hAnsi="Arial"/>
          <w:sz w:val="16"/>
          <w:szCs w:val="16"/>
          <w:color w:val="auto"/>
        </w:rPr>
        <w:t>Chief Financial Officer and Secretary</w:t>
      </w:r>
    </w:p>
    <w:p>
      <w:pPr>
        <w:ind w:left="48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414655</wp:posOffset>
            </wp:positionV>
            <wp:extent cx="591502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5025" cy="15240"/>
                    </a:xfrm>
                    <a:prstGeom prst="rect">
                      <a:avLst/>
                    </a:prstGeom>
                    <a:noFill/>
                  </pic:spPr>
                </pic:pic>
              </a:graphicData>
            </a:graphic>
          </wp:anchor>
        </w:drawing>
      </w:r>
    </w:p>
    <w:p>
      <w:pPr>
        <w:sectPr>
          <w:pgSz w:w="11900" w:h="16840" w:orient="portrait"/>
          <w:cols w:equalWidth="0" w:num="1">
            <w:col w:w="9340"/>
          </w:cols>
          <w:pgMar w:left="1280" w:top="554" w:right="1280" w:bottom="1440" w:gutter="0" w:footer="0" w:header="0"/>
        </w:sectPr>
      </w:pPr>
    </w:p>
    <w:bookmarkStart w:id="33" w:name="page34"/>
    <w:bookmarkEnd w:id="33"/>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2023-06-02T17:59:12Z</dcterms:created>
  <dcterms:modified xsi:type="dcterms:W3CDTF">2023-06-02T17:59:12Z</dcterms:modified>
</cp:coreProperties>
</file>