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left"/>
        <w:rPr/>
      </w:pPr>
      <w:r>
        <w:rPr/>
      </w:r>
    </w:p>
    <w:p>
      <w:pPr>
        <w:pStyle w:val="TextBody"/>
        <w:bidi w:val="0"/>
        <w:spacing w:lineRule="auto" w:line="288" w:before="0" w:after="0"/>
        <w:jc w:val="right"/>
        <w:rPr>
          <w:color w:val="000000"/>
        </w:rPr>
      </w:pPr>
      <w:r>
        <w:rPr>
          <w:color w:val="000000"/>
        </w:rPr>
        <w:t> </w:t>
      </w:r>
      <w:r>
        <w:rPr>
          <w:rFonts w:ascii="Times New Roman;serif" w:hAnsi="Times New Roman;serif"/>
          <w:b/>
          <w:color w:val="000000"/>
          <w:sz w:val="20"/>
        </w:rPr>
        <w:t>Filed Pursuant to Rule 424(b)(5)</w:t>
      </w:r>
    </w:p>
    <w:p>
      <w:pPr>
        <w:pStyle w:val="TextBody"/>
        <w:bidi w:val="0"/>
        <w:spacing w:lineRule="auto" w:line="288" w:before="0" w:after="180"/>
        <w:jc w:val="right"/>
        <w:rPr>
          <w:color w:val="000000"/>
        </w:rPr>
      </w:pPr>
      <w:r>
        <w:rPr>
          <w:color w:val="000000"/>
        </w:rPr>
        <w:t> </w:t>
      </w:r>
      <w:r>
        <w:rPr>
          <w:rFonts w:ascii="Times New Roman;serif" w:hAnsi="Times New Roman;serif"/>
          <w:b/>
          <w:color w:val="000000"/>
          <w:sz w:val="20"/>
        </w:rPr>
        <w:t xml:space="preserve">Registration No. 333-292986 </w:t>
      </w:r>
    </w:p>
    <w:p>
      <w:pPr>
        <w:pStyle w:val="TextBody"/>
        <w:bidi w:val="0"/>
        <w:spacing w:lineRule="auto" w:line="288" w:before="0" w:after="300"/>
        <w:jc w:val="left"/>
        <w:rPr>
          <w:rFonts w:ascii="Times New Roman;serif" w:hAnsi="Times New Roman;serif"/>
          <w:b/>
          <w:color w:val="DE1A1E"/>
          <w:sz w:val="20"/>
        </w:rPr>
      </w:pPr>
      <w:r>
        <w:rPr>
          <w:rFonts w:ascii="Times New Roman;serif" w:hAnsi="Times New Roman;serif"/>
          <w:b/>
          <w:color w:val="DE1A1E"/>
          <w:sz w:val="20"/>
        </w:rPr>
        <w:t>This preliminary prospectus supplement relates to an effective registration statement filed with the U.S. Securities and Exchange Commission but is not complete and may be changed. This preliminary prospectus supplement and the accompanying prospectus are not an offer to sell the securities described herein and are not soliciting an offer to buy such securities, in any state or jurisdiction where such offer or sale is not permitted.</w:t>
      </w:r>
    </w:p>
    <w:p>
      <w:pPr>
        <w:pStyle w:val="TextBody"/>
        <w:bidi w:val="0"/>
        <w:spacing w:lineRule="auto" w:line="288" w:before="0" w:after="300"/>
        <w:jc w:val="center"/>
        <w:rPr>
          <w:rFonts w:ascii="Times New Roman;serif" w:hAnsi="Times New Roman;serif"/>
          <w:b/>
          <w:color w:val="DE1A1E"/>
          <w:sz w:val="20"/>
        </w:rPr>
      </w:pPr>
      <w:r>
        <w:rPr>
          <w:rFonts w:ascii="Times New Roman;serif" w:hAnsi="Times New Roman;serif"/>
          <w:b/>
          <w:color w:val="DE1A1E"/>
          <w:sz w:val="20"/>
        </w:rPr>
        <w:t>SUBJECT TO COMPLETION, DATED MAY 5, 2026</w:t>
      </w:r>
    </w:p>
    <w:p>
      <w:pPr>
        <w:pStyle w:val="TextBody"/>
        <w:bidi w:val="0"/>
        <w:spacing w:lineRule="auto" w:line="288" w:before="0" w:after="300"/>
        <w:jc w:val="left"/>
        <w:rPr>
          <w:rFonts w:ascii="Times New Roman;serif" w:hAnsi="Times New Roman;serif"/>
          <w:b/>
          <w:color w:val="000000"/>
          <w:sz w:val="20"/>
        </w:rPr>
      </w:pPr>
      <w:r>
        <w:rPr>
          <w:rFonts w:ascii="Times New Roman;serif" w:hAnsi="Times New Roman;serif"/>
          <w:b/>
          <w:color w:val="000000"/>
          <w:sz w:val="20"/>
        </w:rPr>
        <w:t>PRELIMINARY PROSPECTUS SUPPLEMENT</w:t>
      </w:r>
    </w:p>
    <w:p>
      <w:pPr>
        <w:pStyle w:val="TextBody"/>
        <w:bidi w:val="0"/>
        <w:spacing w:before="0" w:after="180"/>
        <w:jc w:val="center"/>
        <w:rPr/>
      </w:pPr>
      <w:r>
        <w:rPr/>
        <w:drawing>
          <wp:inline distT="0" distB="0" distL="0" distR="0">
            <wp:extent cx="2000250" cy="676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00250" cy="676275"/>
                    </a:xfrm>
                    <a:prstGeom prst="rect">
                      <a:avLst/>
                    </a:prstGeom>
                  </pic:spPr>
                </pic:pic>
              </a:graphicData>
            </a:graphic>
          </wp:inline>
        </w:drawing>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Blaize Holdings, Inc.</w:t>
      </w:r>
    </w:p>
    <w:p>
      <w:pPr>
        <w:pStyle w:val="TextBody"/>
        <w:bidi w:val="0"/>
        <w:spacing w:lineRule="auto" w:line="288" w:before="0" w:after="300"/>
        <w:jc w:val="center"/>
        <w:rPr>
          <w:color w:val="000000"/>
        </w:rPr>
      </w:pPr>
      <w:r>
        <w:rPr>
          <w:color w:val="000000"/>
        </w:rPr>
        <w:t xml:space="preserve">                      </w:t>
      </w:r>
      <w:r>
        <w:rPr>
          <w:rFonts w:ascii="Times New Roman;serif" w:hAnsi="Times New Roman;serif"/>
          <w:b/>
          <w:color w:val="000000"/>
          <w:sz w:val="28"/>
        </w:rPr>
        <w:t>Shares of Common Stock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this prospectus supplement and the accompanying prospectus, we are offering                   shares of our common stock, par value $0.0001 per share (“common stock”).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common stock is listed on The Nasdaq Global Market, or Nasdaq, under the symbol “BZAI.” On May 4, 2026, the last reported sale price of our common stock on Nasdaq was $2.33 per share.</w:t>
      </w:r>
    </w:p>
    <w:p>
      <w:pPr>
        <w:pStyle w:val="TextBody"/>
        <w:bidi w:val="0"/>
        <w:spacing w:lineRule="auto" w:line="288" w:before="0" w:after="240"/>
        <w:jc w:val="left"/>
        <w:rPr/>
      </w:pPr>
      <w:r>
        <w:rPr>
          <w:rFonts w:ascii="Times New Roman;serif" w:hAnsi="Times New Roman;serif"/>
          <w:b/>
          <w:color w:val="000000"/>
          <w:sz w:val="20"/>
        </w:rPr>
        <w:t>Investing in our securities involves a high degree of risk. See “</w:t>
      </w:r>
      <w:hyperlink w:anchor="ib9988ed507954544ad5548006f9dd89d_19">
        <w:r>
          <w:rPr>
            <w:rStyle w:val="InternetLink"/>
            <w:rFonts w:ascii="Times New Roman;serif" w:hAnsi="Times New Roman;serif"/>
            <w:b/>
            <w:color w:val="0000FF"/>
            <w:sz w:val="20"/>
            <w:u w:val="single"/>
          </w:rPr>
          <w:t>Risk Factors</w:t>
        </w:r>
      </w:hyperlink>
      <w:r>
        <w:rPr>
          <w:color w:val="000000"/>
        </w:rPr>
        <w:t xml:space="preserve">” </w:t>
      </w:r>
      <w:r>
        <w:rPr>
          <w:rFonts w:ascii="Times New Roman;serif" w:hAnsi="Times New Roman;serif"/>
          <w:b/>
          <w:color w:val="000000"/>
          <w:sz w:val="20"/>
        </w:rPr>
        <w:t xml:space="preserve">on page </w:t>
      </w:r>
      <w:hyperlink w:anchor="ib9988ed507954544ad5548006f9dd89d_19">
        <w:r>
          <w:rPr>
            <w:rStyle w:val="InternetLink"/>
            <w:rFonts w:ascii="Times New Roman;serif" w:hAnsi="Times New Roman;serif"/>
            <w:b/>
            <w:color w:val="0000FF"/>
            <w:sz w:val="20"/>
            <w:u w:val="single"/>
          </w:rPr>
          <w:t>S-10</w:t>
        </w:r>
      </w:hyperlink>
      <w:r>
        <w:rPr>
          <w:color w:val="000000"/>
        </w:rPr>
        <w:t xml:space="preserve"> </w:t>
      </w:r>
      <w:r>
        <w:rPr>
          <w:rFonts w:ascii="Times New Roman;serif" w:hAnsi="Times New Roman;serif"/>
          <w:b/>
          <w:color w:val="000000"/>
          <w:sz w:val="20"/>
        </w:rPr>
        <w:t>of this prospectus supplement and in the documents incorporated by reference into this prospectus supplement and the accompanying prospectus.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tbl>
      <w:tblPr>
        <w:tblW w:w="6823" w:type="dxa"/>
        <w:jc w:val="left"/>
        <w:tblInd w:w="0" w:type="dxa"/>
        <w:tblLayout w:type="fixed"/>
        <w:tblCellMar>
          <w:top w:w="28" w:type="dxa"/>
          <w:left w:w="28" w:type="dxa"/>
          <w:bottom w:w="28" w:type="dxa"/>
          <w:right w:w="28" w:type="dxa"/>
        </w:tblCellMar>
      </w:tblPr>
      <w:tblGrid>
        <w:gridCol w:w="1496"/>
        <w:gridCol w:w="1318"/>
        <w:gridCol w:w="1325"/>
        <w:gridCol w:w="384"/>
        <w:gridCol w:w="384"/>
        <w:gridCol w:w="388"/>
        <w:gridCol w:w="109"/>
        <w:gridCol w:w="109"/>
        <w:gridCol w:w="109"/>
        <w:gridCol w:w="350"/>
        <w:gridCol w:w="350"/>
        <w:gridCol w:w="501"/>
      </w:tblGrid>
      <w:tr>
        <w:trPr/>
        <w:tc>
          <w:tcPr>
            <w:tcW w:w="1496"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1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Public offering price</w:t>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41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Underwriting discounts and commissions</w:t>
            </w:r>
            <w:r>
              <w:rPr>
                <w:rFonts w:ascii="Times New Roman;serif" w:hAnsi="Times New Roman;serif"/>
                <w:b w:val="false"/>
                <w:color w:val="000000"/>
                <w:sz w:val="13"/>
              </w:rPr>
              <w:t>(1)</w:t>
            </w:r>
          </w:p>
        </w:tc>
        <w:tc>
          <w:tcPr>
            <w:tcW w:w="11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41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Proceeds to Blaize Holdings, Inc. before expenses</w:t>
            </w:r>
          </w:p>
        </w:tc>
        <w:tc>
          <w:tcPr>
            <w:tcW w:w="11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w:t>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720"/>
        <w:ind w:left="0" w:right="0" w:hanging="360"/>
        <w:jc w:val="left"/>
        <w:rPr/>
      </w:pPr>
      <w:r>
        <w:rPr>
          <w:rFonts w:ascii="Times New Roman;serif" w:hAnsi="Times New Roman;serif"/>
          <w:b w:val="false"/>
          <w:color w:val="000000"/>
          <w:sz w:val="10"/>
        </w:rPr>
        <w:t>(1)</w:t>
      </w:r>
      <w:r>
        <w:rPr>
          <w:rFonts w:ascii="Times New Roman;serif" w:hAnsi="Times New Roman;serif"/>
          <w:b w:val="false"/>
          <w:color w:val="000000"/>
          <w:sz w:val="16"/>
        </w:rPr>
        <w:t>For additional information about the expenses for which we have agreed to reimburse the underwriters in connection with this offering, see “</w:t>
      </w:r>
      <w:hyperlink w:anchor="ib9988ed507954544ad5548006f9dd89d_34">
        <w:r>
          <w:rPr>
            <w:rStyle w:val="InternetLink"/>
            <w:rFonts w:ascii="Times New Roman;serif" w:hAnsi="Times New Roman;serif"/>
            <w:b w:val="false"/>
            <w:color w:val="0000FF"/>
            <w:sz w:val="16"/>
            <w:u w:val="single"/>
          </w:rPr>
          <w:t>Underwriting</w:t>
        </w:r>
      </w:hyperlink>
      <w:r>
        <w:rPr>
          <w:color w:val="000000"/>
        </w:rPr>
        <w:t xml:space="preserve">” </w:t>
      </w:r>
      <w:r>
        <w:rPr>
          <w:rFonts w:ascii="Times New Roman;serif" w:hAnsi="Times New Roman;serif"/>
          <w:b w:val="false"/>
          <w:color w:val="000000"/>
          <w:sz w:val="16"/>
        </w:rPr>
        <w:t xml:space="preserve">beginning on page </w:t>
      </w:r>
      <w:hyperlink w:anchor="ib9988ed507954544ad5548006f9dd89d_34">
        <w:r>
          <w:rPr>
            <w:rStyle w:val="InternetLink"/>
            <w:rFonts w:ascii="Times New Roman;serif" w:hAnsi="Times New Roman;serif"/>
            <w:b w:val="false"/>
            <w:color w:val="0000FF"/>
            <w:sz w:val="16"/>
            <w:u w:val="single"/>
          </w:rPr>
          <w:t>S-17</w:t>
        </w:r>
      </w:hyperlink>
      <w:r>
        <w:rPr>
          <w:color w:val="000000"/>
        </w:rPr>
        <w:t xml:space="preserve"> </w:t>
      </w:r>
      <w:r>
        <w:rPr>
          <w:rFonts w:ascii="Times New Roman;serif" w:hAnsi="Times New Roman;serif"/>
          <w:b w:val="false"/>
          <w:color w:val="000000"/>
          <w:sz w:val="16"/>
        </w:rPr>
        <w:t>of this prospectus supplement.</w:t>
      </w:r>
    </w:p>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Sole Book-Running Manager</w:t>
      </w:r>
    </w:p>
    <w:tbl>
      <w:tblPr>
        <w:tblW w:w="5034" w:type="dxa"/>
        <w:jc w:val="left"/>
        <w:tblInd w:w="0" w:type="dxa"/>
        <w:tblLayout w:type="fixed"/>
        <w:tblCellMar>
          <w:top w:w="28" w:type="dxa"/>
          <w:left w:w="28" w:type="dxa"/>
          <w:bottom w:w="28" w:type="dxa"/>
          <w:right w:w="28" w:type="dxa"/>
        </w:tblCellMar>
      </w:tblPr>
      <w:tblGrid>
        <w:gridCol w:w="124"/>
        <w:gridCol w:w="109"/>
        <w:gridCol w:w="109"/>
        <w:gridCol w:w="1439"/>
        <w:gridCol w:w="1439"/>
        <w:gridCol w:w="144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36"/>
              </w:rPr>
            </w:pPr>
            <w:r>
              <w:rPr>
                <w:rFonts w:ascii="Times New Roman;serif" w:hAnsi="Times New Roman;serif"/>
                <w:b/>
                <w:color w:val="000000"/>
                <w:sz w:val="36"/>
              </w:rPr>
              <w:t>Northland Capital Markets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Co-Manager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8"/>
              </w:rPr>
            </w:pPr>
            <w:r>
              <w:rPr>
                <w:rFonts w:ascii="Times New Roman;serif" w:hAnsi="Times New Roman;serif"/>
                <w:b/>
                <w:color w:val="000000"/>
                <w:sz w:val="28"/>
              </w:rPr>
              <w:t>Benchmark, a StoneX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The date of this prospectus supplement is          ,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TABLE OF CONTENTS</w:t>
      </w:r>
    </w:p>
    <w:tbl>
      <w:tblPr>
        <w:tblW w:w="6374" w:type="dxa"/>
        <w:jc w:val="left"/>
        <w:tblInd w:w="0" w:type="dxa"/>
        <w:tblLayout w:type="fixed"/>
        <w:tblCellMar>
          <w:top w:w="28" w:type="dxa"/>
          <w:left w:w="28" w:type="dxa"/>
          <w:bottom w:w="28" w:type="dxa"/>
          <w:right w:w="28" w:type="dxa"/>
        </w:tblCellMar>
      </w:tblPr>
      <w:tblGrid>
        <w:gridCol w:w="2120"/>
        <w:gridCol w:w="1863"/>
        <w:gridCol w:w="1866"/>
        <w:gridCol w:w="154"/>
        <w:gridCol w:w="154"/>
        <w:gridCol w:w="217"/>
      </w:tblGrid>
      <w:tr>
        <w:trPr/>
        <w:tc>
          <w:tcPr>
            <w:tcW w:w="2120"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7">
              <w:r>
                <w:rPr>
                  <w:rStyle w:val="InternetLink"/>
                  <w:rFonts w:ascii="Times New Roman;serif" w:hAnsi="Times New Roman;serif"/>
                  <w:b w:val="false"/>
                  <w:color w:val="0000FF"/>
                  <w:sz w:val="20"/>
                  <w:u w:val="single"/>
                </w:rPr>
                <w:t>ABOUT THIS PROSPECTUS SUPPLEMENT</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7">
              <w:r>
                <w:rPr>
                  <w:rStyle w:val="InternetLink"/>
                  <w:rFonts w:ascii="Times New Roman;serif" w:hAnsi="Times New Roman;serif"/>
                  <w:b w:val="false"/>
                  <w:color w:val="0000FF"/>
                  <w:sz w:val="20"/>
                  <w:u w:val="single"/>
                </w:rPr>
                <w:t>S-1</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10">
              <w:r>
                <w:rPr>
                  <w:rStyle w:val="InternetLink"/>
                  <w:rFonts w:ascii="Times New Roman;serif" w:hAnsi="Times New Roman;serif"/>
                  <w:b w:val="false"/>
                  <w:color w:val="0000FF"/>
                  <w:sz w:val="20"/>
                  <w:u w:val="single"/>
                </w:rPr>
                <w:t>WHERE YOU CAN FIND MORE INFORMATION</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10">
              <w:r>
                <w:rPr>
                  <w:rStyle w:val="InternetLink"/>
                  <w:rFonts w:ascii="Times New Roman;serif" w:hAnsi="Times New Roman;serif"/>
                  <w:b w:val="false"/>
                  <w:color w:val="0000FF"/>
                  <w:sz w:val="20"/>
                  <w:u w:val="single"/>
                </w:rPr>
                <w:t>S-3</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13">
              <w:r>
                <w:rPr>
                  <w:rStyle w:val="InternetLink"/>
                  <w:rFonts w:ascii="Times New Roman;serif" w:hAnsi="Times New Roman;serif"/>
                  <w:b w:val="false"/>
                  <w:color w:val="0000FF"/>
                  <w:sz w:val="20"/>
                  <w:u w:val="single"/>
                </w:rPr>
                <w:t>PROSPECTUS SUPPLEMENT SUMMARY</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13">
              <w:r>
                <w:rPr>
                  <w:rStyle w:val="InternetLink"/>
                  <w:rFonts w:ascii="Times New Roman;serif" w:hAnsi="Times New Roman;serif"/>
                  <w:b w:val="false"/>
                  <w:color w:val="0000FF"/>
                  <w:sz w:val="20"/>
                  <w:u w:val="single"/>
                </w:rPr>
                <w:t>S-5</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16">
              <w:r>
                <w:rPr>
                  <w:rStyle w:val="InternetLink"/>
                  <w:rFonts w:ascii="Times New Roman;serif" w:hAnsi="Times New Roman;serif"/>
                  <w:b w:val="false"/>
                  <w:color w:val="0000FF"/>
                  <w:sz w:val="20"/>
                  <w:u w:val="single"/>
                </w:rPr>
                <w:t>THE OFFERING</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16">
              <w:r>
                <w:rPr>
                  <w:rStyle w:val="InternetLink"/>
                  <w:rFonts w:ascii="Times New Roman;serif" w:hAnsi="Times New Roman;serif"/>
                  <w:b w:val="false"/>
                  <w:color w:val="0000FF"/>
                  <w:sz w:val="20"/>
                  <w:u w:val="single"/>
                </w:rPr>
                <w:t>S-9</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19">
              <w:r>
                <w:rPr>
                  <w:rStyle w:val="InternetLink"/>
                  <w:rFonts w:ascii="Times New Roman;serif" w:hAnsi="Times New Roman;serif"/>
                  <w:b w:val="false"/>
                  <w:color w:val="0000FF"/>
                  <w:sz w:val="20"/>
                  <w:u w:val="single"/>
                </w:rPr>
                <w:t>RISK FACTORS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19">
              <w:r>
                <w:rPr>
                  <w:rStyle w:val="InternetLink"/>
                  <w:rFonts w:ascii="Times New Roman;serif" w:hAnsi="Times New Roman;serif"/>
                  <w:b w:val="false"/>
                  <w:color w:val="0000FF"/>
                  <w:sz w:val="20"/>
                  <w:u w:val="single"/>
                </w:rPr>
                <w:t>S-10</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22">
              <w:r>
                <w:rPr>
                  <w:rStyle w:val="InternetLink"/>
                  <w:rFonts w:ascii="Times New Roman;serif" w:hAnsi="Times New Roman;serif"/>
                  <w:b w:val="false"/>
                  <w:color w:val="0000FF"/>
                  <w:sz w:val="20"/>
                  <w:u w:val="single"/>
                </w:rPr>
                <w:t>SPECIAL NOTE REGARDING FORWARD-LOOKING STATEMENTS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22">
              <w:r>
                <w:rPr>
                  <w:rStyle w:val="InternetLink"/>
                  <w:rFonts w:ascii="Times New Roman;serif" w:hAnsi="Times New Roman;serif"/>
                  <w:b w:val="false"/>
                  <w:color w:val="0000FF"/>
                  <w:sz w:val="20"/>
                  <w:u w:val="single"/>
                </w:rPr>
                <w:t>S-13</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25">
              <w:r>
                <w:rPr>
                  <w:rStyle w:val="InternetLink"/>
                  <w:rFonts w:ascii="Times New Roman;serif" w:hAnsi="Times New Roman;serif"/>
                  <w:b w:val="false"/>
                  <w:color w:val="0000FF"/>
                  <w:sz w:val="20"/>
                  <w:u w:val="single"/>
                </w:rPr>
                <w:t>USE OF PROCEEDS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25">
              <w:r>
                <w:rPr>
                  <w:rStyle w:val="InternetLink"/>
                  <w:rFonts w:ascii="Times New Roman;serif" w:hAnsi="Times New Roman;serif"/>
                  <w:b w:val="false"/>
                  <w:color w:val="0000FF"/>
                  <w:sz w:val="20"/>
                  <w:u w:val="single"/>
                </w:rPr>
                <w:t>S-14</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28">
              <w:r>
                <w:rPr>
                  <w:rStyle w:val="InternetLink"/>
                  <w:rFonts w:ascii="Times New Roman;serif" w:hAnsi="Times New Roman;serif"/>
                  <w:b w:val="false"/>
                  <w:color w:val="0000FF"/>
                  <w:sz w:val="20"/>
                  <w:u w:val="single"/>
                </w:rPr>
                <w:t>DIVIDEND POLICY</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28">
              <w:r>
                <w:rPr>
                  <w:rStyle w:val="InternetLink"/>
                  <w:rFonts w:ascii="Times New Roman;serif" w:hAnsi="Times New Roman;serif"/>
                  <w:b w:val="false"/>
                  <w:color w:val="0000FF"/>
                  <w:sz w:val="20"/>
                  <w:u w:val="single"/>
                </w:rPr>
                <w:t>S-15</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31">
              <w:r>
                <w:rPr>
                  <w:rStyle w:val="InternetLink"/>
                  <w:rFonts w:ascii="Times New Roman;serif" w:hAnsi="Times New Roman;serif"/>
                  <w:b w:val="false"/>
                  <w:color w:val="0000FF"/>
                  <w:sz w:val="20"/>
                  <w:u w:val="single"/>
                </w:rPr>
                <w:t>DILUTION</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31">
              <w:r>
                <w:rPr>
                  <w:rStyle w:val="InternetLink"/>
                  <w:rFonts w:ascii="Times New Roman;serif" w:hAnsi="Times New Roman;serif"/>
                  <w:b w:val="false"/>
                  <w:color w:val="0000FF"/>
                  <w:sz w:val="20"/>
                  <w:u w:val="single"/>
                </w:rPr>
                <w:t>S-16</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34">
              <w:r>
                <w:rPr>
                  <w:rStyle w:val="InternetLink"/>
                  <w:rFonts w:ascii="Times New Roman;serif" w:hAnsi="Times New Roman;serif"/>
                  <w:b w:val="false"/>
                  <w:color w:val="0000FF"/>
                  <w:sz w:val="20"/>
                  <w:u w:val="single"/>
                </w:rPr>
                <w:t>UNDERWRITING</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34">
              <w:r>
                <w:rPr>
                  <w:rStyle w:val="InternetLink"/>
                  <w:rFonts w:ascii="Times New Roman;serif" w:hAnsi="Times New Roman;serif"/>
                  <w:b w:val="false"/>
                  <w:color w:val="0000FF"/>
                  <w:sz w:val="20"/>
                  <w:u w:val="single"/>
                </w:rPr>
                <w:t>S-17</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37">
              <w:r>
                <w:rPr>
                  <w:rStyle w:val="InternetLink"/>
                  <w:rFonts w:ascii="Times New Roman;serif" w:hAnsi="Times New Roman;serif"/>
                  <w:b w:val="false"/>
                  <w:color w:val="0000FF"/>
                  <w:sz w:val="20"/>
                  <w:u w:val="single"/>
                </w:rPr>
                <w:t>LEGAL MATTERS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37">
              <w:r>
                <w:rPr>
                  <w:rStyle w:val="InternetLink"/>
                  <w:rFonts w:ascii="Times New Roman;serif" w:hAnsi="Times New Roman;serif"/>
                  <w:b w:val="false"/>
                  <w:color w:val="0000FF"/>
                  <w:sz w:val="20"/>
                  <w:u w:val="single"/>
                </w:rPr>
                <w:t>S-22</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40">
              <w:r>
                <w:rPr>
                  <w:rStyle w:val="InternetLink"/>
                  <w:rFonts w:ascii="Times New Roman;serif" w:hAnsi="Times New Roman;serif"/>
                  <w:b w:val="false"/>
                  <w:color w:val="0000FF"/>
                  <w:sz w:val="20"/>
                  <w:u w:val="single"/>
                </w:rPr>
                <w:t>EXPERTS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40">
              <w:r>
                <w:rPr>
                  <w:rStyle w:val="InternetLink"/>
                  <w:rFonts w:ascii="Times New Roman;serif" w:hAnsi="Times New Roman;serif"/>
                  <w:b w:val="false"/>
                  <w:color w:val="0000FF"/>
                  <w:sz w:val="20"/>
                  <w:u w:val="single"/>
                </w:rPr>
                <w:t>S-22</w:t>
              </w:r>
            </w:hyperlink>
          </w:p>
        </w:tc>
      </w:tr>
    </w:tbl>
    <w:tbl>
      <w:tblPr>
        <w:tblW w:w="6222" w:type="dxa"/>
        <w:jc w:val="left"/>
        <w:tblInd w:w="0" w:type="dxa"/>
        <w:tblLayout w:type="fixed"/>
        <w:tblCellMar>
          <w:top w:w="28" w:type="dxa"/>
          <w:left w:w="28" w:type="dxa"/>
          <w:bottom w:w="28" w:type="dxa"/>
          <w:right w:w="28" w:type="dxa"/>
        </w:tblCellMar>
      </w:tblPr>
      <w:tblGrid>
        <w:gridCol w:w="2118"/>
        <w:gridCol w:w="1863"/>
        <w:gridCol w:w="1869"/>
        <w:gridCol w:w="109"/>
        <w:gridCol w:w="109"/>
        <w:gridCol w:w="154"/>
      </w:tblGrid>
      <w:tr>
        <w:trPr/>
        <w:tc>
          <w:tcPr>
            <w:tcW w:w="2118"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49">
              <w:r>
                <w:rPr>
                  <w:rStyle w:val="InternetLink"/>
                  <w:rFonts w:ascii="Times New Roman;serif" w:hAnsi="Times New Roman;serif"/>
                  <w:b w:val="false"/>
                  <w:color w:val="0000FF"/>
                  <w:sz w:val="20"/>
                  <w:u w:val="single"/>
                </w:rPr>
                <w:t>ABOUT THIS PROSPECTUS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49">
              <w:r>
                <w:rPr>
                  <w:rStyle w:val="InternetLink"/>
                  <w:rFonts w:ascii="Times New Roman;serif" w:hAnsi="Times New Roman;serif"/>
                  <w:b w:val="false"/>
                  <w:color w:val="0000FF"/>
                  <w:sz w:val="20"/>
                  <w:u w:val="single"/>
                </w:rPr>
                <w:t>1</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52">
              <w:r>
                <w:rPr>
                  <w:rStyle w:val="InternetLink"/>
                  <w:rFonts w:ascii="Times New Roman;serif" w:hAnsi="Times New Roman;serif"/>
                  <w:b w:val="false"/>
                  <w:color w:val="0000FF"/>
                  <w:sz w:val="20"/>
                  <w:u w:val="single"/>
                </w:rPr>
                <w:t>WHERE YOU CAN FIND MORE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52">
              <w:r>
                <w:rPr>
                  <w:rStyle w:val="InternetLink"/>
                  <w:rFonts w:ascii="Times New Roman;serif" w:hAnsi="Times New Roman;serif"/>
                  <w:b w:val="false"/>
                  <w:color w:val="0000FF"/>
                  <w:sz w:val="20"/>
                  <w:u w:val="single"/>
                </w:rPr>
                <w:t>2</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55">
              <w:r>
                <w:rPr>
                  <w:rStyle w:val="InternetLink"/>
                  <w:rFonts w:ascii="Times New Roman;serif" w:hAnsi="Times New Roman;serif"/>
                  <w:b w:val="false"/>
                  <w:color w:val="0000FF"/>
                  <w:sz w:val="20"/>
                  <w:u w:val="single"/>
                </w:rPr>
                <w:t>THE COMPANY</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55">
              <w:r>
                <w:rPr>
                  <w:rStyle w:val="InternetLink"/>
                  <w:rFonts w:ascii="Times New Roman;serif" w:hAnsi="Times New Roman;serif"/>
                  <w:b w:val="false"/>
                  <w:color w:val="0000FF"/>
                  <w:sz w:val="20"/>
                  <w:u w:val="single"/>
                </w:rPr>
                <w:t>4</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58">
              <w:r>
                <w:rPr>
                  <w:rStyle w:val="InternetLink"/>
                  <w:rFonts w:ascii="Times New Roman;serif" w:hAnsi="Times New Roman;serif"/>
                  <w:b w:val="false"/>
                  <w:color w:val="0000FF"/>
                  <w:sz w:val="20"/>
                  <w:u w:val="single"/>
                </w:rPr>
                <w:t>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58">
              <w:r>
                <w:rPr>
                  <w:rStyle w:val="InternetLink"/>
                  <w:rFonts w:ascii="Times New Roman;serif" w:hAnsi="Times New Roman;serif"/>
                  <w:b w:val="false"/>
                  <w:color w:val="0000FF"/>
                  <w:sz w:val="20"/>
                  <w:u w:val="single"/>
                </w:rPr>
                <w:t>6</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61">
              <w:r>
                <w:rPr>
                  <w:rStyle w:val="InternetLink"/>
                  <w:rFonts w:ascii="Times New Roman;serif" w:hAnsi="Times New Roman;serif"/>
                  <w:b w:val="false"/>
                  <w:color w:val="0000FF"/>
                  <w:sz w:val="20"/>
                  <w:u w:val="single"/>
                </w:rPr>
                <w:t>SPECIAL NOTE REGARDING FORWARD-LOOKING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61">
              <w:r>
                <w:rPr>
                  <w:rStyle w:val="InternetLink"/>
                  <w:rFonts w:ascii="Times New Roman;serif" w:hAnsi="Times New Roman;serif"/>
                  <w:b w:val="false"/>
                  <w:color w:val="0000FF"/>
                  <w:sz w:val="20"/>
                  <w:u w:val="single"/>
                </w:rPr>
                <w:t>7</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64">
              <w:r>
                <w:rPr>
                  <w:rStyle w:val="InternetLink"/>
                  <w:rFonts w:ascii="Times New Roman;serif" w:hAnsi="Times New Roman;serif"/>
                  <w:b w:val="false"/>
                  <w:color w:val="0000FF"/>
                  <w:sz w:val="20"/>
                  <w:u w:val="single"/>
                </w:rPr>
                <w:t>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64">
              <w:r>
                <w:rPr>
                  <w:rStyle w:val="InternetLink"/>
                  <w:rFonts w:ascii="Times New Roman;serif" w:hAnsi="Times New Roman;serif"/>
                  <w:b w:val="false"/>
                  <w:color w:val="0000FF"/>
                  <w:sz w:val="20"/>
                  <w:u w:val="single"/>
                </w:rPr>
                <w:t>8</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67">
              <w:r>
                <w:rPr>
                  <w:rStyle w:val="InternetLink"/>
                  <w:rFonts w:ascii="Times New Roman;serif" w:hAnsi="Times New Roman;serif"/>
                  <w:b w:val="false"/>
                  <w:color w:val="0000FF"/>
                  <w:sz w:val="20"/>
                  <w:u w:val="single"/>
                </w:rPr>
                <w:t>DESCRIPTION OF CAPITAL STOCK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67">
              <w:r>
                <w:rPr>
                  <w:rStyle w:val="InternetLink"/>
                  <w:rFonts w:ascii="Times New Roman;serif" w:hAnsi="Times New Roman;serif"/>
                  <w:b w:val="false"/>
                  <w:color w:val="0000FF"/>
                  <w:sz w:val="20"/>
                  <w:u w:val="single"/>
                </w:rPr>
                <w:t>9</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70">
              <w:r>
                <w:rPr>
                  <w:rStyle w:val="InternetLink"/>
                  <w:rFonts w:ascii="Times New Roman;serif" w:hAnsi="Times New Roman;serif"/>
                  <w:b w:val="false"/>
                  <w:color w:val="0000FF"/>
                  <w:sz w:val="20"/>
                  <w:u w:val="single"/>
                </w:rPr>
                <w:t>DESCRIPTION OF DEBT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70">
              <w:r>
                <w:rPr>
                  <w:rStyle w:val="InternetLink"/>
                  <w:rFonts w:ascii="Times New Roman;serif" w:hAnsi="Times New Roman;serif"/>
                  <w:b w:val="false"/>
                  <w:color w:val="0000FF"/>
                  <w:sz w:val="20"/>
                  <w:u w:val="single"/>
                </w:rPr>
                <w:t>17</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73">
              <w:r>
                <w:rPr>
                  <w:rStyle w:val="InternetLink"/>
                  <w:rFonts w:ascii="Times New Roman;serif" w:hAnsi="Times New Roman;serif"/>
                  <w:b w:val="false"/>
                  <w:color w:val="0000FF"/>
                  <w:sz w:val="20"/>
                  <w:u w:val="single"/>
                </w:rPr>
                <w:t>DESCRIPTION OF WARRANTS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73">
              <w:r>
                <w:rPr>
                  <w:rStyle w:val="InternetLink"/>
                  <w:rFonts w:ascii="Times New Roman;serif" w:hAnsi="Times New Roman;serif"/>
                  <w:b w:val="false"/>
                  <w:color w:val="0000FF"/>
                  <w:sz w:val="20"/>
                  <w:u w:val="single"/>
                </w:rPr>
                <w:t>25</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76">
              <w:r>
                <w:rPr>
                  <w:rStyle w:val="InternetLink"/>
                  <w:rFonts w:ascii="Times New Roman;serif" w:hAnsi="Times New Roman;serif"/>
                  <w:b w:val="false"/>
                  <w:color w:val="0000FF"/>
                  <w:sz w:val="20"/>
                  <w:u w:val="single"/>
                </w:rPr>
                <w:t>DESCRIPTION OF RIGHTS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76">
              <w:r>
                <w:rPr>
                  <w:rStyle w:val="InternetLink"/>
                  <w:rFonts w:ascii="Times New Roman;serif" w:hAnsi="Times New Roman;serif"/>
                  <w:b w:val="false"/>
                  <w:color w:val="0000FF"/>
                  <w:sz w:val="20"/>
                  <w:u w:val="single"/>
                </w:rPr>
                <w:t>27</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79">
              <w:r>
                <w:rPr>
                  <w:rStyle w:val="InternetLink"/>
                  <w:rFonts w:ascii="Times New Roman;serif" w:hAnsi="Times New Roman;serif"/>
                  <w:b w:val="false"/>
                  <w:color w:val="0000FF"/>
                  <w:sz w:val="20"/>
                  <w:u w:val="single"/>
                </w:rPr>
                <w:t>DESCRIPTION OF UNITS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79">
              <w:r>
                <w:rPr>
                  <w:rStyle w:val="InternetLink"/>
                  <w:rFonts w:ascii="Times New Roman;serif" w:hAnsi="Times New Roman;serif"/>
                  <w:b w:val="false"/>
                  <w:color w:val="0000FF"/>
                  <w:sz w:val="20"/>
                  <w:u w:val="single"/>
                </w:rPr>
                <w:t>28</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82">
              <w:r>
                <w:rPr>
                  <w:rStyle w:val="InternetLink"/>
                  <w:rFonts w:ascii="Times New Roman;serif" w:hAnsi="Times New Roman;serif"/>
                  <w:b w:val="false"/>
                  <w:color w:val="0000FF"/>
                  <w:sz w:val="20"/>
                  <w:u w:val="single"/>
                </w:rPr>
                <w:t>GLOBAL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82">
              <w:r>
                <w:rPr>
                  <w:rStyle w:val="InternetLink"/>
                  <w:rFonts w:ascii="Times New Roman;serif" w:hAnsi="Times New Roman;serif"/>
                  <w:b w:val="false"/>
                  <w:color w:val="0000FF"/>
                  <w:sz w:val="20"/>
                  <w:u w:val="single"/>
                </w:rPr>
                <w:t>29</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85">
              <w:r>
                <w:rPr>
                  <w:rStyle w:val="InternetLink"/>
                  <w:rFonts w:ascii="Times New Roman;serif" w:hAnsi="Times New Roman;serif"/>
                  <w:b w:val="false"/>
                  <w:color w:val="0000FF"/>
                  <w:sz w:val="20"/>
                  <w:u w:val="single"/>
                </w:rPr>
                <w:t>PLAN OF DISTRIBUTION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85">
              <w:r>
                <w:rPr>
                  <w:rStyle w:val="InternetLink"/>
                  <w:rFonts w:ascii="Times New Roman;serif" w:hAnsi="Times New Roman;serif"/>
                  <w:b w:val="false"/>
                  <w:color w:val="0000FF"/>
                  <w:sz w:val="20"/>
                  <w:u w:val="single"/>
                </w:rPr>
                <w:t>33</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88">
              <w:r>
                <w:rPr>
                  <w:rStyle w:val="InternetLink"/>
                  <w:rFonts w:ascii="Times New Roman;serif" w:hAnsi="Times New Roman;serif"/>
                  <w:b w:val="false"/>
                  <w:color w:val="0000FF"/>
                  <w:sz w:val="20"/>
                  <w:u w:val="single"/>
                </w:rPr>
                <w:t>LEGAL MATTERS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88">
              <w:r>
                <w:rPr>
                  <w:rStyle w:val="InternetLink"/>
                  <w:rFonts w:ascii="Times New Roman;serif" w:hAnsi="Times New Roman;serif"/>
                  <w:b w:val="false"/>
                  <w:color w:val="0000FF"/>
                  <w:sz w:val="20"/>
                  <w:u w:val="single"/>
                </w:rPr>
                <w:t>35</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91">
              <w:r>
                <w:rPr>
                  <w:rStyle w:val="InternetLink"/>
                  <w:rFonts w:ascii="Times New Roman;serif" w:hAnsi="Times New Roman;serif"/>
                  <w:b w:val="false"/>
                  <w:color w:val="0000FF"/>
                  <w:sz w:val="20"/>
                  <w:u w:val="single"/>
                </w:rPr>
                <w:t>EXPERTS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91">
              <w:r>
                <w:rPr>
                  <w:rStyle w:val="InternetLink"/>
                  <w:rFonts w:ascii="Times New Roman;serif" w:hAnsi="Times New Roman;serif"/>
                  <w:b w:val="false"/>
                  <w:color w:val="0000FF"/>
                  <w:sz w:val="20"/>
                  <w:u w:val="single"/>
                </w:rPr>
                <w:t>35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S-i</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ABOUT THIS PROSPECTUS SUPPLEMENT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supplement and the accompanying prospectus are part of a registration statement that we filed on Form S-3 with the Securities and Exchange Commission (the “SEC”), using a “shelf” registration process. By using a shelf registration statement, we may sell an unspecified amount of securities from time to time.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document is in two parts. The first part is this prospectus supplement, which describes the terms of this offering of securities and also adds to and updates information contained in the accompanying prospectus and the documents incorporated by reference into this prospectus supplement and the accompanying prospectus. The second part, the accompanying prospectus, including the documents incorporated by reference therein, provides more general information. Generally, when we refer to this prospectus, we are referring to both parts of this document combined. To the extent there is a conflict between the information contained in this prospectus supplement, on the one hand, and the information contained in the accompanying prospectus or in any document incorporated by reference that was filed with the SEC before the date of this prospectus supplement, on the other hand, you should rely on the information in this prospectus supplement. If any statement in one of these documents is inconsistent with a statement in another document having a later date - for example, a document incorporated by reference in the accompanying prospectus - the statement in the document having the later date modifies or supersedes the earlier statement.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supplement and the accompanying prospectus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or will be filed as exhibits to the registration statement of which this prospectus supplement is a part or as exhibits to documents incorporated by reference herein, and you may obtain copies of those documents as described below under the heading “Where You Can Find More Information.”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have not, and the underwriters have not, authorized anyone to provide you with any information other than that contained or incorporated by reference in this prospectus supplement, the accompanying prospectus or in any free writing prospectus that we have authorized for use in connection with this offering. We take no responsibility for, and can provide no assurance as to the reliability of, any other information that others may give you. The information contained in this prospectus supplement, the accompanying prospectus, any free writing prospectus that we have authorized for use in connection with this offering, including the documents incorporated by reference herein or therein, is accurate only as of the respective dates thereof, regardless of the time of delivery of this prospectus supplement and the accompanying prospectus or of any sale of our securities. Our business, financial condition, results of operations and prospects may have changed since those dates. It is important for you to read and consider all information contained in this prospectus supplement, the accompanying prospectus and any free writing prospectus that we have authorized for use in connection with this offering, including the documents incorporated by reference herein and therein, in their entirety before making your investment decision. You should also read and consider the information in the documents to which we have referred you in the section titled “Where You Can Find More Information” in this prospectus supplement and in the accompanying prospectus.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offering to sell, and seeking offers to buy, shares of our common stock only in jurisdictions in which offers and sales are permitted. The distribution of this prospectus supplement and the accompanying prospectus and the offering of the securities in certain jurisdictions may be restricted by law. Persons outside the United States who come into possession of this prospectus supplement and the accompanying prospectus must inform themselves about, and observe any restrictions relating to, the offering of the securities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When we refer to “Blaize,” “we,” “our” and “us” in this prospectus, we mean Blaize Holdings, Inc. or its consolidated subsidiary, unless otherwise specified. When we refer to “you,” we mean the holders of our common stock.</w:t>
      </w:r>
    </w:p>
    <w:p>
      <w:pPr>
        <w:pStyle w:val="TextBody"/>
        <w:bidi w:val="0"/>
        <w:spacing w:before="0" w:after="18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use our registered trademark, Blaize Holdings, Inc., in this prospectus. This prospectus also includes trademarks, tradenames and service marks that are the property of other organizations.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Solely for convenience, trademarks and tradenames referred to in this prospectus appear without the ® and ™ symbols, but those references are not intended to indicate, in any way, that we will not assert, to the fullest extent under applicable law, our rights or that the applicable owner will not assert its rights, to these trademarks and tradenames.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WHERE YOU CAN FIND MORE INFORMATION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file reports, proxy statements and other information with the SEC. The SEC maintains a website that contains reports, proxy and information statements and other information about issuers, such as us, who file electronically with the SEC. The address of that website is https://www.sec.gov.</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website address is https://www.blaize.com. The information on our website, however, is not, and should not be deemed to be, a part of this prospectus supplement. We have included our website address as an inactive textual reference only.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supplement is part of a registration statement that we filed with the SEC and does not contain all of the information in the registration statement. The full registration statement may be obtained from the SEC or us, as provided below. Contracts and other documents are or may be filed as exhibits to the registration statement or may be incorporated by reference in the registration statement. Statements in this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Incorporation by Reference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SEC’s rules allow us to “incorporate by reference” information into this prospectus supplement, which means that we can disclose important information to you by referring you to another document filed separately with the SEC. The information incorporated by reference is deemed to be part of this prospectus supplement, and subsequent information that we file with the SEC will automatically update and supersede that information.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Any statement contained in this prospectus supplement or a previously filed document incorporated by reference will be deemed to be modified or superseded for purposes of this prospectus supplement to the extent that a statement contained in this prospectus or a subsequently filed document incorporated by reference modifies or replaces that statement.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supplement and the accompanying prospectus incorporate by reference the documents set forth below that have previously been filed with the SEC (other than those documents or the portions of those documents not deemed to be filed):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Annual Report on Form 10-K for the year ended December 31, 2025, filed with the SEC on </w:t>
      </w:r>
      <w:hyperlink r:id="rId3">
        <w:r>
          <w:rPr>
            <w:rStyle w:val="InternetLink"/>
            <w:rFonts w:ascii="Times New Roman;serif" w:hAnsi="Times New Roman;serif"/>
            <w:b w:val="false"/>
            <w:color w:val="0000FF"/>
            <w:sz w:val="20"/>
            <w:u w:val="single"/>
          </w:rPr>
          <w:t>March 24, 2026</w:t>
        </w:r>
      </w:hyperlink>
      <w:r>
        <w:rPr>
          <w:rFonts w:ascii="Times New Roman;serif" w:hAnsi="Times New Roman;serif"/>
          <w:b w:val="false"/>
          <w:color w:val="000000"/>
          <w:sz w:val="20"/>
        </w:rPr>
        <w:t xml:space="preserve">, as amended by Amendment No. 1 on Form 10-K/A filed with the SEC on </w:t>
      </w:r>
      <w:hyperlink r:id="rId4">
        <w:r>
          <w:rPr>
            <w:rStyle w:val="InternetLink"/>
            <w:rFonts w:ascii="Times New Roman;serif" w:hAnsi="Times New Roman;serif"/>
            <w:b w:val="false"/>
            <w:color w:val="0000FF"/>
            <w:sz w:val="20"/>
            <w:u w:val="single"/>
          </w:rPr>
          <w:t>April 30, 2026</w:t>
        </w:r>
      </w:hyperlink>
      <w:r>
        <w:rPr>
          <w:rFonts w:ascii="Times New Roman;serif" w:hAnsi="Times New Roman;serif"/>
          <w:b w:val="false"/>
          <w:color w:val="000000"/>
          <w:sz w:val="20"/>
        </w:rPr>
        <w: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Current Reports on Form 8-K filed with the SEC on </w:t>
      </w:r>
      <w:hyperlink r:id="rId5">
        <w:r>
          <w:rPr>
            <w:rStyle w:val="InternetLink"/>
            <w:rFonts w:ascii="Times New Roman;serif" w:hAnsi="Times New Roman;serif"/>
            <w:b w:val="false"/>
            <w:color w:val="0000FF"/>
            <w:sz w:val="20"/>
            <w:u w:val="single"/>
          </w:rPr>
          <w:t>January 5, 2026</w:t>
        </w:r>
      </w:hyperlink>
      <w:r>
        <w:rPr>
          <w:color w:val="000000"/>
        </w:rPr>
        <w:t xml:space="preserve"> </w:t>
      </w:r>
      <w:r>
        <w:rPr>
          <w:rFonts w:ascii="Times New Roman;serif" w:hAnsi="Times New Roman;serif"/>
          <w:b w:val="false"/>
          <w:color w:val="000000"/>
          <w:sz w:val="20"/>
        </w:rPr>
        <w:t xml:space="preserve">and </w:t>
      </w:r>
      <w:hyperlink r:id="rId6">
        <w:r>
          <w:rPr>
            <w:rStyle w:val="InternetLink"/>
            <w:rFonts w:ascii="Times New Roman;serif" w:hAnsi="Times New Roman;serif"/>
            <w:b w:val="false"/>
            <w:color w:val="0000FF"/>
            <w:sz w:val="20"/>
            <w:u w:val="single"/>
          </w:rPr>
          <w:t>April 22, 2026</w:t>
        </w:r>
      </w:hyperlink>
      <w:r>
        <w:rPr>
          <w:rFonts w:ascii="Times New Roman;serif" w:hAnsi="Times New Roman;serif"/>
          <w:b w:val="false"/>
          <w:color w:val="000000"/>
          <w:sz w:val="20"/>
        </w:rPr>
        <w: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description of our common stock contained in our Registration Statement on Form 8-A12B, filed with the SEC on </w:t>
      </w:r>
      <w:hyperlink r:id="rId7">
        <w:r>
          <w:rPr>
            <w:rStyle w:val="InternetLink"/>
            <w:rFonts w:ascii="Times New Roman;serif" w:hAnsi="Times New Roman;serif"/>
            <w:b w:val="false"/>
            <w:color w:val="0000FF"/>
            <w:sz w:val="20"/>
            <w:u w:val="single"/>
          </w:rPr>
          <w:t>December 8, 2021</w:t>
        </w:r>
      </w:hyperlink>
      <w:r>
        <w:rPr>
          <w:rFonts w:ascii="Times New Roman;serif" w:hAnsi="Times New Roman;serif"/>
          <w:b w:val="false"/>
          <w:color w:val="000000"/>
          <w:sz w:val="20"/>
        </w:rPr>
        <w:t xml:space="preserve">, as most recently updated by </w:t>
      </w:r>
      <w:hyperlink r:id="rId8">
        <w:r>
          <w:rPr>
            <w:rStyle w:val="InternetLink"/>
            <w:rFonts w:ascii="Times New Roman;serif" w:hAnsi="Times New Roman;serif"/>
            <w:b w:val="false"/>
            <w:color w:val="0000FF"/>
            <w:sz w:val="20"/>
            <w:u w:val="single"/>
          </w:rPr>
          <w:t>Exhibit 4.4</w:t>
        </w:r>
      </w:hyperlink>
      <w:r>
        <w:rPr>
          <w:color w:val="000000"/>
        </w:rPr>
        <w:t xml:space="preserve"> </w:t>
      </w:r>
      <w:r>
        <w:rPr>
          <w:rFonts w:ascii="Times New Roman;serif" w:hAnsi="Times New Roman;serif"/>
          <w:b w:val="false"/>
          <w:color w:val="000000"/>
          <w:sz w:val="20"/>
        </w:rPr>
        <w:t>to our Annual Report on Form 10-K for the year ended December 31, 2025, filed with the SEC on March 24, 2026, including any amendments or reports filed for the purpose of updating such description.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description of our Series A Junior Participating Preferred Stock contained in our Registration Statement on Form 8-A12B, filed with the SEC on April 22, 2026.</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All documents that we file with the SEC pursuant to Sections 13(a), 13(c), 14, and 15(d) of the Exchange Act subsequent to the date of this registration statement and prior to the filing of a post-effective amendment to this registration statement that indicates that all securities offered under this prospectus have been sold, or that deregisters all securities then remaining unsold, will be deemed to be incorporated in this registration statement by reference and to be a part hereof from the date of filing of such documents. Nothing in this prospectus shall be deemed to incorporate information furnished but not filed with the SEC (including without limitation, information furnished under Item 2.02 or Item 7.01 of Form 8-K, and any exhibits relating to such information).</w:t>
      </w:r>
    </w:p>
    <w:p>
      <w:pPr>
        <w:pStyle w:val="TextBody"/>
        <w:bidi w:val="0"/>
        <w:spacing w:before="0" w:after="18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S-3</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You may request a free copy of any of the documents incorporated by reference in this prospectus by writing or telephoning us at the following address: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Blaize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4659 Golden Foothill Parkway, Suite 206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El Dorado Hills, CA 95762</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(916) 347-0050</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Exhibits to the filings will not be sent, however, unless those exhibits have specifically been incorporated by reference in this prospectus or any accompanying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S-4</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PROSPECTUS SUPPLEMENT SUMMARY</w:t>
      </w:r>
    </w:p>
    <w:p>
      <w:pPr>
        <w:pStyle w:val="TextBody"/>
        <w:bidi w:val="0"/>
        <w:spacing w:lineRule="auto" w:line="288" w:before="0" w:after="180"/>
        <w:jc w:val="left"/>
        <w:rPr>
          <w:rFonts w:ascii="Times New Roman;serif" w:hAnsi="Times New Roman;serif"/>
          <w:b w:val="false"/>
          <w:i/>
          <w:color w:val="000000"/>
          <w:sz w:val="20"/>
          <w:bdr w:val="single" w:sz="8" w:space="36" w:color="000000"/>
        </w:rPr>
      </w:pPr>
      <w:r>
        <w:rPr>
          <w:rFonts w:ascii="Times New Roman;serif" w:hAnsi="Times New Roman;serif"/>
          <w:b w:val="false"/>
          <w:i/>
          <w:color w:val="000000"/>
          <w:sz w:val="20"/>
          <w:bdr w:val="single" w:sz="8" w:space="36" w:color="000000"/>
        </w:rPr>
        <w:t>This summary provides a general overview of selected information and does not contain all of the information you should consider before buying our common stock. You should read this entire prospectus supplement, the accompanying prospectus and any applicable free writing prospectus that we have authorized for use in connection with this offering carefully, including the information incorporated by reference, before deciding to invest in our common stock. Investors should carefully consider the information set forth under “Risk Factors” in this prospectus supplement, the accompanying prospectus and our Annual Report on Form 10-K for the year ended December 31, 2025, and in the documents incorporated by reference into this prospectus supplement and the accompanying prospectus.</w:t>
      </w:r>
    </w:p>
    <w:p>
      <w:pPr>
        <w:pStyle w:val="TextBody"/>
        <w:bidi w:val="0"/>
        <w:spacing w:lineRule="auto" w:line="288" w:before="0" w:after="180"/>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THE COMPANY</w:t>
      </w:r>
    </w:p>
    <w:p>
      <w:pPr>
        <w:pStyle w:val="TextBody"/>
        <w:bidi w:val="0"/>
        <w:spacing w:lineRule="auto" w:line="288" w:before="0" w:after="180"/>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Overview</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Blaize develops purpose-built, transformative artificial intelligence (“AI”)-enabled computing solutions comprised of both our proprietary hardware and software, and complementary third-party hardware solutions, as further described below. Our computing solutions are designed for efficient processing of AI inference workloads across edge and data center environments. Our architecture supports AI workloads where latency, power efficiency, and cost efficiency are important considerations. Our systems can process data locally at the edge or within data center infrastructure, depending on deployment requirements. Local processing can reduce bandwidth usage and support latency-sensitive applications requiring real-time decision making.</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Our portfolio includes highly efficient programmable AI processors in a broad range of form factors, deployable across several verticals, including smart city, defense, retail and enterprise markets. Our accelerated AI computing platforms enable applications such as computer vision, advanced video analytics, and AI inference, and our software tools allow non-expert practitioners to deploy existing and novel AI applications on our hardware without the need to learn or use source code.</w:t>
      </w:r>
    </w:p>
    <w:p>
      <w:pPr>
        <w:pStyle w:val="TextBody"/>
        <w:bidi w:val="0"/>
        <w:spacing w:lineRule="auto" w:line="288" w:before="0" w:after="180"/>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Recent Developments</w:t>
      </w:r>
    </w:p>
    <w:p>
      <w:pPr>
        <w:pStyle w:val="TextBody"/>
        <w:bidi w:val="0"/>
        <w:spacing w:lineRule="auto" w:line="288" w:before="0" w:after="180"/>
        <w:jc w:val="left"/>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Preliminary First Quarter Revenue</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On April 14, 2026, the Company announced preliminary expected revenue for the first quarter of 2026 of approximately $2.7 million. Results were primarily impacted by temporary supply chain constraints that affected shipment timing, despite solid underlying customer demand. The Company also confirmed that it will secure the inventory to deliver approximately $10-12 million to a customer in late April or May 2026.</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These results are preliminary, unaudited and represent the most recent current information available to Company management. The Company’s actual results may differ from these estimated financial results, including due to the completion of its financial closing procedures and final adjustments.</w:t>
      </w:r>
    </w:p>
    <w:p>
      <w:pPr>
        <w:pStyle w:val="TextBody"/>
        <w:bidi w:val="0"/>
        <w:spacing w:lineRule="auto" w:line="288" w:before="0" w:after="180"/>
        <w:jc w:val="left"/>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Business Update</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On April 14, 2026, the Company announced the receipt of a new contract (the “NeoTensr Agreement”) with NeoTensr Co., Ltd. (“NeoTensr”) for up to $50.0 million in revenue within the first year of the NeoTensr Agreement, subject to NeoTensr’s issuance of purchase orders. The up to $50.0 million of potential revenue under the NeoTensr Agreement is in addition to the $23.8 million earned by Blaize in the fourth quarter of 2025 from a NeoTensr purchase order. We expect to commence fulfillment under the NeoTensr Agreement in the second quarter of 2026.</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In April 2026, at GITEX Asia, Blaize announced the launch of Blaize AI Services to transform AI infrastructure into production-ready APIs. The new platform is designed to help cloud providers, data center operators, system integrators, and enterprises deploy application-level AI services faster, reduce cost per query, and create recurring AI service revenue.</w:t>
      </w:r>
    </w:p>
    <w:p>
      <w:pPr>
        <w:pStyle w:val="TextBody"/>
        <w:bidi w:val="0"/>
        <w:spacing w:before="0" w:after="18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S-5</w:t>
                      </w:r>
                    </w:p>
                  </w:txbxContent>
                </v:textbox>
                <w10:wrap type="none"/>
              </v:rect>
            </w:pict>
          </mc:Fallback>
        </mc:AlternateContent>
      </w:r>
    </w:p>
    <w:p>
      <w:pPr>
        <w:pStyle w:val="TextBody"/>
        <w:bidi w:val="0"/>
        <w:spacing w:lineRule="auto" w:line="288" w:before="0" w:after="180"/>
        <w:jc w:val="left"/>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Customers</w:t>
      </w:r>
    </w:p>
    <w:p>
      <w:pPr>
        <w:pStyle w:val="TextBody"/>
        <w:bidi w:val="0"/>
        <w:spacing w:lineRule="auto" w:line="288" w:before="0" w:after="180"/>
        <w:jc w:val="left"/>
        <w:rPr>
          <w:rFonts w:ascii="Times New Roman;serif" w:hAnsi="Times New Roman;serif"/>
          <w:b w:val="false"/>
          <w:i/>
          <w:color w:val="000000"/>
          <w:sz w:val="20"/>
          <w:bdr w:val="single" w:sz="8" w:space="36" w:color="000000"/>
        </w:rPr>
      </w:pPr>
      <w:r>
        <w:rPr>
          <w:rFonts w:ascii="Times New Roman;serif" w:hAnsi="Times New Roman;serif"/>
          <w:b w:val="false"/>
          <w:i/>
          <w:color w:val="000000"/>
          <w:sz w:val="20"/>
          <w:bdr w:val="single" w:sz="8" w:space="36" w:color="000000"/>
        </w:rPr>
        <w:t>Historical Revenue and Growth Expectations</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Our revenue has been generated from a limited number of significant customers, some of whom have been, and may in the future be, related parties. For the year ended December 31, 2025, two major customers located in China accounted for 61% and 27% of our total revenue, respectively. Neither of these customers was a related party. In 2025, all of our revenue was attributable to sales of hardware and software products, with no revenue generated from services.</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In 2024, 98% of our revenue was attributable to two different customers, located in the United States and Japan, both of whom were related parties. In 2024, substantially all of our revenue was derived from providing strategic consulting services, and these service contracts have since expired.</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Since our revenue is currently concentrated among a small number of customers, revenue recognized from any one significant customer may change the geographical mix of our revenue. Going forward, we expect to derive revenue primarily from sales of hardware and software products and also from strategic consulting services.</w:t>
      </w:r>
    </w:p>
    <w:p>
      <w:pPr>
        <w:pStyle w:val="TextBody"/>
        <w:bidi w:val="0"/>
        <w:spacing w:lineRule="auto" w:line="288" w:before="0" w:after="180"/>
        <w:jc w:val="left"/>
        <w:rPr>
          <w:rFonts w:ascii="Times New Roman;serif" w:hAnsi="Times New Roman;serif"/>
          <w:b w:val="false"/>
          <w:i/>
          <w:color w:val="000000"/>
          <w:sz w:val="20"/>
          <w:bdr w:val="single" w:sz="8" w:space="36" w:color="000000"/>
        </w:rPr>
      </w:pPr>
      <w:r>
        <w:rPr>
          <w:rFonts w:ascii="Times New Roman;serif" w:hAnsi="Times New Roman;serif"/>
          <w:b w:val="false"/>
          <w:i/>
          <w:color w:val="000000"/>
          <w:sz w:val="20"/>
          <w:bdr w:val="single" w:sz="8" w:space="36" w:color="000000"/>
        </w:rPr>
        <w:t>Purchase Order Contract Agreement (the “POCA”) in the Persian Gulf Region</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On May 1, 2024, Blaize entered into a Purchase Order Contract Agreement (the “POCA”) with a UAE private company (the “POCA Counterparty”) that provides defense and other solutions to government entities in the Gulf Cooperation Council region. The initial agreement related to solutions for a defense entity in UAE (collectively, the “Customer”). The POCA was amended on October 18, 2024 to add additional detail regarding hardware and software requirements and estimated delivery schedules. Under the POCA, Blaize expects to provide several solutions to the POCA Counterparty that require low latency, low power and high-performance compute in the field. Specifically, the POCA Counterparty, as the Technical Service Provider (“TSP”) licensed by the Department of Economic Development, Abu Dhabi, Government of United Arab Emirates, and Blaize, as the supplier of equipment, software and/or managed services to TSP for the purpose of installation, provision, operations and/or maintenance of TSP’s networks (in such capacity, the “Vendor”), agreed that the Vendor will supply equipment and services for consideration of up to $104.0 million. Blaize will provide its technology platform to TSP on a project-by-project basis. Each of the project offerings includes a specific combination of Blaize’s software and hardware products, as well as customized delivery, development and installation solutions, to be determined by each end user’s specific needs.</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The POCA established a timeline for each of the projects, including deadlines for the deliverables that TSP will require, beginning in the third quarter of 2024 through the fourth quarter of 2025. The timelines were predicated on the Customer defining the first field trials based on its data, after which production of the final solutions would commence. The POCA will continue to be in full force and effect unless terminated earlier by TSP.</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Performance of the parties’ obligations under the POCA has been delayed as the Customer changed its initial field trial priorities. As of March 31, 2026, Blaize has not shipped any products or received any payments from the POCA Counterparty. Under the terms of the POCA, Blaize must receive advance payment by the POCA Counterparty before the shipment of any product. Though no revenues have been realized under the terms of the POCA to date, Blaize is expecting to initiate work on field trials once the Customer has identified the specific use cases and provides access to its data. The pace of deployment is contingent on the timing of the Customer’s decisions, and there is no guarantee that field trials will be successful.</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believe that the solutions Blaize is currently developing for TSP and the Customer demonstrate Blaize’s capability to create a full-stack solution for the defense and other industries, and we have been in discussions with the POCA Counterparty throughout 2025 about additional potential opportunities, though there can be no guarantee that such discussions will result in any definitive agreement between the parties.</w:t>
      </w:r>
    </w:p>
    <w:p>
      <w:pPr>
        <w:pStyle w:val="TextBody"/>
        <w:bidi w:val="0"/>
        <w:spacing w:before="0" w:after="18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S-6</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Emerging Growth Company and Smaller Reporting Company Status</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are an emerging growth company (“EGC”) as defined in the Jumpstart Our Business Startups Act of 2012, as amended (the “JOBS Act”). The JOBS Act permits companies with EGC status to take advantage of an extended transition period to comply with new or revised accounting standards, delaying the adoption of these accounting standards until they apply to private companies. We have elected to use this extended transition period to enable us to comply with new or revised accounting standards that have different effective dates for public and private companies until the earlier of the date we (i) are no longer an emerging growth company or (ii) affirmatively and irrevocably opts out of the extended transition period provided in the JOBS Act. As a result, our consolidated financial statements may not be comparable to companies that comply with the new or revised accounting standards as of public company effective dates.</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In addition, we intend to rely on the other exemptions and reduced reporting requirements provided by the JOBS Act. Subject to certain conditions set forth in the JOBS Act, if, as an EGC, we intend to rely on such exemptions, we are not required to, among other things: (i) provide an auditor’s attestation report on our system of internal controls over financial reporting pursuant to Section 404(b) of the Sarbanes-Oxley Act; (ii) provide all of the compensation disclosure that may be required of non-emerging growth public companies under the Dodd-Frank Wall Street Reform and Consumer Protection Act; (iii) comply with any requirement that may be adopted by the Public Company Accounting Oversight Board regarding mandatory audit firm rotation or a supplement to the auditor’s report providing additional information about the audit and the consolidated financial statements (auditor discussion and analysis); and (iv) disclose certain executive compensation-related items such as the correlation between executive compensation and performance and comparisons of the Chief Executive Officer’s compensation to median employee compensation.</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will remain an EGC under the JOBS Act until the earliest of (i) December 31, 2026, which is the last day of our first fiscal year following the fifth anniversary of the closing of BurTech Acquisition Corp.’s initial public offering, (ii) the last date of our fiscal year in which we have total annual gross revenue of at least $1.235 billion, (iii) the date on which we are deemed to be a “large accelerated filer” under the rules of the SEC with at least $700.0 million of outstanding securities held by non-affiliates or (iv) the date on which we have issued more than $1.0 billion in non-convertible debt securities during the previous three years.</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have also elected to avail ourselves of smaller reporting company (“SRC”) status, which is currently available to us as our annual revenues are less than $100.0 million, while at the same time, our public float is less than $700.0 million. Should our annual revenues exceed $100.0 million, then we may continue to elect SRC status if our public float is less than $250.0 million. Annual revenues are determined with reference to our full year revenues as reported on Form 10-K each year, and public float is determined annually at a measurement date of June 30 of each year by multiplying the number of shares of common stock held by non-affiliates by the closing share price of our common stock on June 30 of that year. SRC status allows us, but does not require us, to provide scaled disclosures in our annual reports on Form 10-K and our quarterly reports on Form 10-Q.</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The public float and revenue calculations described above also determine our status as an accelerated or non-accelerated filer. Currently, as our revenues are less than $100.0 million, we are a non-accelerated filer, and as long as we are a non-accelerated filer (as determined each year on June 30 as described above) we are not required to provide an auditor’s attestation report on our system of internal controls over financial reporting pursuant to Section 404(b) of the Sarbanes-Oxley Act. Should our revenues exceed $100.0 million and should our public float continue to be in excess of $75.0 million, we would then become an accelerated filer, commencing with our next Annual Report on Form 10-K.</w:t>
      </w:r>
    </w:p>
    <w:p>
      <w:pPr>
        <w:pStyle w:val="TextBody"/>
        <w:bidi w:val="0"/>
        <w:spacing w:lineRule="auto" w:line="288" w:before="0" w:after="180"/>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Company Background</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xml:space="preserve">On January 13, 2025, subsequent to the end of fiscal year ended December 31, 2024, BurTech Acquisition Corp., a Delaware corporation (“BurTech”), completed the previously announced business combination pursuant to that certain Agreement and Plan of Merger, dated as of December 22, 2023 (as amended on April 22, 2024, October 24, 2024, and November 21, 2024, the “Merger Agreement”), by and among BurTech, BurTech Merger Sub Inc., a Delaware corporation and a wholly owned subsidiary of BurTech (“Merger Sub”), Blaize, Inc., a Delaware </w:t>
      </w:r>
    </w:p>
    <w:p>
      <w:pPr>
        <w:pStyle w:val="TextBody"/>
        <w:bidi w:val="0"/>
        <w:spacing w:before="0" w:after="18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S-7</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corporation (“Legacy Blaize”) and for the limited purposes set forth therein, Burkhan Capital LLC, a Delaware limited liability company (“Burkhan”). As contemplated by the Merger Agreement, on January 13, 2025, Merger Sub merged with and into Legacy Blaize, with Legacy Blaize being the surviving company and a wholly owned subsidiary of BurTech (the “Merger”, together with the other transactions contemplated by the Merger Agreement, the “Business Combination”). We changed our name from “BurTech Acquisition Corporation” to “Blaize Holdings, Inc.” in connection with the closing of the Business Combination. The Merger was accounted for as a reverse merger and recapitalization and BurTech was considered the acquired company for financial statement reporting purposes.</w:t>
      </w:r>
    </w:p>
    <w:p>
      <w:pPr>
        <w:pStyle w:val="TextBody"/>
        <w:bidi w:val="0"/>
        <w:spacing w:lineRule="auto" w:line="288" w:before="0" w:after="180"/>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Corporate Information</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Our common stock is listed on Nasdaq under the symbol “BZAI.” Our principal executive offices are located at 4659 Golden Foothill Parkway, Suite 206, El Dorado Hills, California, 95762, and our telephone number is (916) 347-0050. Our website address is www.blaize.com. The information contained in, or accessible through, our website does not constitute a part of this prospectus. We have included our website address in this prospectus solely as an inactive textual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S-8</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THE OFFERING</w:t>
      </w:r>
    </w:p>
    <w:tbl>
      <w:tblPr>
        <w:tblW w:w="10205" w:type="dxa"/>
        <w:jc w:val="left"/>
        <w:tblInd w:w="0" w:type="dxa"/>
        <w:tblLayout w:type="fixed"/>
        <w:tblCellMar>
          <w:top w:w="28" w:type="dxa"/>
          <w:left w:w="28" w:type="dxa"/>
          <w:bottom w:w="28" w:type="dxa"/>
          <w:right w:w="28" w:type="dxa"/>
        </w:tblCellMar>
      </w:tblPr>
      <w:tblGrid>
        <w:gridCol w:w="732"/>
        <w:gridCol w:w="324"/>
        <w:gridCol w:w="326"/>
        <w:gridCol w:w="109"/>
        <w:gridCol w:w="109"/>
        <w:gridCol w:w="109"/>
        <w:gridCol w:w="2582"/>
        <w:gridCol w:w="2447"/>
        <w:gridCol w:w="3467"/>
      </w:tblGrid>
      <w:tr>
        <w:trPr/>
        <w:tc>
          <w:tcPr>
            <w:tcW w:w="73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2"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3467" w:type="dxa"/>
            <w:tcBorders/>
            <w:vAlign w:val="center"/>
          </w:tcPr>
          <w:p>
            <w:pPr>
              <w:pStyle w:val="TableContents"/>
              <w:bidi w:val="0"/>
              <w:spacing w:before="0" w:after="283"/>
              <w:jc w:val="left"/>
              <w:rPr>
                <w:sz w:val="4"/>
                <w:szCs w:val="4"/>
              </w:rPr>
            </w:pPr>
            <w:r>
              <w:rPr>
                <w:sz w:val="4"/>
                <w:szCs w:val="4"/>
              </w:rPr>
            </w:r>
          </w:p>
        </w:tc>
      </w:tr>
      <w:tr>
        <w:trPr/>
        <w:tc>
          <w:tcPr>
            <w:tcW w:w="1382"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r>
              <w:rPr>
                <w:rFonts w:ascii="Times New Roman;serif" w:hAnsi="Times New Roman;serif"/>
                <w:b/>
                <w:color w:val="000000"/>
                <w:sz w:val="20"/>
              </w:rPr>
              <w:t>Common stock offered by us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6"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shares of our common stock (or                 shares if the underwriters exercise in full their option to purchase additional shares).</w:t>
            </w:r>
          </w:p>
        </w:tc>
      </w:tr>
      <w:tr>
        <w:trPr/>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r>
              <w:rPr>
                <w:rFonts w:ascii="Times New Roman;serif" w:hAnsi="Times New Roman;serif"/>
                <w:b/>
                <w:color w:val="000000"/>
                <w:sz w:val="20"/>
              </w:rPr>
              <w:t>Common stock to be outstanding after this offering</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6"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shares of our common stock (or               shares if the underwriters exercise in full their option to purchase additional shares).</w:t>
            </w:r>
          </w:p>
        </w:tc>
      </w:tr>
      <w:tr>
        <w:trPr/>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r>
              <w:rPr>
                <w:rFonts w:ascii="Times New Roman;serif" w:hAnsi="Times New Roman;serif"/>
                <w:b/>
                <w:color w:val="000000"/>
                <w:sz w:val="20"/>
              </w:rPr>
              <w:t>Underwriters’ option to purchase additional shares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 have granted the underwriters an option to purchase up to           additional shares of our common stock. This option is exercisable, in whole or in part, for a period of 30 days from the date of this prospectus supplement.</w:t>
            </w:r>
          </w:p>
        </w:tc>
      </w:tr>
      <w:tr>
        <w:trPr/>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Use of proceeds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We estimate that we will receive net proceeds from this offering of $           million, after deducting underwriting discounts and commissions and estimated offering expenses payable by us. We currently intend to use the net proceeds from this offering primarily for working capital and other general corporate purposes. The expected use of net proceeds of this offering represents our current intentions based on our present plans and business conditions. We cannot specify with certainty all of the particular uses for the net proceeds to be received in this offering. Pending these uses, we plan to invest the net proceeds of this offering in short- and intermediate-term, interest-bearing obligations, investment-grade instruments, certificates of deposit or direct or guaranteed obligations of the U.S. government. See “</w:t>
            </w:r>
            <w:hyperlink w:anchor="ib9988ed507954544ad5548006f9dd89d_25">
              <w:r>
                <w:rPr>
                  <w:rStyle w:val="InternetLink"/>
                  <w:rFonts w:ascii="Times New Roman;serif" w:hAnsi="Times New Roman;serif"/>
                  <w:b w:val="false"/>
                  <w:color w:val="0000FF"/>
                  <w:sz w:val="20"/>
                  <w:u w:val="single"/>
                </w:rPr>
                <w:t>Use of Proceeds</w:t>
              </w:r>
            </w:hyperlink>
            <w:r>
              <w:rPr>
                <w:color w:val="000000"/>
              </w:rPr>
              <w:t xml:space="preserve">” </w:t>
            </w:r>
            <w:r>
              <w:rPr>
                <w:rFonts w:ascii="Times New Roman;serif" w:hAnsi="Times New Roman;serif"/>
                <w:b w:val="false"/>
                <w:color w:val="000000"/>
                <w:sz w:val="20"/>
              </w:rPr>
              <w:t xml:space="preserve">on page </w:t>
            </w:r>
            <w:hyperlink w:anchor="ib9988ed507954544ad5548006f9dd89d_25">
              <w:r>
                <w:rPr>
                  <w:rStyle w:val="InternetLink"/>
                  <w:rFonts w:ascii="Times New Roman;serif" w:hAnsi="Times New Roman;serif"/>
                  <w:b w:val="false"/>
                  <w:color w:val="0000FF"/>
                  <w:sz w:val="20"/>
                  <w:u w:val="single"/>
                </w:rPr>
                <w:t>S-14</w:t>
              </w:r>
            </w:hyperlink>
            <w:r>
              <w:rPr>
                <w:rFonts w:ascii="Times New Roman;serif" w:hAnsi="Times New Roman;serif"/>
                <w:b w:val="false"/>
                <w:color w:val="000000"/>
                <w:sz w:val="20"/>
              </w:rPr>
              <w:t>.</w:t>
            </w:r>
          </w:p>
        </w:tc>
      </w:tr>
      <w:tr>
        <w:trPr/>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Risk factors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You should read the “Risk Factors” section of this prospectus supplement, the accompanying prospectus, and in the documents incorporated by reference herein for a discussion of factors to consider carefully before deciding to invest in shares of our common stock. See “</w:t>
            </w:r>
            <w:hyperlink w:anchor="ib9988ed507954544ad5548006f9dd89d_19">
              <w:r>
                <w:rPr>
                  <w:rStyle w:val="InternetLink"/>
                  <w:rFonts w:ascii="Times New Roman;serif" w:hAnsi="Times New Roman;serif"/>
                  <w:b w:val="false"/>
                  <w:color w:val="0000FF"/>
                  <w:sz w:val="20"/>
                  <w:u w:val="single"/>
                </w:rPr>
                <w:t>Risk Factors</w:t>
              </w:r>
            </w:hyperlink>
            <w:r>
              <w:rPr>
                <w:color w:val="000000"/>
              </w:rPr>
              <w:t xml:space="preserve">” </w:t>
            </w:r>
            <w:r>
              <w:rPr>
                <w:rFonts w:ascii="Times New Roman;serif" w:hAnsi="Times New Roman;serif"/>
                <w:b w:val="false"/>
                <w:color w:val="000000"/>
                <w:sz w:val="20"/>
              </w:rPr>
              <w:t xml:space="preserve">on page </w:t>
            </w:r>
            <w:hyperlink w:anchor="ib9988ed507954544ad5548006f9dd89d_19">
              <w:r>
                <w:rPr>
                  <w:rStyle w:val="InternetLink"/>
                  <w:rFonts w:ascii="Times New Roman;serif" w:hAnsi="Times New Roman;serif"/>
                  <w:b w:val="false"/>
                  <w:color w:val="0000FF"/>
                  <w:sz w:val="20"/>
                  <w:u w:val="single"/>
                </w:rPr>
                <w:t>S-10</w:t>
              </w:r>
            </w:hyperlink>
            <w:r>
              <w:rPr>
                <w:rFonts w:ascii="Times New Roman;serif" w:hAnsi="Times New Roman;serif"/>
                <w:b w:val="false"/>
                <w:color w:val="000000"/>
                <w:sz w:val="20"/>
              </w:rPr>
              <w:t>.</w:t>
            </w:r>
          </w:p>
        </w:tc>
      </w:tr>
      <w:tr>
        <w:trPr/>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Nasdaq symbol</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6"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r>
              <w:rPr>
                <w:rFonts w:ascii="Times New Roman;serif" w:hAnsi="Times New Roman;serif"/>
                <w:b w:val="false"/>
                <w:color w:val="000000"/>
                <w:sz w:val="20"/>
              </w:rPr>
              <w:t>BZAI”</w:t>
            </w:r>
          </w:p>
        </w:tc>
      </w:tr>
    </w:tbl>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The number of shares of our common stock that will be outstanding immediately after this offering is based on 123,307,021 shares of our common stock outstanding as of May 1, 2026, and excludes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29,698,250 shares of common stock issuable upon the exercise of outstanding warrants with an exercise price of $11.50 per share;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9,375,000 shares of common stock issuable upon the exercise of outstanding warrants issued in November 2025, with an exercise price of $5.00 per share;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29,056,015 shares of common stock issuable upon the exercise of outstanding options, at an average exercise price of $1.39 per share, of which 19,765,037 were vested and exercisable as of such date;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8,693,492 shares of common stock underlying restricted stock units;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17,952,676 shares of common stock reserved for future issuance under the 2025 Incentive Award Plan;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3,047,669 shares of common stock reserved for issuance under the 2025 Employee Stock Purchase Plan;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17,600,000 shares of common stock reserved as earnout shares related to the Business Combination</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Unless otherwise indicated, all information in this prospectus assumes no exercise of the outstanding options and warrants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S-9</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RISK FACTORS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Investing in our securities involves a high degree of risk. You should consider the risks, uncertainties and other factors described in this prospectus supplement, the accompanying prospectus, under the caption "Item 1A. Risk Factors" in our most recent Annual Report on Form 10-K for the year ended December 31, 2025, and in other documents which are incorporated by reference herein and therein, together with all of the other information included in this prospectus supplement and the accompanying prospectus. The risks and uncertainties we have described in such documents are not the only risks that we face. Additional risks and uncertainties not presently known to us or that we currently deem immaterial may also affect our operations. If any of these or any unanticipated risks actually occur, our business, financial condition and results of operations could be materially and adversely affected and the trading price of our securities could decline, causing you to lose some or all of your investment in our securities.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Relating to this Offering</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price of our common stock has and may continue to fluctuate significantly, and this may make it difficult for you to resell shares of common stock owned by you at times or at prices you find attractive.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trading price of our common stock has fluctuated widely and may continue to fluctuate widely as a result of a number of factors, many of which are outside our control. In addition, the stock market is subject to fluctuations in the share prices and trading volumes that affect the market prices of the shares of many companies. These broad market fluctuations have adversely affected and may continue to adversely affect the market price of our common stock. Among the factors that could affect our stock price are: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actual or anticipated fluctuations in our quarterly financial results or the quarterly financial results of companies perceived to be similar to us;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the market’s expectations about our operating results;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access adequate project financing, commercial borrowings and debt and equity capital markets to fund our operations or any significant anticipated capital expenditures;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degree and nature of our competition;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operating results failing to meet the expectations of securities analysts or investors in a particular period;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financial estimates and recommendations by securities analysts concerning us or the industry in which we operate in general;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operating and stock price performance of other companies that investors deem comparable to us;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laws and regulations affecting our business;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announcements by us or our competitors of significant business developments, partnerships or acquisitions;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commencement of, or involvement in, litigation involving us;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our capital structure, such as future issuances of securities or the incurrence of additional debt;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volume of shares of our common stock available for public sale;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major change in the Board or management;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sales of substantial amounts of our common stock by our directors, executive officers or significant stockholders or the perception that such sales could occur;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general economic and political conditions such as recessions, changes in interest rates, changes in fuel prices, international currency fluctuations and acts of war, terrorism, civil unrest, or pandemics.</w:t>
      </w:r>
    </w:p>
    <w:p>
      <w:pPr>
        <w:pStyle w:val="TextBody"/>
        <w:bidi w:val="0"/>
        <w:spacing w:before="0" w:after="18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S-10</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cumulative effects of the factors discussed above could result in large fluctuations and unpredictability in our quarterly and annual operating results. As a result, comparing our operating results on a period-to-period basis may not be meaningful.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variability and unpredictability could also result in us failing to meet the expectations of industry or financial analysts or investors for any period. If we are unable to realize our objectives associated with our business plan, or if our operating results fall below the expectations of analysts or investors or below any guidance we may provide, or if any guidance we provide is below the expectations of analysts or investors, it could cause the market price of our common stock to decline.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you purchase shares of our common stock sold in this offering, you will experience immediate and substantial dilution of your investment.</w:t>
      </w:r>
    </w:p>
    <w:p>
      <w:pPr>
        <w:pStyle w:val="TextBody"/>
        <w:bidi w:val="0"/>
        <w:spacing w:lineRule="auto" w:line="288" w:before="0" w:after="180"/>
        <w:jc w:val="left"/>
        <w:rPr/>
      </w:pPr>
      <w:r>
        <w:rPr>
          <w:rFonts w:ascii="Times New Roman;serif" w:hAnsi="Times New Roman;serif"/>
          <w:b w:val="false"/>
          <w:color w:val="000000"/>
          <w:sz w:val="20"/>
        </w:rPr>
        <w:t>The price of our common stock in this offering is substantially higher than the net tangible book value per share of our outstanding common stock. Therefore, if you purchase shares of our common stock in this offering, you will pay a price per share that substantially exceeds our net tangible book value per share after this offering. To the extent our outstanding options or warrants are exercised, and to the extent we issue additional shares of our common stock or securities convertible or exchangeable into shares of our common stock, you will incur further dilution. Based on a public offering price of $ per share of common stock, you will experience immediate dilution of $ per share of common stock, representing the difference between our as adjusted net tangible book value per share, after giving effect to this offering and the public offering price. See “</w:t>
      </w:r>
      <w:hyperlink w:anchor="ib9988ed507954544ad5548006f9dd89d_31">
        <w:r>
          <w:rPr>
            <w:rStyle w:val="InternetLink"/>
            <w:rFonts w:ascii="Times New Roman;serif" w:hAnsi="Times New Roman;serif"/>
            <w:b w:val="false"/>
            <w:color w:val="0000FF"/>
            <w:sz w:val="20"/>
            <w:u w:val="single"/>
          </w:rPr>
          <w:t>Dilution</w:t>
        </w:r>
      </w:hyperlink>
      <w:r>
        <w:rPr>
          <w:color w:val="000000"/>
        </w:rPr>
        <w:t xml:space="preserve">” </w:t>
      </w:r>
      <w:r>
        <w:rPr>
          <w:rFonts w:ascii="Times New Roman;serif" w:hAnsi="Times New Roman;serif"/>
          <w:b w:val="false"/>
          <w:color w:val="000000"/>
          <w:sz w:val="20"/>
        </w:rPr>
        <w:t xml:space="preserve">on page </w:t>
      </w:r>
      <w:hyperlink w:anchor="ib9988ed507954544ad5548006f9dd89d_31">
        <w:r>
          <w:rPr>
            <w:rStyle w:val="InternetLink"/>
            <w:rFonts w:ascii="Times New Roman;serif" w:hAnsi="Times New Roman;serif"/>
            <w:b w:val="false"/>
            <w:color w:val="0000FF"/>
            <w:sz w:val="20"/>
            <w:u w:val="single"/>
          </w:rPr>
          <w:t>S-16</w:t>
        </w:r>
      </w:hyperlink>
      <w:r>
        <w:rPr>
          <w:color w:val="000000"/>
        </w:rPr>
        <w:t xml:space="preserve"> </w:t>
      </w:r>
      <w:r>
        <w:rPr>
          <w:rFonts w:ascii="Times New Roman;serif" w:hAnsi="Times New Roman;serif"/>
          <w:b w:val="false"/>
          <w:color w:val="000000"/>
          <w:sz w:val="20"/>
        </w:rPr>
        <w:t>of this prospectus supplement.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have broad discretion in the use of the net proceeds from this offering and may not use them effectively.</w:t>
      </w:r>
    </w:p>
    <w:p>
      <w:pPr>
        <w:pStyle w:val="TextBody"/>
        <w:bidi w:val="0"/>
        <w:spacing w:lineRule="auto" w:line="288" w:before="0" w:after="180"/>
        <w:jc w:val="left"/>
        <w:rPr/>
      </w:pPr>
      <w:r>
        <w:rPr>
          <w:rFonts w:ascii="Times New Roman;serif" w:hAnsi="Times New Roman;serif"/>
          <w:b w:val="false"/>
          <w:color w:val="000000"/>
          <w:sz w:val="20"/>
        </w:rPr>
        <w:t>Our management will have broad discretion in the application of the net proceeds from this offering, including for any of the purposes described in the section entitled “</w:t>
      </w:r>
      <w:r>
        <w:rPr>
          <w:rFonts w:ascii="Times New Roman;serif" w:hAnsi="Times New Roman;serif"/>
          <w:b w:val="false"/>
          <w:i/>
          <w:color w:val="000000"/>
          <w:sz w:val="20"/>
        </w:rPr>
        <w:t>Use of Proceeds</w:t>
      </w:r>
      <w:r>
        <w:rPr>
          <w:rFonts w:ascii="Times New Roman;serif" w:hAnsi="Times New Roman;serif"/>
          <w:b w:val="false"/>
          <w:color w:val="000000"/>
          <w:sz w:val="20"/>
        </w:rPr>
        <w:t>,”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We expect to use the net proceeds from this offering for working capital and general corporate purposes. The failure by our management to apply these funds effectively could harm our business.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Pending their use, we plan to invest the net proceeds from this offering in short- and intermediate-term, interest-bearing obligations, investment-grade instruments, certificates of deposit or direct or guaranteed obligations of the U.S. government. These investments may not yield a favorable return to our stockholders. If we do not invest or apply the net proceeds from this offering in ways that enhance stockholder value, we may fail to achieve expected financial results, which could cause our stock price to decline.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Future sales or issuances of our common stock in the public markets, or the perception of such sales, could depress the trading price of our common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sale of a substantial number of shares of our common stock or other equity-related securities in the public markets, or the perception that such sales could occur, could depress the market price of our common stock and impair our ability to raise capital through the sale of additional equity securities. We may sell large quantities of our common stock at any time pursuant to this prospectus or in one or more separate offerings. We cannot predict the effect that future sales of common stock or other equity-related securities would have on the market price of our common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Moreover, we have filed a registration statement on Form S-8 registering all shares of common stock underlying equity awards that we may issue under our equity compensation plans. Once registered on Form S-8, shares underlying these equity awards can be freely sold in the public market upon issuance, subject to volume, notice and manner of sale limitations applicable to affiliates.</w:t>
      </w:r>
    </w:p>
    <w:p>
      <w:pPr>
        <w:pStyle w:val="TextBody"/>
        <w:bidi w:val="0"/>
        <w:spacing w:before="0" w:after="18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S-11</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currently have on file with the SEC a universal registration statement which allows us to offer and sell up to $250.0 million of our securities from time to time pursuant to one or more offerings at prices to be determined at the time of sale, including the securities being offered in this offering.</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have entered into a Rights Agreement, and if the holders exercise their share purchase rights under such agreement, it could materially adversely affect the price of our common stock and cause dilution to our existing stockholders.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April 22, 2026, our Board of Directors (the “Board”) entered into a Rights Agreement (the “Rights Agreement”) with Continental Stock Transfer &amp; Trust Company, as Rights Agent, that was previously approved by the Board. Pursuant to the Rights Agreement, the Board declared a dividend of one preferred stock purchase right (each, a “Right”) for each share of our common stock outstanding at the close of business on May 6, 2026 (the “Record Date”). As long as the Rights are attached to the common stock, the Company will issue one Right with each new share of common stock so that all such shares will have attached Rights. Each Right will entitle the registered holder thereof, after the Rights become exercisable and until April 21, 2027 (or the earlier redemption, exchange or termination of the Rights), to purchase from the Company one one-hundredth of a share of Series A Junior Participating Preferred Stock, par value $0.0001 per share (the “Series A Preferred”), of the Company at a price of $11.00 per one one-hundredth of a share of Series A Preferred (the “Purchase Price”). The Rights are not exercisable until the Distribution Date (as defined in the Rights Agreement).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Rights are designed to assure that all of our stockholders receive fair and equal treatment in the event of any proposed takeover of us and to guard against partial tender offers, open market accumulations and other abusive or coercive tactics to gain control of us without paying all stockholders a control premium. The Rights will cause substantial dilution to a person or group that acquires 10% or more of the common stock on terms not approved by the Board.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a result, the overall effect of the Rights Agreement and the issuance of the Rights may be to render more difficult or discourage a merger, tender or exchange offer or other business combination involving us that is not approved by the Board. The Rights Agreement will not interfere with any merger or other business combination approved by the Board at any time prior to the first date that a person or group has become an Acquiring Person (as defined in the Rights Agreement).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Rights have certain anti-takeover effects, including potentially discouraging a takeover that stockholders may consider favorable. The Rights will cause substantial dilution to a person or group that attempts to acquire us on terms not approved by the Board. The Rights will expire on April 21, 2027, subject to our right to extend such date, unless earlier redeemed or exchanged by us or terminated.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contracts with key customers are not subject to minimum purchase commitments, and these customers may reduce or cease orders at any time, which could materially and adversely affect our business.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Many of our contracts with key customers, including NeoTensr and Starshine, do not have minimum purchase commitments, and these contracts are subject to the customer’s issuance of a purchase order. As a result, these customers may, at any time and for any reason, reduce, defer, or cease purchasing our products without penalty or prior notice. Any significant reduction, delay, or discontinuation of orders by any major customer would likely cause our revenues to decline and could materially and adversely affect our business, financial condition, and results of operations.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Because we derive a significant portion of our revenues from a limited number of customers, the loss of any major customer, a material decrease in their purchases, or non-payment by the customer would have a substantial negative impact on our company. Our reliance on sales to these customers exposes us to ongoing risks of revenue fluctuation and business disruption, particularly in the absence of contractual purchase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S-12</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SPECIAL NOTE REGARDING FORWARD-LOOKING STATEMENTS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supplement, the documents incorporated by reference herein and therein and any applicable free writing prospectus may contain forward-looking statements. All statements other than statements of historical facts contained in this prospectus supplement, the documents incorporated by reference herein and therein and any applicable free writing prospectus, are forward-looking statements, including statements regarding our future results of operations and financial position, business strategy, financial results and financial position, prospective products, product approvals, research and development costs, timing and likelihood of success, and the plans and objectives of management for future operations.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This prospectus supplement, the documents incorporated by reference herein and therein and any applicable free writing prospectus may also contain estimates and other statistical data made by independent parties and by us relating to market size and growth and other data about our industry. 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The forward-looking statements in this prospectus supplement, the documents incorporated by reference herein and therein and any applicable free writing prospectus are only predictions and are based largely on our current expectations and projections about future events and financial trends that we believe may affect our business, financial condition, and results of operations. These forward-looking statements speak only as of the respective dates of this prospectus supplement, the documents incorporated by reference herein and therein and any applicable free writing prospectus, as applicable, and are subject to a number of known and unknown risks, uncertainties and assumptions, including, but not limited to, those described under “Risk Factors” and elsewhere in this prospectus supplement, the documents incorporated by reference herein and therein, and any applicable free writing prospectus.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in this prospectus supplement, the documents incorporated by reference herein and therein and any applicable free writing prospectus, whether as a result of any new information, future events, changed circumstances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S-13</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USE OF PROCEEDS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estimate that the net proceeds from our issuance and sale of shares of our common stock in this offering will be approximately $          million, after deducting underwriting discounts and commissions and estimated offering expenses payable by us. If the underwriters exercise in full their option to purchase additional shares, we estimate that the net proceeds from this offering will be approximately $ million.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currently expect to use the net proceeds that we receive from this offering for working capital and general corporate purposes. The expected use of net proceeds of this offering represents our current intentions based on our present plans and business conditions. We cannot specify with certainty all of the particular uses for the net proceeds to be received in this offering. Pending these uses, we plan to invest the net proceeds of this offering in short- and intermediate-term, interest-bearing obligations, investment-grade instruments, certificates of deposit or direct or guaranteed obligations of the U.S. government.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S-14</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DIVIDEND POLICY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have never paid dividends and we do not currently intend to pay any cash dividends on our common stock for the foreseeable future. We currently intend to invest our future earnings, if any, to fund our growth. Since we do not intend to pay dividends, your ability to receive a return on your investment will depend on any future appreciation in the market value of our common stock. There is no guarantee that our common stock will appreciate or even maintain the price at which our holders have purchased 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S-15</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DILUTION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net tangible book value as of December 31, 2025, was approximately $39.0 million, or $0.32 per share. Net tangible book value per share is determined by dividing our total tangible assets, less total liabilities, by the number of shares of our common stock outstanding as of December 31, 2025. Dilution in net tangible book value per share represents the difference between the amount per share paid by purchasers of shares of common stock in this offering and the as adjusted net tangible book value per share of our common stock immediately after giving effect to this offering.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Based on the sale by us in this offering of                    shares of common stock at a public offering price of $       per share for net proceeds of approximately $           million after deducting estimated offering expenses and underwriting commissions and expenses payable by us, our pro forma net tangible book value as of December 31, 2025 would have been approximately $           million, or $           per share of our common stock. This represents an immediate increase in net tangible book value to existing stockholders of $           per share of our common stock and an immediate dilution to purchasers in this offering of $           per share of our common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illustrates this calculation on a per share basis.</w:t>
      </w:r>
    </w:p>
    <w:tbl>
      <w:tblPr>
        <w:tblW w:w="10205" w:type="dxa"/>
        <w:jc w:val="left"/>
        <w:tblInd w:w="0" w:type="dxa"/>
        <w:tblLayout w:type="fixed"/>
        <w:tblCellMar>
          <w:top w:w="28" w:type="dxa"/>
          <w:left w:w="28" w:type="dxa"/>
          <w:bottom w:w="28" w:type="dxa"/>
          <w:right w:w="28" w:type="dxa"/>
        </w:tblCellMar>
      </w:tblPr>
      <w:tblGrid>
        <w:gridCol w:w="2777"/>
        <w:gridCol w:w="2368"/>
        <w:gridCol w:w="2375"/>
        <w:gridCol w:w="293"/>
        <w:gridCol w:w="710"/>
        <w:gridCol w:w="153"/>
        <w:gridCol w:w="109"/>
        <w:gridCol w:w="109"/>
        <w:gridCol w:w="109"/>
        <w:gridCol w:w="351"/>
        <w:gridCol w:w="351"/>
        <w:gridCol w:w="500"/>
      </w:tblGrid>
      <w:tr>
        <w:trPr/>
        <w:tc>
          <w:tcPr>
            <w:tcW w:w="2777"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r>
      <w:tr>
        <w:trPr/>
        <w:tc>
          <w:tcPr>
            <w:tcW w:w="7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Public offering price per share</w:t>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7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Historical net tangible book value per share as of December 31, 2025</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net tangible book value per share attributable to new investors purchasing shares of common stock in this offering</w:t>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As adjusted net tangible book value per share as of December 31, 2025, after giving effect to this offering</w:t>
            </w:r>
          </w:p>
        </w:tc>
        <w:tc>
          <w:tcPr>
            <w:tcW w:w="11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7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Dilution per share to investors purchasing our common stock in this offering</w:t>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foregoing table and calculations are based on 123,307,021 shares outstanding as of May 1, 2026, and excludes: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29,698,250 shares of common stock issuable upon the exercise of outstanding warrants with an exercise price of $11.50 per share;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9,375,000 shares of common stock issuable upon the exercise of outstanding warrants issued in November 2025, with an exercise price of $5.00 per share;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29,056,015 shares of common stock issuable upon the exercise of outstanding options, at an average exercise price of $1.39 per share, of which 19,765,037 were vested and exercisable as of such date;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8,693,492 shares of common stock underlying restricted stock units;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17,952,676 shares of common stock reserved for future issuance under the 2025 Incentive Award Plan;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3,047,669 shares of common stock reserved for issuance under the 2025 Employee Stock Purchase Plan;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17,600,000 shares of common stock reserved as earnout shares related to the Business Combination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Unless otherwise indicated, all information in this prospectus supplement assumes no exercise of the outstanding options and warrants described above. To the extent that outstanding options or warrants are exercised, investors purchasing our common stock in this offering may experience further dilution. In addition, to the extent that we raise additional capital through the sale of equity or convertible debt securities, the issuance of these securities could result in further dilution to our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S-16</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UNDERWRITING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are offering the shares of common stock described in this prospectus supplement and the accompanying prospectus through the underwriters listed below. Northland Securities, Inc. is acting as the sole bookunning manager for this offering. The Benchmark Company, LLC is acting as co-manager. Each underwriter has agreed to buy, subject to the terms of the underwriting agreement, the number of shares of common stock listed opposite its name below. Each underwriter is committed to purchase and pay for all of the shares if any are purchased, other than those shares covered by the over-allotment option described below. </w:t>
      </w:r>
    </w:p>
    <w:tbl>
      <w:tblPr>
        <w:tblW w:w="4497" w:type="dxa"/>
        <w:jc w:val="left"/>
        <w:tblInd w:w="0" w:type="dxa"/>
        <w:tblLayout w:type="fixed"/>
        <w:tblCellMar>
          <w:top w:w="28" w:type="dxa"/>
          <w:left w:w="28" w:type="dxa"/>
          <w:bottom w:w="28" w:type="dxa"/>
          <w:right w:w="28" w:type="dxa"/>
        </w:tblCellMar>
      </w:tblPr>
      <w:tblGrid>
        <w:gridCol w:w="984"/>
        <w:gridCol w:w="864"/>
        <w:gridCol w:w="867"/>
        <w:gridCol w:w="109"/>
        <w:gridCol w:w="109"/>
        <w:gridCol w:w="109"/>
        <w:gridCol w:w="425"/>
        <w:gridCol w:w="425"/>
        <w:gridCol w:w="605"/>
      </w:tblGrid>
      <w:tr>
        <w:trPr/>
        <w:tc>
          <w:tcPr>
            <w:tcW w:w="98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Underwriter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r>
      <w:tr>
        <w:trPr/>
        <w:tc>
          <w:tcPr>
            <w:tcW w:w="27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Northland Securities, Inc.</w:t>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0"/>
              <w:ind w:left="0" w:right="0" w:firstLine="720"/>
              <w:jc w:val="both"/>
              <w:rPr/>
            </w:pPr>
            <w:r>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Benchmark Company,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0"/>
              <w:ind w:left="0" w:right="0" w:firstLine="720"/>
              <w:jc w:val="both"/>
              <w:rPr/>
            </w:pPr>
            <w:r>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underwriters have advised us that they propose to offer the shares of common stock to the public at a price of $           per share. The underwriters propose to offer the shares of common stock to certain dealers at the same price less a concession of not more than $           per share. After the offering, these figures may be changed by the underwriters.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shares sold in this offering are expected to be ready for delivery on or about                   , 2026, against payment in immediately available funds. The underwriters may reject all or part of any order.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have granted to the underwriters an option to purchase up to an additional                 shares of common stock from us at the same price to the public, and with the same underwriting discount, as set forth in the table below. The underwriters may exercise this option any time during the 30-day period after the date of this prospectus supplement. To the extent the underwriters exercise the option, the underwriters will become obligated, subject to certain conditions, to purchase the shares for which they exercise the option.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table below summarizes the underwriting discounts that we will pay to the underwriters. These amounts are shown assuming both no exercise and full exercise of the over-allotment option. In addition to the underwriting discount, we have agreed to pay up to $75,000 of the fees and expenses of the underwriters, which may include the fees and expenses of counsel to the underwriters. The fees and expenses of the underwriters that we have agreed to reimburse are not included in the underwriting discounts set forth in the table below. The underwriting discount and reimbursable expenses the underwriters will receive were determined through arms’ length negotiations between us and the underwriters. </w:t>
      </w:r>
    </w:p>
    <w:tbl>
      <w:tblPr>
        <w:tblW w:w="8500" w:type="dxa"/>
        <w:jc w:val="left"/>
        <w:tblInd w:w="0" w:type="dxa"/>
        <w:tblLayout w:type="fixed"/>
        <w:tblCellMar>
          <w:top w:w="28" w:type="dxa"/>
          <w:left w:w="28" w:type="dxa"/>
          <w:bottom w:w="28" w:type="dxa"/>
          <w:right w:w="28" w:type="dxa"/>
        </w:tblCellMar>
      </w:tblPr>
      <w:tblGrid>
        <w:gridCol w:w="1206"/>
        <w:gridCol w:w="1057"/>
        <w:gridCol w:w="1067"/>
        <w:gridCol w:w="384"/>
        <w:gridCol w:w="384"/>
        <w:gridCol w:w="388"/>
        <w:gridCol w:w="109"/>
        <w:gridCol w:w="109"/>
        <w:gridCol w:w="109"/>
        <w:gridCol w:w="420"/>
        <w:gridCol w:w="420"/>
        <w:gridCol w:w="421"/>
        <w:gridCol w:w="109"/>
        <w:gridCol w:w="109"/>
        <w:gridCol w:w="109"/>
        <w:gridCol w:w="614"/>
        <w:gridCol w:w="614"/>
        <w:gridCol w:w="871"/>
      </w:tblGrid>
      <w:tr>
        <w:trPr/>
        <w:tc>
          <w:tcPr>
            <w:tcW w:w="1206"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with no</w:t>
              <w:br/>
              <w:t>Over-Allotment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with Over-Allotment</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Price to the public</w:t>
            </w:r>
          </w:p>
        </w:tc>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Underwriting discount to be paid by us </w:t>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before expenses, to us:</w:t>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estimate that the total expenses payable by us in connection with this offering, excluding underwriting discounts, will be $               . This includes $75,000 of the fees and expenses of the underwriters. These expenses are payable by us.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also have agreed to indemnify the underwriters against certain liabilities, including civil liabilities under the Securities Act or to contribute to payments that the underwriters may be required to make in respect of those liabilities.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 Sales of Similar Securities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Subject to certain limited exceptions, each of our directors and officers has agreed not to offer, sell, agree to sell, directly or indirectly, or otherwise dispose of any shares of common stock or any securities convertible into or </w:t>
      </w:r>
    </w:p>
    <w:p>
      <w:pPr>
        <w:pStyle w:val="TextBody"/>
        <w:bidi w:val="0"/>
        <w:spacing w:before="0" w:after="18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S-17</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exchangeable for shares of common stock for a period of 60 days after the date of this prospectus supplement. The lock-up agreements that our directors and officers have entered into and the Company lock-up pursuant to the underwriting agreement provide limited exceptions and their restrictions may be waived at any time by the underwriters.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Price Stabilization, Short Positions and Penalty Bids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To facilitate this offering, the underwriters may engage in transactions that stabilize, maintain or otherwise affect the price of our common stock during and after the offering. Specifically, the underwriters may create a short position in our common stock for their own accounts by selling more shares of common stock than we have sold to such underwriter. The underwriters may close out any short position by purchasing shares in the open market.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the underwriters may stabilize or maintain the price of our common stock by bidding for or purchasing shares in the open market and may impose penalty bids. If penalty bids are imposed, selling concessions allowed to broker-dealers participating in this offering are reclaimed if shares previously distributed in this offering are repurchased, whether in connection with stabilization transactions or otherwise. The effect of these transactions may be to stabilize or maintain the market price of our common stock at a level above that which might otherwise prevail in the open market. The imposition of a penalty bid may also affect the price of our common stock to the extent that it discourages resales of our common stock. The magnitude or effect of any stabilization or other transactions is uncertain. These transactions may be effected on the Nasdaq or otherwise and, if commenced, may be discontinued at any time.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connection with this offering, the underwriters and selling group members may also engage in passive market making transactions in our common stock on the Nasdaq. Passive market making consists of displaying bids on the Nasdaq by the prices of independent market makers and effecting purchases limited by those prices in response to order flow. Rule 103 of Regulation M promulgated by the SEC limits the amount of net purchases that each passive market maker may make and the displayed size of each bid. Passive market making may stabilize the market price of our common stock at a level above that which might otherwise prevail in the open market and, if commenced, may be discontinued at any time.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Neither we nor the underwriters make any representation or prediction as to the direction or magnitude of any effect that the transactions described above may have on the price of our common stock. In addition, neither we nor the underwriters make any representation that the underwriters will engage in these transactions or that any transaction, if commenced, will not be discontinued without notice.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Listing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common stock is listed on the Nasdaq Global Market under the symbol “BZAI.”</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Other Relationships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underwriters and their respective affiliates are full-service financial institutions engaged in various activities, which may include securities trading, commercial and investment banking, financial advisory, investment management, investment research, principal investment, hedging, financing and brokerage activities. The underwriters may in the future engage in investment banking and other commercial dealings in the ordinary course of business with us or our affiliates. The underwriters may in the future receive customary fees and commissions for these transactions.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the ordinary course of its various business activities, the underwriters and their respective affiliates may make or hold a broad array of investments and actively trade debt and equity securities (or related derivative securities) and financial instruments (including bank loans) for their own accounts and for the accounts of their customers, and such investment and securities activities may involve securities and/or instruments of the issuer. The underwriters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pStyle w:val="TextBody"/>
        <w:bidi w:val="0"/>
        <w:spacing w:before="0" w:after="18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S-18</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Electronic Offer, Sale and Distribution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this offering, the underwriters or certain of the securities dealers may distribute prospectuses by electronic means, such as e-mail. In addition, the underwriters may facilitate Internet distribution for this offering to certain of its Internet subscription customers. The underwriters may allocate a limited number of shares for sale to their online brokerage customers. An electronic prospectus is available on the Internet websites maintained by any such underwriter. Other than the prospectus in electronic format, the information on the websites of the underwriters are not part of this prospectus supplement or the accompanying prospectus.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Selling Restrictions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General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Other than in the United States, no action has been taken by us or the underwriters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European Economic Area.</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relation to each Member State of the European Economic Area (each, a “Relevant State”), no securities have been offered or will be offered pursuant to the offering to the public in that Relevant State prior to the publication of a prospectus in relation to the securities which has been approved by the competent authority in that Relevant State or, where appropriate, approved in another Relevant State and notified to the competent authority in that Relevant State, all in accordance with the Prospectus Regulation, except that securities may be offered to the public in that Relevant State at any time: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to any legal entity which is a qualified investor as defined under Article 2 of the Prospectus Regulation;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to fewer than 150 natural or legal persons (other than qualified investors as defined under Article 2 of the Prospectus Regulation), subject to obtaining the prior consent of the representative for any such offer; or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in any other circumstances falling within Article 1(4) of the Prospectus Regulation,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no such offer of securities shall require us or any of the representative to publish a prospectus pursuant to Article 3 of the Prospectus Regulation or supplement a prospectus pursuant to Article 23 of the Prospectus Regulation.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For the purposes of this provision, the expression an “offer to the public” in relation to any securities in any Relevant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 as amended.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United Kingdom.</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 securities have been offered or will be offered pursuant to the offering to the public in the United Kingdom prior to the publication of a prospectus in relation to the securities which has been approved by the Financial Conduct Authority, except that the securities may be offered to the public in the United Kingdom at any time: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any legal entity which is a qualified investor as defined under Article 2 of the UK Prospectus Regulation;</w:t>
      </w:r>
    </w:p>
    <w:p>
      <w:pPr>
        <w:pStyle w:val="TextBody"/>
        <w:bidi w:val="0"/>
        <w:spacing w:before="0" w:after="18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S-19</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fewer than 150 natural or legal persons (other than qualified investors as defined under Article 2 of the UK Prospectus Regulation), subject to obtaining the prior consent of the representative for any such offer;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 any other circumstances falling within Section 86 of the Financial Services and Markets Act 2000 (the “FSMA”),</w:t>
      </w:r>
    </w:p>
    <w:p>
      <w:pPr>
        <w:pStyle w:val="TextBody"/>
        <w:bidi w:val="0"/>
        <w:spacing w:lineRule="auto" w:line="288" w:before="0" w:after="180"/>
        <w:jc w:val="left"/>
        <w:rPr/>
      </w:pP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no such offer of the securities shall require us or any representative to publish a prospectus pursuant to Section 85 of the FSMA or supplement a prospectus pursuant to Article 23 of the UK Prospectus Regulation. For the purposes of this provision, the expression an “offer to the public” in relation to the securities in the United Kingdom means the communication in any form and by any means of sufficient information on the terms of the offer and any securities to be offered so as to enable an investor to decide to purchase or subscribe for any securities and the expression “UK Prospectus Regulation” means Regulation (EU) 2017/1129 as it forms part of domestic law by virtue of the European Union (Withdrawal) Act 2018.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Canada.</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Switzerland.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shares may not be publicly offered in Switzerland and will not be listed on the SIX Swiss Exchange (the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Neither this document nor any other offering or marketing material relating to the offering, or the shares have been or will be filed with or approved by any Swiss regulatory authority. In particular, this document will not be filed with, and the offer of shares will not be supervised by, the Swiss Financial Market Supervisory Authority FINMA, and the offer of shares has not been and will not be authorized under the Swiss Federal Act on Collective Investment Schemes (“CISA”). Accordingly, no public distribution, offering or advertising, as defined in CISA, its implementing ordinances and notices, and no distribution to any non-qualified investor, as defined in CISA, its implementing ordinances and notices, shall be undertaken in or from Switzerland, and the investor protection afforded to acquirers of interests in collective investment schemes under CISA does not extend to acquirers of shares. </w:t>
      </w:r>
    </w:p>
    <w:p>
      <w:pPr>
        <w:pStyle w:val="TextBody"/>
        <w:bidi w:val="0"/>
        <w:spacing w:before="0" w:after="18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S-20</w:t>
                      </w:r>
                    </w:p>
                  </w:txbxContent>
                </v:textbox>
                <w10:wrap type="none"/>
              </v:rect>
            </w:pict>
          </mc:Fallback>
        </mc:AlternateConten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Australia.</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No placement document, prospectus, product disclosure statement or other disclosure document has been lodged with the Australian Securities and Investments Commission (“ASIC”), in relation to the offering.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supplement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 </w:t>
      </w:r>
    </w:p>
    <w:p>
      <w:pPr>
        <w:pStyle w:val="TextBody"/>
        <w:bidi w:val="0"/>
        <w:spacing w:lineRule="auto" w:line="288" w:before="0" w:after="180"/>
        <w:jc w:val="left"/>
        <w:rPr/>
      </w:pPr>
      <w:r>
        <w:rPr>
          <w:rFonts w:ascii="Times New Roman;serif" w:hAnsi="Times New Roman;serif"/>
          <w:b w:val="false"/>
          <w:color w:val="000000"/>
          <w:sz w:val="20"/>
        </w:rPr>
        <w:t>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S-21</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LEGAL MATTERS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Faegre Drinker Biddle &amp; Reath LLP will pass upon certain legal matters relating to the issuance and sale of the common stock offered hereby on behalf of Blaize Holdings, Inc. Reed Smith LLP, New York, New York is acting as counsel to the underwriters in connection with this offering.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EXPERTS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consolidated financial statements of Blaize Holdings, Inc. incorporated into this prospectus supplement by reference in this Registration Statement have been audited by UHY LLP, an independent registered public accounting firm, as stated in their report (which contains an explanatory paragraph relating to Blaize’s ability to continue as a going concern), which is incorporated herein by reference. Such consolidated financial statements are incorporated by reference in reliance upon the report of such firm given their authority as experts in accounting and auditing.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S-22</w:t>
                      </w:r>
                    </w:p>
                  </w:txbxContent>
                </v:textbox>
                <w10:wrap type="none"/>
              </v:rect>
            </w:pict>
          </mc:Fallback>
        </mc:AlternateContent>
      </w:r>
    </w:p>
    <w:p>
      <w:pPr>
        <w:pStyle w:val="TextBody"/>
        <w:bidi w:val="0"/>
        <w:spacing w:before="0" w:after="0"/>
        <w:jc w:val="left"/>
        <w:rPr/>
      </w:pPr>
      <w:r>
        <w:rPr/>
      </w:r>
    </w:p>
    <w:p>
      <w:pPr>
        <w:pStyle w:val="TextBody"/>
        <w:bidi w:val="0"/>
        <w:spacing w:before="0" w:after="180"/>
        <w:jc w:val="left"/>
        <w:rPr/>
      </w:pPr>
      <w:r>
        <w:rPr/>
      </w:r>
    </w:p>
    <w:p>
      <w:pPr>
        <w:pStyle w:val="TextBody"/>
        <w:bidi w:val="0"/>
        <w:spacing w:before="0" w:after="180"/>
        <w:jc w:val="center"/>
        <w:rPr/>
      </w:pPr>
      <w:r>
        <w:rPr/>
        <w:drawing>
          <wp:inline distT="0" distB="0" distL="0" distR="0">
            <wp:extent cx="2000250" cy="676275"/>
            <wp:effectExtent l="0" t="0" r="0" b="0"/>
            <wp:docPr id="2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 descr=""/>
                    <pic:cNvPicPr>
                      <a:picLocks noChangeAspect="1" noChangeArrowheads="1"/>
                    </pic:cNvPicPr>
                  </pic:nvPicPr>
                  <pic:blipFill>
                    <a:blip r:embed="rId9"/>
                    <a:stretch>
                      <a:fillRect/>
                    </a:stretch>
                  </pic:blipFill>
                  <pic:spPr bwMode="auto">
                    <a:xfrm>
                      <a:off x="0" y="0"/>
                      <a:ext cx="2000250" cy="676275"/>
                    </a:xfrm>
                    <a:prstGeom prst="rect">
                      <a:avLst/>
                    </a:prstGeom>
                  </pic:spPr>
                </pic:pic>
              </a:graphicData>
            </a:graphic>
          </wp:inline>
        </w:drawing>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Blaize Holdings, Inc.</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$250,000,000</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Common Stock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Preferred Stock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Debt Securities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Stock Purchase Contracts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Warrants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Rights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offer and sell up to $250,000,000 in the aggregate of the securities identified above from time to time in one or more offerings. This prospectus provides you with a general description of the securities and the general manner in which these securities will be offered.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Each time we offer and sell securities, we will provide a supplement to this prospectus that contains specific information about the offering and the amounts, prices and terms of the securities. The prospectus supplement will also describe the specific manner in which these securities will be offered and may also add, update or change information contained in this prospectus with respect to that offering. You should carefully read this prospectus and the applicable prospectus supplement before you invest in any of our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pStyle w:val="TextBody"/>
        <w:bidi w:val="0"/>
        <w:spacing w:lineRule="auto" w:line="288" w:before="0" w:after="180"/>
        <w:jc w:val="left"/>
        <w:rPr/>
      </w:pPr>
      <w:r>
        <w:rPr>
          <w:rFonts w:ascii="Times New Roman;serif" w:hAnsi="Times New Roman;serif"/>
          <w:b/>
          <w:color w:val="000000"/>
          <w:sz w:val="20"/>
        </w:rPr>
        <w:t>INVESTING IN OUR SECURITIES INVOLVES RISKS. SEE THE “</w:t>
      </w:r>
      <w:hyperlink w:anchor="ib9988ed507954544ad5548006f9dd89d_58">
        <w:r>
          <w:rPr>
            <w:rStyle w:val="InternetLink"/>
            <w:rFonts w:ascii="Times New Roman;serif" w:hAnsi="Times New Roman;serif"/>
            <w:b/>
            <w:color w:val="0000FF"/>
            <w:sz w:val="20"/>
            <w:u w:val="single"/>
          </w:rPr>
          <w:t>RISK FACTORS</w:t>
        </w:r>
      </w:hyperlink>
      <w:r>
        <w:rPr>
          <w:color w:val="000000"/>
        </w:rPr>
        <w:t xml:space="preserve">” </w:t>
      </w:r>
      <w:r>
        <w:rPr>
          <w:rFonts w:ascii="Times New Roman;serif" w:hAnsi="Times New Roman;serif"/>
          <w:b/>
          <w:color w:val="000000"/>
          <w:sz w:val="20"/>
        </w:rPr>
        <w:t xml:space="preserve">ON PAGE </w:t>
      </w:r>
      <w:hyperlink w:anchor="ib9988ed507954544ad5548006f9dd89d_58">
        <w:r>
          <w:rPr>
            <w:rStyle w:val="InternetLink"/>
            <w:rFonts w:ascii="Times New Roman;serif" w:hAnsi="Times New Roman;serif"/>
            <w:b/>
            <w:color w:val="0000FF"/>
            <w:sz w:val="20"/>
            <w:u w:val="single"/>
          </w:rPr>
          <w:t>6</w:t>
        </w:r>
      </w:hyperlink>
      <w:r>
        <w:rPr>
          <w:color w:val="000000"/>
        </w:rPr>
        <w:t xml:space="preserve"> </w:t>
      </w:r>
      <w:r>
        <w:rPr>
          <w:rFonts w:ascii="Times New Roman;serif" w:hAnsi="Times New Roman;serif"/>
          <w:b/>
          <w:color w:val="000000"/>
          <w:sz w:val="20"/>
        </w:rPr>
        <w:t>OF THIS PROSPECTUS AND ANY SIMILAR SECTION CONTAINED IN THE APPLICABLE PROSPECTUS SUPPLEMENT CONCERNING FACTORS YOU SHOULD CONSIDER BEFORE INVESTING IN OUR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common stock is listed on The Nasdaq Global Select Market, or Nasdaq, under the symbol “BZAI.” On January 26, 2026, the last reported sale price of our common stock on Nasdaq was $1.74 per share.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Neither the Securities and Exchange Commission nor any state securities commission has approved or disapproved of these securities or passed upon the adequacy or accuracy of this prospectus. Any representation to the contrary is a criminal offense.</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 xml:space="preserve">The date of this prospectus is February 4,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7"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TABLE OF CONTENTS</w:t>
      </w:r>
    </w:p>
    <w:tbl>
      <w:tblPr>
        <w:tblW w:w="7707" w:type="dxa"/>
        <w:jc w:val="left"/>
        <w:tblInd w:w="0" w:type="dxa"/>
        <w:tblLayout w:type="fixed"/>
        <w:tblCellMar>
          <w:top w:w="28" w:type="dxa"/>
          <w:left w:w="28" w:type="dxa"/>
          <w:bottom w:w="28" w:type="dxa"/>
          <w:right w:w="28" w:type="dxa"/>
        </w:tblCellMar>
      </w:tblPr>
      <w:tblGrid>
        <w:gridCol w:w="2655"/>
        <w:gridCol w:w="2337"/>
        <w:gridCol w:w="2343"/>
        <w:gridCol w:w="109"/>
        <w:gridCol w:w="109"/>
        <w:gridCol w:w="154"/>
      </w:tblGrid>
      <w:tr>
        <w:trPr/>
        <w:tc>
          <w:tcPr>
            <w:tcW w:w="2655" w:type="dxa"/>
            <w:tcBorders/>
            <w:vAlign w:val="center"/>
          </w:tcPr>
          <w:p>
            <w:pPr>
              <w:pStyle w:val="TableContents"/>
              <w:bidi w:val="0"/>
              <w:spacing w:before="0" w:after="283"/>
              <w:jc w:val="left"/>
              <w:rPr>
                <w:sz w:val="4"/>
                <w:szCs w:val="4"/>
              </w:rPr>
            </w:pPr>
            <w:r>
              <w:rPr>
                <w:sz w:val="4"/>
                <w:szCs w:val="4"/>
              </w:rPr>
            </w:r>
          </w:p>
        </w:tc>
        <w:tc>
          <w:tcPr>
            <w:tcW w:w="2337" w:type="dxa"/>
            <w:tcBorders/>
            <w:vAlign w:val="center"/>
          </w:tcPr>
          <w:p>
            <w:pPr>
              <w:pStyle w:val="TableContents"/>
              <w:bidi w:val="0"/>
              <w:spacing w:before="0" w:after="283"/>
              <w:jc w:val="left"/>
              <w:rPr>
                <w:sz w:val="4"/>
                <w:szCs w:val="4"/>
              </w:rPr>
            </w:pPr>
            <w:r>
              <w:rPr>
                <w:sz w:val="4"/>
                <w:szCs w:val="4"/>
              </w:rPr>
            </w:r>
          </w:p>
        </w:tc>
        <w:tc>
          <w:tcPr>
            <w:tcW w:w="2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49">
              <w:r>
                <w:rPr>
                  <w:rStyle w:val="InternetLink"/>
                  <w:rFonts w:ascii="Times New Roman;serif" w:hAnsi="Times New Roman;serif"/>
                  <w:b w:val="false"/>
                  <w:color w:val="0000FF"/>
                  <w:sz w:val="20"/>
                  <w:u w:val="single"/>
                </w:rPr>
                <w:t>ABOUT THIS PROSPECTUS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49">
              <w:r>
                <w:rPr>
                  <w:rStyle w:val="InternetLink"/>
                  <w:rFonts w:ascii="Times New Roman;serif" w:hAnsi="Times New Roman;serif"/>
                  <w:b w:val="false"/>
                  <w:color w:val="0000FF"/>
                  <w:sz w:val="20"/>
                  <w:u w:val="single"/>
                </w:rPr>
                <w:t>1</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52">
              <w:r>
                <w:rPr>
                  <w:rStyle w:val="InternetLink"/>
                  <w:rFonts w:ascii="Times New Roman;serif" w:hAnsi="Times New Roman;serif"/>
                  <w:b w:val="false"/>
                  <w:color w:val="0000FF"/>
                  <w:sz w:val="20"/>
                  <w:u w:val="single"/>
                </w:rPr>
                <w:t>WHERE YOU CAN FIND MORE INFORMATION; INCORPORATION BY REFERENCE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52">
              <w:r>
                <w:rPr>
                  <w:rStyle w:val="InternetLink"/>
                  <w:rFonts w:ascii="Times New Roman;serif" w:hAnsi="Times New Roman;serif"/>
                  <w:b w:val="false"/>
                  <w:color w:val="0000FF"/>
                  <w:sz w:val="20"/>
                  <w:u w:val="single"/>
                </w:rPr>
                <w:t>2</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55">
              <w:r>
                <w:rPr>
                  <w:rStyle w:val="InternetLink"/>
                  <w:rFonts w:ascii="Times New Roman;serif" w:hAnsi="Times New Roman;serif"/>
                  <w:b w:val="false"/>
                  <w:color w:val="0000FF"/>
                  <w:sz w:val="20"/>
                  <w:u w:val="single"/>
                </w:rPr>
                <w:t>THE COMPANY</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55">
              <w:r>
                <w:rPr>
                  <w:rStyle w:val="InternetLink"/>
                  <w:rFonts w:ascii="Times New Roman;serif" w:hAnsi="Times New Roman;serif"/>
                  <w:b w:val="false"/>
                  <w:color w:val="0000FF"/>
                  <w:sz w:val="20"/>
                  <w:u w:val="single"/>
                </w:rPr>
                <w:t>4</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58">
              <w:r>
                <w:rPr>
                  <w:rStyle w:val="InternetLink"/>
                  <w:rFonts w:ascii="Times New Roman;serif" w:hAnsi="Times New Roman;serif"/>
                  <w:b w:val="false"/>
                  <w:color w:val="0000FF"/>
                  <w:sz w:val="20"/>
                  <w:u w:val="single"/>
                </w:rPr>
                <w:t>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58">
              <w:r>
                <w:rPr>
                  <w:rStyle w:val="InternetLink"/>
                  <w:rFonts w:ascii="Times New Roman;serif" w:hAnsi="Times New Roman;serif"/>
                  <w:b w:val="false"/>
                  <w:color w:val="0000FF"/>
                  <w:sz w:val="20"/>
                  <w:u w:val="single"/>
                </w:rPr>
                <w:t>6</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61">
              <w:r>
                <w:rPr>
                  <w:rStyle w:val="InternetLink"/>
                  <w:rFonts w:ascii="Times New Roman;serif" w:hAnsi="Times New Roman;serif"/>
                  <w:b w:val="false"/>
                  <w:color w:val="0000FF"/>
                  <w:sz w:val="20"/>
                  <w:u w:val="single"/>
                </w:rPr>
                <w:t>SPECIAL NOTE REGARDING FORWARD-LOOKING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61">
              <w:r>
                <w:rPr>
                  <w:rStyle w:val="InternetLink"/>
                  <w:rFonts w:ascii="Times New Roman;serif" w:hAnsi="Times New Roman;serif"/>
                  <w:b w:val="false"/>
                  <w:color w:val="0000FF"/>
                  <w:sz w:val="20"/>
                  <w:u w:val="single"/>
                </w:rPr>
                <w:t>7</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64">
              <w:r>
                <w:rPr>
                  <w:rStyle w:val="InternetLink"/>
                  <w:rFonts w:ascii="Times New Roman;serif" w:hAnsi="Times New Roman;serif"/>
                  <w:b w:val="false"/>
                  <w:color w:val="0000FF"/>
                  <w:sz w:val="20"/>
                  <w:u w:val="single"/>
                </w:rPr>
                <w:t>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64">
              <w:r>
                <w:rPr>
                  <w:rStyle w:val="InternetLink"/>
                  <w:rFonts w:ascii="Times New Roman;serif" w:hAnsi="Times New Roman;serif"/>
                  <w:b w:val="false"/>
                  <w:color w:val="0000FF"/>
                  <w:sz w:val="20"/>
                  <w:u w:val="single"/>
                </w:rPr>
                <w:t>8</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67">
              <w:r>
                <w:rPr>
                  <w:rStyle w:val="InternetLink"/>
                  <w:rFonts w:ascii="Times New Roman;serif" w:hAnsi="Times New Roman;serif"/>
                  <w:b w:val="false"/>
                  <w:color w:val="0000FF"/>
                  <w:sz w:val="20"/>
                  <w:u w:val="single"/>
                </w:rPr>
                <w:t>DESCRIPTION OF CAPITAL STOCK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67">
              <w:r>
                <w:rPr>
                  <w:rStyle w:val="InternetLink"/>
                  <w:rFonts w:ascii="Times New Roman;serif" w:hAnsi="Times New Roman;serif"/>
                  <w:b w:val="false"/>
                  <w:color w:val="0000FF"/>
                  <w:sz w:val="20"/>
                  <w:u w:val="single"/>
                </w:rPr>
                <w:t>9</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70">
              <w:r>
                <w:rPr>
                  <w:rStyle w:val="InternetLink"/>
                  <w:rFonts w:ascii="Times New Roman;serif" w:hAnsi="Times New Roman;serif"/>
                  <w:b w:val="false"/>
                  <w:color w:val="0000FF"/>
                  <w:sz w:val="20"/>
                  <w:u w:val="single"/>
                </w:rPr>
                <w:t>DESCRIPTION OF DEBT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70">
              <w:r>
                <w:rPr>
                  <w:rStyle w:val="InternetLink"/>
                  <w:rFonts w:ascii="Times New Roman;serif" w:hAnsi="Times New Roman;serif"/>
                  <w:b w:val="false"/>
                  <w:color w:val="0000FF"/>
                  <w:sz w:val="20"/>
                  <w:u w:val="single"/>
                </w:rPr>
                <w:t>17</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73">
              <w:r>
                <w:rPr>
                  <w:rStyle w:val="InternetLink"/>
                  <w:rFonts w:ascii="Times New Roman;serif" w:hAnsi="Times New Roman;serif"/>
                  <w:b w:val="false"/>
                  <w:color w:val="0000FF"/>
                  <w:sz w:val="20"/>
                  <w:u w:val="single"/>
                </w:rPr>
                <w:t>DESCRIPTION OF WARRANTS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73">
              <w:r>
                <w:rPr>
                  <w:rStyle w:val="InternetLink"/>
                  <w:rFonts w:ascii="Times New Roman;serif" w:hAnsi="Times New Roman;serif"/>
                  <w:b w:val="false"/>
                  <w:color w:val="0000FF"/>
                  <w:sz w:val="20"/>
                  <w:u w:val="single"/>
                </w:rPr>
                <w:t>25</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76">
              <w:r>
                <w:rPr>
                  <w:rStyle w:val="InternetLink"/>
                  <w:rFonts w:ascii="Times New Roman;serif" w:hAnsi="Times New Roman;serif"/>
                  <w:b w:val="false"/>
                  <w:color w:val="0000FF"/>
                  <w:sz w:val="20"/>
                  <w:u w:val="single"/>
                </w:rPr>
                <w:t>DESCRIPTION OF RIGHTS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76">
              <w:r>
                <w:rPr>
                  <w:rStyle w:val="InternetLink"/>
                  <w:rFonts w:ascii="Times New Roman;serif" w:hAnsi="Times New Roman;serif"/>
                  <w:b w:val="false"/>
                  <w:color w:val="0000FF"/>
                  <w:sz w:val="20"/>
                  <w:u w:val="single"/>
                </w:rPr>
                <w:t>27</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79">
              <w:r>
                <w:rPr>
                  <w:rStyle w:val="InternetLink"/>
                  <w:rFonts w:ascii="Times New Roman;serif" w:hAnsi="Times New Roman;serif"/>
                  <w:b w:val="false"/>
                  <w:color w:val="0000FF"/>
                  <w:sz w:val="20"/>
                  <w:u w:val="single"/>
                </w:rPr>
                <w:t>DESCRIPTION OF UNITS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79">
              <w:r>
                <w:rPr>
                  <w:rStyle w:val="InternetLink"/>
                  <w:rFonts w:ascii="Times New Roman;serif" w:hAnsi="Times New Roman;serif"/>
                  <w:b w:val="false"/>
                  <w:color w:val="0000FF"/>
                  <w:sz w:val="20"/>
                  <w:u w:val="single"/>
                </w:rPr>
                <w:t>28</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82">
              <w:r>
                <w:rPr>
                  <w:rStyle w:val="InternetLink"/>
                  <w:rFonts w:ascii="Times New Roman;serif" w:hAnsi="Times New Roman;serif"/>
                  <w:b w:val="false"/>
                  <w:color w:val="0000FF"/>
                  <w:sz w:val="20"/>
                  <w:u w:val="single"/>
                </w:rPr>
                <w:t>GLOBAL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82">
              <w:r>
                <w:rPr>
                  <w:rStyle w:val="InternetLink"/>
                  <w:rFonts w:ascii="Times New Roman;serif" w:hAnsi="Times New Roman;serif"/>
                  <w:b w:val="false"/>
                  <w:color w:val="0000FF"/>
                  <w:sz w:val="20"/>
                  <w:u w:val="single"/>
                </w:rPr>
                <w:t>29</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85">
              <w:r>
                <w:rPr>
                  <w:rStyle w:val="InternetLink"/>
                  <w:rFonts w:ascii="Times New Roman;serif" w:hAnsi="Times New Roman;serif"/>
                  <w:b w:val="false"/>
                  <w:color w:val="0000FF"/>
                  <w:sz w:val="20"/>
                  <w:u w:val="single"/>
                </w:rPr>
                <w:t>PLAN OF DISTRIBUTION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85">
              <w:r>
                <w:rPr>
                  <w:rStyle w:val="InternetLink"/>
                  <w:rFonts w:ascii="Times New Roman;serif" w:hAnsi="Times New Roman;serif"/>
                  <w:b w:val="false"/>
                  <w:color w:val="0000FF"/>
                  <w:sz w:val="20"/>
                  <w:u w:val="single"/>
                </w:rPr>
                <w:t>33</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88">
              <w:r>
                <w:rPr>
                  <w:rStyle w:val="InternetLink"/>
                  <w:rFonts w:ascii="Times New Roman;serif" w:hAnsi="Times New Roman;serif"/>
                  <w:b w:val="false"/>
                  <w:color w:val="0000FF"/>
                  <w:sz w:val="20"/>
                  <w:u w:val="single"/>
                </w:rPr>
                <w:t>LEGAL MATTERS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88">
              <w:r>
                <w:rPr>
                  <w:rStyle w:val="InternetLink"/>
                  <w:rFonts w:ascii="Times New Roman;serif" w:hAnsi="Times New Roman;serif"/>
                  <w:b w:val="false"/>
                  <w:color w:val="0000FF"/>
                  <w:sz w:val="20"/>
                  <w:u w:val="single"/>
                </w:rPr>
                <w:t>35</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91">
              <w:r>
                <w:rPr>
                  <w:rStyle w:val="InternetLink"/>
                  <w:rFonts w:ascii="Times New Roman;serif" w:hAnsi="Times New Roman;serif"/>
                  <w:b w:val="false"/>
                  <w:color w:val="0000FF"/>
                  <w:sz w:val="20"/>
                  <w:u w:val="single"/>
                </w:rPr>
                <w:t>EXPERTS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91">
              <w:r>
                <w:rPr>
                  <w:rStyle w:val="InternetLink"/>
                  <w:rFonts w:ascii="Times New Roman;serif" w:hAnsi="Times New Roman;serif"/>
                  <w:b w:val="false"/>
                  <w:color w:val="0000FF"/>
                  <w:sz w:val="20"/>
                  <w:u w:val="single"/>
                </w:rPr>
                <w:t>35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ABOUT THIS PROSPECTUS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is part of a registration statement that we filed with the U.S. Securities and Exchange Commission, or the SEC, using a “shelf” registration process. By using a shelf registration statement, we may sell securities from time to time and in one or more offerings up to a total dollar amount of $250,000,000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 Incorporation by Reference.”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have not authorized anyone to provide you with any information or to make any representations other than those contained in this prospectus, any applicable prospectus supplement or any applicable free writing prospectuses prepared by or on behalf of us or to which we have referred you. We take no responsibility for, and can provide no assurance as to the reliability of, any other information that others may give you.</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used in this prospectus, unless otherwise indicated or the context otherwise requires, references to “we,” “us,” “our,” the “Company,” “Registrant,” and “Blaize” refer to the consolidated operations of Blaize Holdings, Inc., formerly known as BurTech Acquisition Corporation (“BurTech”), and its subsidiaries. References to “Legacy Blaize” refer to Blaize, Inc., prior to the close of the Business Combination (as defined further herein). All references herein to the “Board” refer to the board of directors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WHERE YOU CAN FIND MORE INFORMATION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file reports, proxy statements and other information with the SEC. The SEC maintains a website that contains reports, proxy and information statements and other information about issuers, such as us, who file electronically with the SEC. The address of that website is https://www.sec.gov.</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website address is https://www.blaize.com. The information on our website, however, is not, and should not be deemed to be, a part of this prospectus. We have included our website address as an inactive textual reference only.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may be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Incorporation by Reference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and any accompanying prospectus supplement incorporate by reference the documents set forth below that have previously been filed with the SEC (other than those documents or the portions of those documents not deemed to be filed):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Annual Report on Form 10-K for the year ended December 31, 2024, filed with the SEC on </w:t>
      </w:r>
      <w:hyperlink r:id="rId10">
        <w:r>
          <w:rPr>
            <w:rStyle w:val="InternetLink"/>
            <w:rFonts w:ascii="Times New Roman;serif" w:hAnsi="Times New Roman;serif"/>
            <w:b w:val="false"/>
            <w:color w:val="0000FF"/>
            <w:sz w:val="20"/>
            <w:u w:val="single"/>
          </w:rPr>
          <w:t>April 15, 2025</w:t>
        </w:r>
      </w:hyperlink>
      <w:r>
        <w:rPr>
          <w:rFonts w:ascii="Times New Roman;serif" w:hAnsi="Times New Roman;serif"/>
          <w:b w:val="false"/>
          <w:color w:val="000000"/>
          <w:sz w:val="20"/>
        </w:rPr>
        <w: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Quarterly Reports on Form 10-Q for the quarter ended March 31, 2025, filed with the SEC on </w:t>
      </w:r>
      <w:hyperlink r:id="rId11">
        <w:r>
          <w:rPr>
            <w:rStyle w:val="InternetLink"/>
            <w:rFonts w:ascii="Times New Roman;serif" w:hAnsi="Times New Roman;serif"/>
            <w:b w:val="false"/>
            <w:color w:val="0000FF"/>
            <w:sz w:val="20"/>
            <w:u w:val="single"/>
          </w:rPr>
          <w:t>May 14, 2025</w:t>
        </w:r>
      </w:hyperlink>
      <w:r>
        <w:rPr>
          <w:rFonts w:ascii="Times New Roman;serif" w:hAnsi="Times New Roman;serif"/>
          <w:b w:val="false"/>
          <w:color w:val="000000"/>
          <w:sz w:val="20"/>
        </w:rPr>
        <w:t xml:space="preserve">, for the quarter ended June 30, 2025, filed with the SEC on </w:t>
      </w:r>
      <w:hyperlink r:id="rId12">
        <w:r>
          <w:rPr>
            <w:rStyle w:val="InternetLink"/>
            <w:rFonts w:ascii="Times New Roman;serif" w:hAnsi="Times New Roman;serif"/>
            <w:b w:val="false"/>
            <w:color w:val="0000FF"/>
            <w:sz w:val="20"/>
            <w:u w:val="single"/>
          </w:rPr>
          <w:t>August 14, 2025</w:t>
        </w:r>
      </w:hyperlink>
      <w:r>
        <w:rPr>
          <w:rFonts w:ascii="Times New Roman;serif" w:hAnsi="Times New Roman;serif"/>
          <w:b w:val="false"/>
          <w:color w:val="000000"/>
          <w:sz w:val="20"/>
        </w:rPr>
        <w:t xml:space="preserve">, and for the quarter ended September 30, 2025, filed with the SEC on </w:t>
      </w:r>
      <w:hyperlink r:id="rId13">
        <w:r>
          <w:rPr>
            <w:rStyle w:val="InternetLink"/>
            <w:rFonts w:ascii="Times New Roman;serif" w:hAnsi="Times New Roman;serif"/>
            <w:b w:val="false"/>
            <w:color w:val="0000FF"/>
            <w:sz w:val="20"/>
            <w:u w:val="single"/>
          </w:rPr>
          <w:t>November 13, 2025</w:t>
        </w:r>
      </w:hyperlink>
      <w:r>
        <w:rPr>
          <w:rFonts w:ascii="Times New Roman;serif" w:hAnsi="Times New Roman;serif"/>
          <w:b w:val="false"/>
          <w:color w:val="000000"/>
          <w:sz w:val="20"/>
        </w:rPr>
        <w: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Current Reports on Form 8-K or 8-K/A filed with the SEC on </w:t>
      </w:r>
      <w:hyperlink r:id="rId14">
        <w:r>
          <w:rPr>
            <w:rStyle w:val="InternetLink"/>
            <w:rFonts w:ascii="Times New Roman;serif" w:hAnsi="Times New Roman;serif"/>
            <w:b w:val="false"/>
            <w:color w:val="0000FF"/>
            <w:sz w:val="20"/>
            <w:u w:val="single"/>
          </w:rPr>
          <w:t>January 8, 2025</w:t>
        </w:r>
      </w:hyperlink>
      <w:r>
        <w:rPr>
          <w:rFonts w:ascii="Times New Roman;serif" w:hAnsi="Times New Roman;serif"/>
          <w:b w:val="false"/>
          <w:color w:val="000000"/>
          <w:sz w:val="20"/>
        </w:rPr>
        <w:t xml:space="preserve">, </w:t>
      </w:r>
      <w:hyperlink r:id="rId15">
        <w:r>
          <w:rPr>
            <w:rStyle w:val="InternetLink"/>
            <w:rFonts w:ascii="Times New Roman;serif" w:hAnsi="Times New Roman;serif"/>
            <w:b w:val="false"/>
            <w:color w:val="0000FF"/>
            <w:sz w:val="20"/>
            <w:u w:val="single"/>
          </w:rPr>
          <w:t>January 13, 2025</w:t>
        </w:r>
      </w:hyperlink>
      <w:r>
        <w:rPr>
          <w:rFonts w:ascii="Times New Roman;serif" w:hAnsi="Times New Roman;serif"/>
          <w:b w:val="false"/>
          <w:color w:val="000000"/>
          <w:sz w:val="20"/>
        </w:rPr>
        <w:t xml:space="preserve">, </w:t>
      </w:r>
      <w:hyperlink r:id="rId16">
        <w:r>
          <w:rPr>
            <w:rStyle w:val="InternetLink"/>
            <w:rFonts w:ascii="Times New Roman;serif" w:hAnsi="Times New Roman;serif"/>
            <w:b w:val="false"/>
            <w:color w:val="0000FF"/>
            <w:sz w:val="20"/>
            <w:u w:val="single"/>
          </w:rPr>
          <w:t>January 17, 2025</w:t>
        </w:r>
      </w:hyperlink>
      <w:r>
        <w:rPr>
          <w:rFonts w:ascii="Times New Roman;serif" w:hAnsi="Times New Roman;serif"/>
          <w:b w:val="false"/>
          <w:color w:val="000000"/>
          <w:sz w:val="20"/>
        </w:rPr>
        <w:t xml:space="preserve">, </w:t>
      </w:r>
      <w:hyperlink r:id="rId17">
        <w:r>
          <w:rPr>
            <w:rStyle w:val="InternetLink"/>
            <w:rFonts w:ascii="Times New Roman;serif" w:hAnsi="Times New Roman;serif"/>
            <w:b w:val="false"/>
            <w:color w:val="0000FF"/>
            <w:sz w:val="20"/>
            <w:u w:val="single"/>
          </w:rPr>
          <w:t>February 7, 2025</w:t>
        </w:r>
      </w:hyperlink>
      <w:r>
        <w:rPr>
          <w:rFonts w:ascii="Times New Roman;serif" w:hAnsi="Times New Roman;serif"/>
          <w:b w:val="false"/>
          <w:color w:val="000000"/>
          <w:sz w:val="20"/>
        </w:rPr>
        <w:t xml:space="preserve">, </w:t>
      </w:r>
      <w:hyperlink r:id="rId18">
        <w:r>
          <w:rPr>
            <w:rStyle w:val="InternetLink"/>
            <w:rFonts w:ascii="Times New Roman;serif" w:hAnsi="Times New Roman;serif"/>
            <w:b w:val="false"/>
            <w:color w:val="0000FF"/>
            <w:sz w:val="20"/>
            <w:u w:val="single"/>
          </w:rPr>
          <w:t>April 15, 2025</w:t>
        </w:r>
      </w:hyperlink>
      <w:r>
        <w:rPr>
          <w:rFonts w:ascii="Times New Roman;serif" w:hAnsi="Times New Roman;serif"/>
          <w:b w:val="false"/>
          <w:color w:val="000000"/>
          <w:sz w:val="20"/>
        </w:rPr>
        <w:t xml:space="preserve">, </w:t>
      </w:r>
      <w:hyperlink r:id="rId19">
        <w:r>
          <w:rPr>
            <w:rStyle w:val="InternetLink"/>
            <w:rFonts w:ascii="Times New Roman;serif" w:hAnsi="Times New Roman;serif"/>
            <w:b w:val="false"/>
            <w:color w:val="0000FF"/>
            <w:sz w:val="20"/>
            <w:u w:val="single"/>
          </w:rPr>
          <w:t>June 30, 2025</w:t>
        </w:r>
      </w:hyperlink>
      <w:r>
        <w:rPr>
          <w:rFonts w:ascii="Times New Roman;serif" w:hAnsi="Times New Roman;serif"/>
          <w:b w:val="false"/>
          <w:color w:val="000000"/>
          <w:sz w:val="20"/>
        </w:rPr>
        <w:t xml:space="preserve">, </w:t>
      </w:r>
      <w:hyperlink r:id="rId20">
        <w:r>
          <w:rPr>
            <w:rStyle w:val="InternetLink"/>
            <w:rFonts w:ascii="Times New Roman;serif" w:hAnsi="Times New Roman;serif"/>
            <w:b w:val="false"/>
            <w:color w:val="0000FF"/>
            <w:sz w:val="20"/>
            <w:u w:val="single"/>
          </w:rPr>
          <w:t>July 15, 2025</w:t>
        </w:r>
      </w:hyperlink>
      <w:r>
        <w:rPr>
          <w:rFonts w:ascii="Times New Roman;serif" w:hAnsi="Times New Roman;serif"/>
          <w:b w:val="false"/>
          <w:color w:val="000000"/>
          <w:sz w:val="20"/>
        </w:rPr>
        <w:t xml:space="preserve">, </w:t>
      </w:r>
      <w:hyperlink r:id="rId21">
        <w:r>
          <w:rPr>
            <w:rStyle w:val="InternetLink"/>
            <w:rFonts w:ascii="Times New Roman;serif" w:hAnsi="Times New Roman;serif"/>
            <w:b w:val="false"/>
            <w:color w:val="0000FF"/>
            <w:sz w:val="20"/>
            <w:u w:val="single"/>
          </w:rPr>
          <w:t>July 16, 2025</w:t>
        </w:r>
      </w:hyperlink>
      <w:r>
        <w:rPr>
          <w:rFonts w:ascii="Times New Roman;serif" w:hAnsi="Times New Roman;serif"/>
          <w:b w:val="false"/>
          <w:color w:val="000000"/>
          <w:sz w:val="20"/>
        </w:rPr>
        <w:t xml:space="preserve">, </w:t>
      </w:r>
      <w:hyperlink r:id="rId22">
        <w:r>
          <w:rPr>
            <w:rStyle w:val="InternetLink"/>
            <w:rFonts w:ascii="Times New Roman;serif" w:hAnsi="Times New Roman;serif"/>
            <w:b w:val="false"/>
            <w:color w:val="0000FF"/>
            <w:sz w:val="20"/>
            <w:u w:val="single"/>
          </w:rPr>
          <w:t>September 2, 2025</w:t>
        </w:r>
      </w:hyperlink>
      <w:r>
        <w:rPr>
          <w:rFonts w:ascii="Times New Roman;serif" w:hAnsi="Times New Roman;serif"/>
          <w:b w:val="false"/>
          <w:color w:val="000000"/>
          <w:sz w:val="20"/>
        </w:rPr>
        <w:t xml:space="preserve">, </w:t>
      </w:r>
      <w:hyperlink r:id="rId23">
        <w:r>
          <w:rPr>
            <w:rStyle w:val="InternetLink"/>
            <w:rFonts w:ascii="Times New Roman;serif" w:hAnsi="Times New Roman;serif"/>
            <w:b w:val="false"/>
            <w:color w:val="0000FF"/>
            <w:sz w:val="20"/>
            <w:u w:val="single"/>
          </w:rPr>
          <w:t>December 4, 2025</w:t>
        </w:r>
      </w:hyperlink>
      <w:r>
        <w:rPr>
          <w:color w:val="000000"/>
        </w:rPr>
        <w:t xml:space="preserve"> </w:t>
      </w:r>
      <w:r>
        <w:rPr>
          <w:rFonts w:ascii="Times New Roman;serif" w:hAnsi="Times New Roman;serif"/>
          <w:b w:val="false"/>
          <w:color w:val="000000"/>
          <w:sz w:val="20"/>
        </w:rPr>
        <w:t xml:space="preserve">and </w:t>
      </w:r>
      <w:hyperlink r:id="rId24">
        <w:r>
          <w:rPr>
            <w:rStyle w:val="InternetLink"/>
            <w:rFonts w:ascii="Times New Roman;serif" w:hAnsi="Times New Roman;serif"/>
            <w:b w:val="false"/>
            <w:color w:val="0000FF"/>
            <w:sz w:val="20"/>
            <w:u w:val="single"/>
          </w:rPr>
          <w:t>January 5, 2026</w:t>
        </w:r>
      </w:hyperlink>
      <w:r>
        <w:rPr>
          <w:rFonts w:ascii="Times New Roman;serif" w:hAnsi="Times New Roman;serif"/>
          <w:b w:val="false"/>
          <w:color w:val="000000"/>
          <w:sz w:val="20"/>
        </w:rPr>
        <w: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description of our common stock contained in our Registration Statement on Form 8-A12B, filed with the SEC on </w:t>
      </w:r>
      <w:hyperlink r:id="rId25">
        <w:r>
          <w:rPr>
            <w:rStyle w:val="InternetLink"/>
            <w:rFonts w:ascii="Times New Roman;serif" w:hAnsi="Times New Roman;serif"/>
            <w:b w:val="false"/>
            <w:color w:val="0000FF"/>
            <w:sz w:val="20"/>
            <w:u w:val="single"/>
          </w:rPr>
          <w:t>December 8, 2021</w:t>
        </w:r>
      </w:hyperlink>
      <w:r>
        <w:rPr>
          <w:rFonts w:ascii="Times New Roman;serif" w:hAnsi="Times New Roman;serif"/>
          <w:b w:val="false"/>
          <w:color w:val="000000"/>
          <w:sz w:val="20"/>
        </w:rPr>
        <w:t xml:space="preserve">, as most recently updated by </w:t>
      </w:r>
      <w:hyperlink r:id="rId26">
        <w:r>
          <w:rPr>
            <w:rStyle w:val="InternetLink"/>
            <w:rFonts w:ascii="Times New Roman;serif" w:hAnsi="Times New Roman;serif"/>
            <w:b w:val="false"/>
            <w:color w:val="0000FF"/>
            <w:sz w:val="20"/>
            <w:u w:val="single"/>
          </w:rPr>
          <w:t>Exhibit 4.4</w:t>
        </w:r>
      </w:hyperlink>
      <w:r>
        <w:rPr>
          <w:color w:val="000000"/>
        </w:rPr>
        <w:t xml:space="preserve"> </w:t>
      </w:r>
      <w:r>
        <w:rPr>
          <w:rFonts w:ascii="Times New Roman;serif" w:hAnsi="Times New Roman;serif"/>
          <w:b w:val="false"/>
          <w:color w:val="000000"/>
          <w:sz w:val="20"/>
        </w:rPr>
        <w:t>to our Annual Report on Form 10-K for the year ended December 31, 2024, filed with the SEC on April 15, 2025, including any amendments or reports filed for the purpose of updating such description.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All reports and other documents we subsequently file pursuant to Sections 13(a), 13(c), 14 or 15(d) of the Securities Exchange Act of 1934, as amended, which we refer to as the “Exchange Act” in this prospectus, on or after the date of the initial filing of the registration statement of which this prospectus is a part and prior to effectiveness of the registration statement, and on or after the date of this prospectus and prior to the termination of the offering under this prospectus and any prospectus supplement, will also be incorporated by reference in this </w:t>
      </w:r>
    </w:p>
    <w:p>
      <w:pPr>
        <w:pStyle w:val="TextBody"/>
        <w:bidi w:val="0"/>
        <w:spacing w:before="0" w:after="18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prospectus and deemed to be part of this prospectus from the date of the filing of such reports and documents. We are not, however, incorporating by reference any documents or portions thereof, whether specifically listed above or filed in the future, that are not deemed “filed” with the SEC, including any Compensation Committee report or performance graph or any information furnished pursuant to Items 2.02 or 7.01 of Form 8-K or related exhibits furnished pursuant to Item 9.01 of Form 8-K.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You may request a free copy of any of the documents incorporated by reference in this prospectus by writing or telephoning us at the following address: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Blaize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4659 Golden Foothill Parkway, Suite 206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El Dorado Hills, CA 95762 (916) 347-0050</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(916) 347-0050</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Exhibits to the filings will not be sent, however, unless those exhibits have specifically been incorporated by reference in this prospectus or any accompanying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THE COMPANY</w:t>
      </w:r>
    </w:p>
    <w:p>
      <w:pPr>
        <w:pStyle w:val="TextBody"/>
        <w:bidi w:val="0"/>
        <w:spacing w:lineRule="auto" w:line="288" w:before="0" w:after="180"/>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Overview</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Blaize provides purpose-built, transformative artificial intelligence (“AI”)-enabled edge computing solutions comprised of hardware and software intended to optimize AI from the edge to the core, with a full-stack programmable processor architecture suite and low-code/no-code software platform that enables AI processing solutions for high-performance computing at both the network’s edge and at data centers. Our solutions are intended to deliver real-time insights and decision-making capabilities at low power consumption, high efficiency, minimal size, and low cost.</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Our portfolio includes highly efficient programmable AI processors in a broad range of form factors, deployable across several verticals, including smart city, defense, retail and enterprise markets. Our accelerated AI computing platforms enable applications such as computer vision, advanced video analytics, and AI inference, and our software tools allow non-expert practitioners to deploy existing and novel AI applications on our hardware without the need to learn or use source code.</w:t>
      </w:r>
    </w:p>
    <w:p>
      <w:pPr>
        <w:pStyle w:val="TextBody"/>
        <w:bidi w:val="0"/>
        <w:spacing w:lineRule="auto" w:line="288" w:before="0" w:after="180"/>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Recent Developments</w:t>
      </w:r>
    </w:p>
    <w:p>
      <w:pPr>
        <w:pStyle w:val="TextBody"/>
        <w:bidi w:val="0"/>
        <w:spacing w:lineRule="auto" w:line="288" w:before="0" w:after="180"/>
        <w:jc w:val="left"/>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Customers</w:t>
      </w:r>
    </w:p>
    <w:p>
      <w:pPr>
        <w:pStyle w:val="TextBody"/>
        <w:bidi w:val="0"/>
        <w:spacing w:lineRule="auto" w:line="288" w:before="0" w:after="180"/>
        <w:jc w:val="left"/>
        <w:rPr>
          <w:rFonts w:ascii="Times New Roman;serif" w:hAnsi="Times New Roman;serif"/>
          <w:b w:val="false"/>
          <w:i/>
          <w:color w:val="000000"/>
          <w:sz w:val="20"/>
          <w:bdr w:val="single" w:sz="8" w:space="36" w:color="000000"/>
        </w:rPr>
      </w:pPr>
      <w:r>
        <w:rPr>
          <w:rFonts w:ascii="Times New Roman;serif" w:hAnsi="Times New Roman;serif"/>
          <w:b w:val="false"/>
          <w:i/>
          <w:color w:val="000000"/>
          <w:sz w:val="20"/>
          <w:bdr w:val="single" w:sz="8" w:space="36" w:color="000000"/>
        </w:rPr>
        <w:t>Historical Revenue and Growth Expectations</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Our revenue is historically derived from significant customers, some of whom may be related parties. During the first nine months of 2025, our revenue was derived from two significant customers. The first significant customer, located in the Asia Pacific region, is not a related party, and comprised 70% of our revenue during the first nine months of 2025. The other significant customer, located in North America, is a related party and comprised 20% of our revenue during the first nine months of 2025. In 2025, all of our revenue was derived from sales of hardware and software products, and no revenue was derived from services.</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In 2024, 98% of our revenue was derived from two different customers, located in both North America and Asia Pacific, both of whom were related parties. In 2024, substantially all of our revenue was derived from services revenue, and these development services contracts have expired.</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anticipate our growth to continue in the Asia-Pacific, North America, and the Persian Gulf regions, as further described below.</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Since our revenue is currently concentrated among a small number of customers, revenue recognized from any one significant customer may change the geographical mix of our revenue. Going forward, we expect to derive revenue primarily from sales of hardware and software products and also from professional services.</w:t>
      </w:r>
    </w:p>
    <w:p>
      <w:pPr>
        <w:pStyle w:val="TextBody"/>
        <w:bidi w:val="0"/>
        <w:spacing w:lineRule="auto" w:line="288" w:before="0" w:after="180"/>
        <w:jc w:val="left"/>
        <w:rPr>
          <w:rFonts w:ascii="Times New Roman;serif" w:hAnsi="Times New Roman;serif"/>
          <w:b w:val="false"/>
          <w:i/>
          <w:color w:val="000000"/>
          <w:sz w:val="20"/>
          <w:bdr w:val="single" w:sz="8" w:space="36" w:color="000000"/>
        </w:rPr>
      </w:pPr>
      <w:r>
        <w:rPr>
          <w:rFonts w:ascii="Times New Roman;serif" w:hAnsi="Times New Roman;serif"/>
          <w:b w:val="false"/>
          <w:i/>
          <w:color w:val="000000"/>
          <w:sz w:val="20"/>
          <w:bdr w:val="single" w:sz="8" w:space="36" w:color="000000"/>
        </w:rPr>
        <w:t>Purchase Order Contract Agreement (the “POCA”) in the Persian Gulf Region</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On May 1, 2024, Blaize entered into a Purchase Order Contract Agreement (the “POCA”) with a UAE private company (the “POCA Counterparty”) that provides defense and other solutions to government entities in the Gulf Cooperation Council region. The initial agreement related to solutions for a defense entity in UAE (collectively, the “Customer”). The POCA was amended on October 18, 2024 to add additional detail regarding hardware and software requirements and estimated delivery schedules. Under the POCA, Blaize expects to provide several solutions to the POCA Counterparty that require low latency, low power and high-performance compute in the field. Specifically, the POCA Counterparty, as the Technical Service Provider (“TSP”) licensed by the Department of Economic Development, Abu Dhabi, Government of United Arab Emirates, and Blaize, as the supplier of equipment, software and/or managed services to TSP for the purpose of installation, provision, operations and/or maintenance of TSP’s networks (in such capacity, the “Vendor”), agreed that the Vendor will supply equipment and services for consideration of up to $104.0 million. Blaize will provide its technology platform to TSP on a project-by-project basis. Each of the project offerings includes a specific combination of Blaize’s software and hardware products, as well as customized delivery, development and installation solutions, to be determined by each end user’s specific needs.</w:t>
      </w:r>
    </w:p>
    <w:p>
      <w:pPr>
        <w:pStyle w:val="TextBody"/>
        <w:bidi w:val="0"/>
        <w:spacing w:before="0" w:after="18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The POCA established a timeline for each of the projects, including deadlines for the deliverables that TSP will require, beginning in the third quarter of 2024 through the fourth quarter of 2025. The timelines were predicated on the Customer defining the first field trials based on its data, after which production of the final solutions would commence. The POCA will continue to be in full force and effect unless terminated earlier by TSP.</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Performance of the parties’ obligations under the POCA has been delayed as the Customer changed its initial field trial priorities. As of January 27, 2026, Blaize has not shipped any products or received any payments from the POCA Counterparty. Under the terms of the POCA, Blaize must receive advance payment by the POCA Counterparty before the shipment of any product. Though no revenues have been realized under the terms of the POCA to date, Blaize is expecting to initiate work on field trials once the Customer has identified the specific use cases and provides access to its data. The pace of deployment is contingent on the timing of the Customer’s decisions, and there is no guarantee that field trials will be successful.</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believe that the solutions Blaize is currently developing for TSP and the Customer demonstrate Blaize’s capability to create a full-stack solution for the defense and other industries, and we have been in discussions with the POCA Counterparty throughout 2025 about additional potential opportunities, though there can be no guarantee that such discussions will result in any definitive agreement between the parties.</w:t>
      </w:r>
    </w:p>
    <w:p>
      <w:pPr>
        <w:pStyle w:val="TextBody"/>
        <w:bidi w:val="0"/>
        <w:spacing w:lineRule="auto" w:line="288" w:before="0" w:after="180"/>
        <w:jc w:val="left"/>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Legal Proceedings</w:t>
      </w:r>
    </w:p>
    <w:p>
      <w:pPr>
        <w:pStyle w:val="TextBody"/>
        <w:bidi w:val="0"/>
        <w:spacing w:lineRule="auto" w:line="288" w:before="0" w:after="180"/>
        <w:jc w:val="left"/>
        <w:rPr>
          <w:rFonts w:ascii="Times New Roman;serif" w:hAnsi="Times New Roman;serif"/>
          <w:b w:val="false"/>
          <w:i/>
          <w:color w:val="000000"/>
          <w:sz w:val="20"/>
          <w:bdr w:val="single" w:sz="8" w:space="36" w:color="000000"/>
        </w:rPr>
      </w:pPr>
      <w:r>
        <w:rPr>
          <w:rFonts w:ascii="Times New Roman;serif" w:hAnsi="Times New Roman;serif"/>
          <w:b w:val="false"/>
          <w:i/>
          <w:color w:val="000000"/>
          <w:sz w:val="20"/>
          <w:bdr w:val="single" w:sz="8" w:space="36" w:color="000000"/>
        </w:rPr>
        <w:t>Jefferies LLC v. Blaize Holdings, Inc. (formerly known as BurTech Acquisition Corp.)</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As previously disclosed, the Company was involved in litigation with Jefferies LLC (“Jefferies”) in New York state court related to disputed fees and expenses under an Advisory Services Engagement Letter between BurTech Acquisition Corp and Jefferies for the Business Combination. On November 30, 2025, Blaize and Jefferies settled the matter.</w:t>
      </w:r>
    </w:p>
    <w:p>
      <w:pPr>
        <w:pStyle w:val="TextBody"/>
        <w:bidi w:val="0"/>
        <w:spacing w:lineRule="auto" w:line="288" w:before="0" w:after="180"/>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Company Background</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On January 13, 2025, subsequent to the end of fiscal year ended December 31, 2024, BurTech completed the previously announced business combination pursuant to that certain Agreement and Plan of Merger, dated as of December 22, 2023 (as amended on April 22, 2024, October 24, 2024, and November 21, 2024, the “Merger Agreement”), by and among BurTech, BurTech Merger Sub Inc., a Delaware corporation and a wholly owned subsidiary of BurTech (“Merger Sub”), Blaize, Inc., a Delaware corporation (“Legacy Blaize”) and for the limited purposes set forth therein, Burkhan Capital LLC, a Delaware limited liability company (“Burkhan”). As contemplated by the Merger Agreement, on January 13, 2025, Merger Sub merged with and into Legacy Blaize, with Legacy Blaize being the surviving company and a wholly owned subsidiary of BurTech (the “Merger”, together with the other transactions contemplated by the Merger Agreement, the “Business Combination”). We changed our name from “BurTech Acquisition Corporation” to “Blaize Holdings, Inc.” in connection with the closing of the Business Combination. The Merger was accounted for as a reverse merger and recapitalization and BurTech was considered the acquired company for financial statement reporting purposes.</w:t>
      </w:r>
    </w:p>
    <w:p>
      <w:pPr>
        <w:pStyle w:val="TextBody"/>
        <w:bidi w:val="0"/>
        <w:spacing w:lineRule="auto" w:line="288" w:before="0" w:after="180"/>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Corporate Information</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Our Common Stock is listed on Nasdaq under the symbol “BZAI.” Our principal executive offices are located at 4659 Golden Foothill Parkway in El Dorado Hills, California, 95762, and our telephone number is (916) 347-0050. Our website address is www.blaize.com. The information contained in, or accessible through, our website does not constitute a part of this prospectus. We have included our website address in this prospectus solely as an inactive textual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RISK FACTORS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Investing in our securities involves a high degree of risk. You should consider the risks, uncertainties and other factors described under the caption "Item 1A. Risk Factors" in our most recent Annual Report on Form 10-K, as supplemented and updated by subsequent Quarterly Reports on Form 10-Q, that we have filed or will file with the SEC, and in other documents which are incorporated by reference in this prospectus, as well as the risk factors and other information contained in or incorporated by reference in any accompanying prospectus supplement, together with all of the other information included in this prospectus. The risks and uncertainties we have described in such documents are not the only risks that we face. Additional risks and uncertainties not presently known to us or that we currently deem immaterial may also affect our operations. If any of these or any unanticipated risks actually occur, our business, financial condition and results of operations could be materially and adversely affected and the trading price of our securities could decline, causing you to lose some or all of your investment in our securities.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actual operating results may differ significantly from any guidance that we may provide.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From time to time, we may release projections or guidance in our quarterly earnings releases, quarterly earnings conference calls, or otherwise regarding our future performance that represents our management’s estimates as of the date of release. Any guidance we provide is based on certain assumptions, which may or may not prove to be correct. Failure to meet announced guidance or market expectations going forward, particularly with respect to our operational and financial results, shareholder returns, and expectations regarding the success of our business initiatives, whether due to our assumptions not being met or the impact of various risks and uncertainties, is likely to result in either or both a decline in or increased volatility in the market price of our stock. In addition, price and volume fluctuations in the stock market as a whole may affect the market price of our stock in ways that may be unrelated to our financial performance.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long-term success may in part depend on our ability to expand sales to customers located outside of the United States, and we may experience difficulties in collections of our accounts receivable, or other matters that could adversely affect our revenue.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 substantial part of our sales is expected to be outside of the United States and some of our customers have some or all of their operations in countries other than the United States, including China and India. Customers located in these markets can present unique challenges compared to other markets, including longer payment cycles, difficulties in enforcing agreements and collecting payments due to us through certain foreign legal systems,  higher credit risk, and fluctuations in the timing and amount of purchase orders. For example, several of our current customers have payment terms or payment practices that are longer than customary in the United States, which has delayed our ability to collect amounts due to us. Problems with collections from, or sales to, any one of those customers could materially and adversely affect our revenues and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SPECIAL NOTE REGARDING FORWARD-LOOKING STATEMENTS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any applicable prospectus supplement, the documents incorporated by reference herein and therein and any applicable free writing prospectus may contain forward-looking statements. All statements other than statements of historical facts contained in this prospectus, any applicable prospectus supplement, the documents incorporated by reference herein and therein and any applicable free writing prospectus, are forward-looking statements, including statements regarding our future results of operations and financial position, business strategy, financial results and financial position, prospective products, product approvals, research and development costs, timing and likelihood of success, and the plans and objectives of management for future operations.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This prospectus, any applicable prospectus supplement, the documents incorporated by reference herein and therein and any applicable free writing prospectus may also contain estimates and other statistical data made by independent parties and by us relating to market size and growth and other data about our industry. 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The forward-looking statements in this prospectus, any applicable prospectus supplement, the documents incorporated by reference herein and therein and any applicable free writing prospectus are only predictions and are based largely on our current expectations and projections about future events and financial trends that we believe may affect our business, financial condition, and results of operations. These forward-looking statements speak only as of the respective dates of this prospectus, any applicable prospectus supplement, the documents incorporated by reference herein and therein and any applicable free writing prospectus, as applicable, and are subject to a number of known and unknown risks, uncertainties and assumptions, including, but not limited to, those described under “Risk Factors” and elsewhere in this prospectus, any applicable prospectus supplement, the documents incorporated by reference herein and therein, and any applicable free writing prospectus.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in this prospectus, any applicable prospectus supplement, the documents incorporated by reference herein and therein and any applicable free writing prospectus, whether as a result of any new information, future events, changed circumstances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USE OF PROCEEDS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intend to use the net proceeds from the sale of the securities as set forth in the applicable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DESCRIPTION OF CAPITAL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of the date of this prospectus, we had two classes of securities registered pursuant to Section 12 of the Exchange Act: our common stock and our Public Warrants (as defined below).</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description summarizes some of the terms of our certificate of incorporation and bylaws and the Delaware General Corporation Law (“DGCL”). This description is summarized from, and qualified in its entirety by reference to, our certificate of incorporation and bylaws, each of which has been publicly filed with the SEC and attached hereto as Exhibits 3.1 and 3.2, respectively, as well as the relevant provisions of the DGCL.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purpose is to engage in any lawful act or activity for which corporations may now or hereafter be organized under the DGCL. Our authorized capital stock consists of 600,000,000 shares of Common Stock, par value $0.0001 per share, and 20,000,000 shares of preferred stock, par value $0.0001 per share. No shares of preferred stock are issued or outstanding. Unless our board of directors determines otherwise, we will issue all shares of our capital stock in uncertificated form.</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Common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Voting Power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Except as otherwise required by law, as otherwise provided in our certificate of incorporation (as may be amended from time to time) or as otherwise provided in any certificate of designation for any series of preferred stock, the holders of shares of our Common Stock possess all voting power for the election of directors and all other matters requiring stockholder action. Holders of shares of our Common Stock are entitled to one vote for each share held on all matters to be voted on by stockholders.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Dividends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Subject to applicable law, the rights and preferences of the holders of our preferred stock and any other provisions of our certificate of incorporation, as it may be amended from time to time, holders of our Common Stock are entitled to receive such dividends and other distributions in cash, stock or property of Blaize when, as and if declared thereon by our Board, in its discretion, from time to time out of assets or funds of Blaize legally available therefor.</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Liquidation, Dissolution and Winding Up</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Subject to the rights of holders of our preferred stock, in the event of any liquidation, dissolution or winding up of our affairs, whether voluntary or involuntary, after payment or provision for payment of our debts and any other payments required by law and amounts payable upon shares of our preferred stock ranking senior to the shares of our Common Stock upon such dissolution, liquidation or winding up, if any, our remaining net assets will be distributed to the holders of our Common Stock and the holders of any other class or series of capital stock ranking equally with our Common Stock upon such dissolution, liquidation or winding up, equally on a per share basis.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Preemptive or Other Rights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stockholders have no preemptive or other subscription rights. No sinking fund provisions are applicable to our Common Stock.</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Preferred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Board has the authority to issue shares of preferred stock from time to time on terms it may determine, to divide shares of preferred stock into one or more series and to fix the designations, preferences, privileges, and restrictions of preferred stock, including dividend rights, conversion rights, voting rights, terms of redemption, liquidation preference and the number of shares constituting any series or the designation of any series, all to the fullest extent now or hereafter permitted by the DGCL. The issuance of our preferred stock could have the effect of </w:t>
      </w:r>
    </w:p>
    <w:p>
      <w:pPr>
        <w:pStyle w:val="TextBody"/>
        <w:bidi w:val="0"/>
        <w:spacing w:before="0" w:after="18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decreasing the trading price of our Common Stock, restricting dividends on the capital stock of Blaize, diluting the voting power of our Common Stock, impairing the liquidation rights of the capital stock of Blaize, or delaying or preventing a change in control of Blaize.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Election of Directors and Vacancies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Subject to the rights of the holders of any one or more series of preferred stock to elect additional directors under specified circumstances and the terms, the number of directors of our Board is fixed solely and exclusively by our Board, but it currently consists of seven (7) directors.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Under the Bylaws and except as otherwise provided by the Charter, at all meetings of stockholders called for the election of directors at which a quorum is present, a plurality of the votes properly cast is sufficient to elect such directors to the Board.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Except as the DGCL may otherwise require and subject to the rights, if any, of the holders of any one or more series of our preferred stock, newly created directorships and any vacancies on our Board, including unfilled vacancies resulting from the removal of directors, may be filled only by the affirmative vote of a majority of the remaining directors then in office, although less than a quorum, or by the sole remaining director (other than any directors elected by the separate vote of one or more outstanding series of preferred stock), and shall not be filled by the stockholders. All directors will hold office until the expiration of their respective terms of office and until their successors will have been elected and qualified or until their earlier death, resignation, disqualification or removal. A director elected or appointed to fill a vacancy resulting from the death, resignation or removal of a director or a newly created directorship will serve for a term expiring at the next annual meeting of the stockholders of Blaize and until his or her successor will have been elected and qualified or until such director’s earlier death, resignation, disqualification or removal.</w:t>
      </w:r>
    </w:p>
    <w:p>
      <w:pPr>
        <w:pStyle w:val="TextBody"/>
        <w:bidi w:val="0"/>
        <w:spacing w:lineRule="auto" w:line="288" w:before="0" w:after="180"/>
        <w:jc w:val="left"/>
        <w:rPr/>
      </w:pPr>
      <w:r>
        <w:rPr>
          <w:rFonts w:ascii="Times New Roman;serif" w:hAnsi="Times New Roman;serif"/>
          <w:b w:val="false"/>
          <w:color w:val="000000"/>
          <w:sz w:val="20"/>
        </w:rPr>
        <w:t>Subject to the rights, if any, of the holders of any one or more series of our preferred stock, any director may be removed from office only for cause and only by the affirmative vote of the holders of not less than sixty-six and two-thirds percent (66</w:t>
      </w:r>
      <w:r>
        <w:rPr>
          <w:rFonts w:ascii="Times New Roman;serif" w:hAnsi="Times New Roman;serif"/>
          <w:b w:val="false"/>
          <w:color w:val="000000"/>
          <w:sz w:val="13"/>
        </w:rPr>
        <w:t>2/3</w:t>
      </w:r>
      <w:r>
        <w:rPr>
          <w:rFonts w:ascii="Times New Roman;serif" w:hAnsi="Times New Roman;serif"/>
          <w:b w:val="false"/>
          <w:color w:val="000000"/>
          <w:sz w:val="20"/>
        </w:rPr>
        <w:t>%) of the outstanding capital stock of Blaize then entitled to vote generally in the election of directors.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to the powers and authorities hereinbefore or by statute expressly conferred upon them, the directors are hereby empowered to exercise all such powers and do all such acts and things as may be exercised or done by Blaize, subject, nevertheless, to the provisions of the DGCL, our certificate of incorporation and our bylaws; provided, however, that no bylaw so adopted will invalidate any prior act of the directors which would have been valid if such bylaw had not been adopted.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Quorum; Voting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holders of a majority of the voting power of the capital stock issued and outstanding and entitled to vote thereat, present in person, or by remote communication, if applicable, or represented by proxy, constitutes a quorum at all meetings of the stockholders for the transaction of business except as otherwise required by law or provided by our certificate of incorporation and bylaws. If, however, such quorum will not be present or represented at any meeting of the stockholders, the person presiding over the meeting or holders of a majority of the voting power present in person, or by remote communication, if applicable, or represented by proxy, has the power to recess or adjourn the meeting from time to time, without notice other than announcement at the meeting or in any other manner permitted by the DGCL, until a quorum will be present or represented. At such recessed or adjourned meeting at which a quorum will be present or represented, any business may be transacted which might have been transacted at the meeting as originally noticed. If the adjournment is for more than thirty (30) days, a notice of the adjourned meeting will be given to each stockholder of record entitled to vote at such adjourned meeting. If after the adjournment a new record date for determination of stockholders entitled to vote is fixed for the adjourned meeting, our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 The stockholders present at a duly called or convened meeting, at which a quorum is </w:t>
      </w:r>
    </w:p>
    <w:p>
      <w:pPr>
        <w:pStyle w:val="TextBody"/>
        <w:bidi w:val="0"/>
        <w:spacing w:before="0" w:after="18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present, may continue to transact business until adjournment, notwithstanding the withdrawal of enough stockholders to leave less than a quorum.</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Unless a different or minimum vote is required by statute or by the applicable stock exchange rules, or by our certificate of incorporation or our bylaws, in which case such different or minimum vote shall be the applicable vote on the matter, in all matters other than the election of directors, the affirmative vote of a majority of the voting power of the shares present in person, by remote communication, if applicable, or represented by proxy at the meeting and voting affirmatively or negatively (excluding abstentions and broker non-votes) on such matter shall be the act of the stockholders. Except as otherwise provided by statute, our certificate of incorporation or our bylaws, directors shall be elected by a plurality of the votes of the shares present in person, by remote communication, if applicable, or represented by proxy at the meeting and entitled to vote in the election of directors. Where a separate vote by a class or classes or series is required, except where otherwise provided by statute or by our certificate of incorporation or our bylaws or any applicable stock exchange rules, the holders of a majority of the voting power of the outstanding shares of such class or classes or series, present in person, by remote communication, if applicable, or represented by proxy, shall constitute a quorum entitled to take action with respect to that vote on that matter. Except where otherwise provided by statute or by our certificate of incorporation or our bylaws or any applicable stock exchange rules, the affirmative vote of the holders of a majority (plurality, in the case of the election of directors) of the voting power of the shares of such class or classes or series present in person, by remote communication, if applicable, or represented by proxy at the meeting and voting affirmatively or negatively (excluding abstention and broker non-votes) on such matter shall be the act of such class or classes or series.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Anti-takeover Effects of the Charter and the Bylaws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certificate of incorporation or our bylaws contain provisions that may delay, defer or discourage another party from acquiring control of us. We expect that these provisions, which are summarized above, will discourage coercive takeover practices or inadequate takeover bids. These provisions are also designed to encourage persons seeking to acquire control of us to first negotiate with our Board, which we believe may result in an improvement of the terms of any such acquisition in favor of our stockholders. However, they also give our Board the power to discourage acquisitions that some stockholders may favor.</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Authorized but Unissued Capital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Delaware law does not require stockholder approval for any issuance of authorized shares. However, the listing requirements of the Nasdaq, which would apply if and so long as our Common Stock (or units or Warrants) remains listed on the Nasdaq, require stockholder approval of certain issuances equal to or exceeding 20% of the then outstanding voting power or then outstanding number of shares of our Common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Additional shares that may be issued in the future may be used for a variety of corporate purposes, including future public offerings, to raise additional capital or to facilitate acquisitions.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One of the effects of the existence of unissued and unreserved common stock may be to enable our Board to issue shares to persons friendly to current management, which issuance could render more difficult or discourage an attempt to obtain control of Blaize by means of a merger, tender offer, proxy contest or otherwise and thereby protect the continuity of management and possibly deprive stockholders of opportunities to sell their shares of our Common Stock at prices higher than prevailing market prices.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Special Meeting, Action by Written Consent and Advance Notice Requirements for Stockholder Proposals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Unless otherwise required by law, and subject to the rights, if any, of the holders of any one or more series of our preferred stock, special meetings of the stockholders of Blaize, for any purpose or purposes, may be called only by (a) the Chairperson of our Board, (b) the Chief Executive Officer, (c) our Board or (d) the President.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Unless otherwise required by law, written notice of a special meeting of stockholders, stating the place, date and time of the meeting, the means of remote communication by which stockholders and proxy holders may be deemed to be present in person and vote at such meeting, and purpose or purposes thereof, shall be given to each stockholder entitled to vote at such meeting, not less than ten (10) or more than sixty (60) days before the date fixed for the </w:t>
      </w:r>
    </w:p>
    <w:p>
      <w:pPr>
        <w:pStyle w:val="TextBody"/>
        <w:bidi w:val="0"/>
        <w:spacing w:before="0" w:after="18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meeting. Business transacted at any special meeting of stockholders will be limited to the purposes stated in the notice.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bylaws also provide that unless otherwise restricted by our certificate of incorporation or our bylaws, any action required or permitted to be taken at any meeting of our Board or of any committee thereof may be taken without a meeting, if all members of our Board or of such committee, as the case may be, consent thereto in writing or by electronic transmission, and the writing or writings or electronic transmission or transmissions are filed with the minutes of proceedings of our Board or committee.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our bylaws require advance notice procedures for stockholder proposals to be brought before an annual meeting of the stockholders, including the nomination of directors. Stockholders at an annual meeting may only consider the proposals specified in the notice of meeting or brought before the meeting by or at the direction of the Chairperson of our Board or our Board, or by a stockholder of record on the record date for the meeting, who is entitled to vote at the meeting and who has delivered a timely written notice in proper form to our secretary, of the stockholder’s intention to bring such business before the meeting.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These provisions could have the effect of delaying until the next stockholder meeting any stockholder actions, even if they are favored by the holders of a majority of our outstanding voting securities.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Amendment to Certificate of Incorporation and Bylaws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DGCL provides generally that the affirmative vote of a majority of the outstanding stock entitled to vote on amendments to a corporation’s certificate of incorporation or bylaws is required to approve such amendment, unless a corporation’s certificate of incorporation or bylaws, as the case may be, requires a greater percentage.</w:t>
      </w:r>
    </w:p>
    <w:p>
      <w:pPr>
        <w:pStyle w:val="TextBody"/>
        <w:bidi w:val="0"/>
        <w:spacing w:lineRule="auto" w:line="288" w:before="0" w:after="180"/>
        <w:jc w:val="left"/>
        <w:rPr/>
      </w:pPr>
      <w:r>
        <w:rPr>
          <w:rFonts w:ascii="Times New Roman;serif" w:hAnsi="Times New Roman;serif"/>
          <w:b w:val="false"/>
          <w:color w:val="000000"/>
          <w:sz w:val="20"/>
        </w:rPr>
        <w:t>Our certificate of incorporation provides, however, in addition to the votes required by law, that the following provisions therein may be amended, altered, repealed or rescinded only by the affirmative vote of the holders of at least sixty-six and two-thirds percent (66</w:t>
      </w:r>
      <w:r>
        <w:rPr>
          <w:rFonts w:ascii="Times New Roman;serif" w:hAnsi="Times New Roman;serif"/>
          <w:b w:val="false"/>
          <w:color w:val="000000"/>
          <w:sz w:val="13"/>
        </w:rPr>
        <w:t>2/3</w:t>
      </w:r>
      <w:r>
        <w:rPr>
          <w:rFonts w:ascii="Times New Roman;serif" w:hAnsi="Times New Roman;serif"/>
          <w:b w:val="false"/>
          <w:color w:val="000000"/>
          <w:sz w:val="20"/>
        </w:rPr>
        <w:t>%) of the voting power of all of the then-outstanding shares of capital stock of Blaize entitled to thereon, voting together as a single class: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provisions regarding the two classes of capital stock of Blaize and the designations and the powers, privileges and rights, and the qualifications, limitations or restrictions thereof in respect of each class of capital stock;</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provisions regarding the management of Blaize, the size of our Board, the election and removal of directors to our Board, the filling of vacancies, preferred stockholder election rights, and bylaw amendments;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provisions regarding the actions of stockholders of Blaize, advance notice of business to be brought by stockholders and special meetings of stockholders;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provisions regarding the limited liability of directors or officers of Blaize;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provisions regarding the indemnification of the current and former officers, directors, employees and agents of Blaize;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provisions regarding exclusive forums for certain actions;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provisions regarding amending our certificate of incorporation.</w:t>
      </w:r>
    </w:p>
    <w:p>
      <w:pPr>
        <w:pStyle w:val="TextBody"/>
        <w:bidi w:val="0"/>
        <w:spacing w:lineRule="auto" w:line="288" w:before="0" w:after="180"/>
        <w:jc w:val="left"/>
        <w:rPr/>
      </w:pPr>
      <w:r>
        <w:rPr>
          <w:rFonts w:ascii="Times New Roman;serif" w:hAnsi="Times New Roman;serif"/>
          <w:b w:val="false"/>
          <w:color w:val="000000"/>
          <w:sz w:val="20"/>
        </w:rPr>
        <w:t>Subject to our certificate of incorporation, our Board is expressly empowered to adopt, amend or repeal our bylaws. The stockholders also shall have power to adopt, amend or repeal our bylaws; provided, however, that, in addition to any vote of the holders of any class or series of stock of Blaize required by applicable law or by our certificate of incorporation (including any certificate of designation relating to any series of preferred stock), such action by stockholders shall require the affirmative vote of the holders of sixty-six and two-thirds percent (66</w:t>
      </w:r>
      <w:r>
        <w:rPr>
          <w:rFonts w:ascii="Times New Roman;serif" w:hAnsi="Times New Roman;serif"/>
          <w:b w:val="false"/>
          <w:color w:val="000000"/>
          <w:sz w:val="13"/>
        </w:rPr>
        <w:t>2/3</w:t>
      </w:r>
      <w:r>
        <w:rPr>
          <w:rFonts w:ascii="Times New Roman;serif" w:hAnsi="Times New Roman;serif"/>
          <w:b w:val="false"/>
          <w:color w:val="000000"/>
          <w:sz w:val="20"/>
        </w:rPr>
        <w:t>%) of the voting power of all of the then-outstanding shares of the capital stock of Blaize entitled to vote thereon, voting together as a single class.</w:t>
      </w:r>
    </w:p>
    <w:p>
      <w:pPr>
        <w:pStyle w:val="TextBody"/>
        <w:bidi w:val="0"/>
        <w:spacing w:before="0" w:after="18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Limitations on Liability and Indemnification of Officers and Directors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certificate of incorporation limits the liability of the directors and officers of Blaize to the fullest extent permitted by law, and our bylaws provide that we will indemnify them to the fullest extent permitted by such law. We have entered and expect to continue to enter into agreements to indemnify our directors, executive officers and other employees as determined by our Board.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Under the terms of such indemnification agreements, we are required to, among other things, indemnify each of our directors and officers for certain expenses, including attorneys’ fees, judgments, fines, ERISA excise taxes or penalties and settlement amounts, to the fullest extent permitted by applicable law, if the basis of the indemnitee’s involvement was by reason of the fact that the indemnitee, or a person for whom he or she is the legal representative, is or was a director or officer of Blaize or any of its subsidiaries or is or was serving at our request as a director, officer, employee or agent for another entity. The indemnification agreements also require us, to the fullest extent not prohibited by law and if so requested, to advance within thirty (30) days of such request all expenses that any of the indemnitees incurred, provided that such indemnitee will return any such advance if it is ultimately determined that such indemnitee is not entitled to indemnification by us. Any claims for indemnification by our directors and officers may reduce our available funds to satisfy successful third-party claims against us and may reduce the amount of money available to us.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Exclusive Forum of Certain Actions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Under our certificate of incorporation, unless we consent in writing to the selection of an alternative forum, the Court of Chancery of the State of Delaware (or, in the event that the Court of Chancery of the State of Delaware does not have jurisdiction, the federal district court for the District of Delaware or other state courts of the State of Delaware) and any appellate court therefrom shall be the sole and exclusive forum for the following claims or causes of action under Delaware statutory or common law: (A) any derivative action, suit or proceeding brought on behalf of Blaize; (B) any action, suit or proceeding asserting a claim of breach of a fiduciary duty owed by any director, officer or stockholder of Blaize, to Blaize or its stockholders; (C) any action, suit or proceeding arising out of or pursuant to any provision of the DGCL, our certificate of incorporation or our bylaws; and (D) any action, suit or proceeding asserting a claim against Blaize governed by the internal affairs doctrine, in all cases to the fullest extent permitted by law. Unless we consent in writing to the selection of an alternative forum, to the fullest extent permitted by applicable law, the federal district courts of the United States of America shall be the exclusive forum for the resolution of any complaint asserting a cause of action arising under the Securities Act, including all causes of action asserted against any defendant named in such complaint.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Section 27 of the Exchange Act creates exclusive federal jurisdiction over all suits brought to enforce any duty or liability created by the Exchange Act or the rules and regulations thereunder. As a result, this provision will not apply to claims or suits brought to enforce any duty or liability created by the Exchange Act or any other claim for which the federal courts have exclusive jurisdiction. Any person or entity holding, owning or otherwise acquiring any interest in any security of Blaize shall be deemed to have notice of and consented to the provisions of our certificate of incorporation.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Warrants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Public Warrants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Upon the consummation of the Merger, BurTech’s 28,750,000 legacy public warrants issued in BurTech’s initial public offering and 898,250 legacy private warrants outstanding immediately prior to the Merger became warrants to purchase the Company’s common stock. All of these warrants are now public warrants (each, a “Public Warrant”) and trade under the ticker symbol “BZAIW”.</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Each Public Warrant entitles the registered holder to purchase one share of Common Stock at a price of $11.50 per share, subject to adjustment as discussed below. Pursuant to the warrant agreement, a Public Warrant holder may exercise its Public Warrants only for a whole number of shares of Common Stock. This means that only a whole Public Warrant may be exercised at any given time by a Public Warrant holder, and only whole Public Warrants will </w:t>
      </w:r>
    </w:p>
    <w:p>
      <w:pPr>
        <w:pStyle w:val="TextBody"/>
        <w:bidi w:val="0"/>
        <w:spacing w:before="0" w:after="18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trade. The Public Warrants will expire five years after the Closing, at 5:00 p.m., New York City time, or earlier upon redemption or liquidation.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will not be obligated to deliver any shares of Common Stock pursuant to the exercise of a Public Warrant and will have no obligation to settle such Public Warrant exercise unless a registration statement under the Securities Act with respect to the shares of Common Stock underlying the Public Warrants is then effective and a prospectus relating thereto is current, subject to us satisfying our obligations described below with respect to registration. No Public Warrant will be exercisable and we will not be obligated to issue shares of Common Stock upon exercise of a Public Warrant unless Common Stock issuable upon such Public Warrant exercise has been registered, qualified or deemed to be exempt under the securities laws of the state of residence of the registered holder of the Public Warrants.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no event will we be required to net cash settle any warrant.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Redemption of Public Warrants when the price per share of Common Stock equals or exceeds $18.00</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call the Public Warrants for redemption for cash:</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 whole and not in part;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at a price of $0.01 per Public Warrant;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upon not less than 30 days’ prior written notice of redemption given after the Public Warrants become exercisable (the “30-day redemption period”) to each Public Warrant holder;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and only if, the reported last sale price of Common Stock equals or exceeds $18.00 per share (as adjusted for stock splits, stock capitalizations, reorganizations, recapitalizations and the like) for any 20 trading days within a 30-trading day period commencing once the Public Warrants become exercisable and ending three business days before we send the notice of redemption to the Public Warrant holders;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and only if, there is a current registration statement in effect with respect to the shares of Common Stock underlying such Warrants.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have established the last of the redemption criteria discussed above to prevent a redemption call unless there is at the time of the call a significant premium to the Public Warrant exercise price. If the foregoing conditions are satisfied and we issue a notice of redemption of the Public Warrants, each Public Warrant holder will be entitled to exercise its Public Warrant prior to the scheduled redemption date. However, the price of Common Stock may stay below the $18.00 redemption trigger price (as adjusted for stock splits, stock dividends, reorganizations, recapitalizations and the like) as well as the $11.50 (for whole shares) warrant exercise price after the redemption notice is issued.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If we call the Public Warrants for redemption as described above, we will have the option to require any holder that wishes to exercise its Public Warrant to do so on a “cashless basis.” In determining whether to require all holders to exercise their Public Warrants on a “cashless basis,” we will consider, among other factors, our cash position, the number of Public Warrants that are outstanding and the dilutive effect on our stockholders of issuing the maximum number of shares of Common Stock issuable upon the exercise of the Public Warrants. If we take advantage of this option, all holders of Public Warrants would pay the exercise price by surrendering their Public Warrants for that number of shares of Common Stock equal to the quotient obtained by dividing (x) the product of the number of shares of Common Stock underlying the Public Warrants, multiplied by the difference between exercise price of the Price Warrants and the “fair market value” of Common Stock (defined below) by (y) the fair market value. The “fair market value” means the average reported last sale price of Common Stock for the 5 trading days ending on the third trading day prior to the date on which the notice of redemption is sent to the holders of Public Warrants. If we take advantage of this option, the notice of redemption will contain the information necessary to calculate the number of shares of Common Stock to be received upon exercise of the Public Warrants, including </w:t>
      </w:r>
    </w:p>
    <w:p>
      <w:pPr>
        <w:pStyle w:val="TextBody"/>
        <w:bidi w:val="0"/>
        <w:spacing w:before="0" w:after="18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“fair market value” in such case. Requiring a cashless exercise in this manner will reduce the number of shares to be issued and thereby lessen the dilutive effect of a Public Warrant redemption.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Redemption Procedures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 holder of a Public Warrant may notify us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9.8% of Common Stock outstanding immediately after giving effect to such exercise.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Anti-Dilution Adjustments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the number of outstanding shares of Common Stock is increased by a capitalization or share dividend payable in Common Stock, or by a split-up of shares of Common Stock or other similar event, then, on the effective date of such stock dividend, split-up or similar event, the number of shares of Common Stock issuable on exercise of each whole Public Warrant will be increased in proportion to such increase in the outstanding ordinary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the number of outstanding shares of Common Stock is decreased by a consolidation, combination, reverse stock split or reclassification of shares of Common Stock or other similar event, then, on the effective date of such consolidation, combination, reverse stock split, reclassification or similar event, the number of shares of Common Stock issuable on exercise of each Public Warrant will be decreased in proportion to such decrease in outstanding shares of Common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Whenever the number of shares of Common Stock purchasable upon the exercise of the Public Warrants is adjusted, as described above, the Public Warrant exercise price will be adjusted by multiplying the Public Warrant exercise price immediately prior to such adjustment by a fraction (x) the numerator of which will be the number of shares of Common Stock purchasable upon the exercise of the Public Warrants immediately prior to such adjustment, and (y) the denominator of which will be the number of shares of Common Stock so purchasable immediately thereafter.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case of any reclassification or reorganization of the outstanding shares of Common Stock (other than those described above or that solely affects the par value of such shares of Common Stock), or in the case of any merger or consolidation of Blaize with or into another corporation (other than a consolidation or merger in which Blaize is the continuing corporation and that does not result in any reclassification or reorganization of the outstanding shares of Common Stock), or in the case of any sale or conveyance to another corporation or entity of the assets or other property of Blaize as an entirety or substantially as an entirety in connection with which Blaize is dissolved, the holders of the Public Warrants will thereafter have the right to purchase and receive, upon the basis and upon the terms and conditions specified in the Public Warrants and in lieu of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Other Terms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Public Warrants are issued in registered form under a warrant agreement between Continental Stock Transfer &amp; Trust Company, as warrant agent, and Blaize. The warrant agreement provides that the terms of the Public Warrants may be amended without the consent of any holder to cure any ambiguity or correct any defective provision, but requires the approval by the holders of at least a majority of the then outstanding Public Warrants to make any change that adversely affects the interests of the registered holders of Public Warrants.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Blaize, for the number of Public Warrants being exercised. The Public Warrant holders do not have the rights or privileges of holders of Common Stock and any voting rights </w:t>
      </w:r>
    </w:p>
    <w:p>
      <w:pPr>
        <w:pStyle w:val="TextBody"/>
        <w:bidi w:val="0"/>
        <w:spacing w:before="0" w:after="18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until they exercise their Public Warrants and receive Common Stock. After the issuance of Common Stock upon exercise of the Public Warrants, each holder will be entitled to one vote for each share held of record on all matters to be voted on by stockholders.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 fractional shares will be issued upon exercise of the Public Warrants. If, upon exercise of the Public Warrants, a holder would be entitled to receive a fractional interest in a share, we will, upon exercise, round up to the nearest whole number of shares of Common Stock to be issued to the warrant holder.</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Transfer Agent and Warrant Agent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transfer agent for our Common Stock and warrant agent for the Public Warrants is Continental Stock Transfer &amp; Trust Company.</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Trading Symbols and Market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Common Stock and Public Warrants are listed on the Nasdaq Global Market under the symbol “BZAI” and “BZAIW,”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DESCRIPTION OF DEBT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debt securities will be issued under an indenture between us and a trustee.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used in this section only, “Blaize,” “we,” “our” or “us” refer to Blaize Holdings, Inc., excluding our subsidiaries, unless expressly stated or the context otherwise requires.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title and ranking of the debt securities (including the terms of any subordination provisions);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price or prices (expressed as a percentage of the principal amount) at which we will sell the debt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limit on the aggregate principal amount of the debt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date or dates on which the principal of the securities of the series is payable;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period or periods within which, the price or prices at which and the terms and conditions upon which we may redeem the debt securities;</w:t>
      </w:r>
    </w:p>
    <w:p>
      <w:pPr>
        <w:pStyle w:val="TextBody"/>
        <w:bidi w:val="0"/>
        <w:spacing w:before="0" w:after="18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dates on which and the price or prices at which we will repurchase debt securities at the option of the holders of debt securities and other detailed terms and provisions of these repurchase obligations;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denominations in which the debt securities will be issued, if other than denominations of $1,000 and any integral multiple thereof;</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whether the debt securities will be issued in the form of certificated debt securities or global debt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portion of principal amount of the debt securities payable upon declaration of acceleration of the maturity date, if other than the principal amount;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designation of the currency, currencies or currency units in which payment of principal of, and premium and interest on, the debt securities will be made;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payments of principal of, or premium or interest on, the debt securities will be made in one or more currencies or currency units other than that or those in which the debt securities are denominated, the manner in which the exchange rate with respect to these payments will be determined;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manner in which the amounts of payment of principal of, or premium, if any, or interest on, the debt securities will be determined, if these amounts may be determined by reference to an index based on a currency or currencies or by reference to a commodity, commodity index, stock exchange index or financial index;</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provisions relating to any security provided for the debt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addition to, deletion of or change in the covenants described in this prospectus or in the indenture with respect to the debt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depositaries, interest rate calculation agents, exchange rate calculation agents or other agents with respect to the debt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whether any of our direct or indirect subsidiaries will guarantee the debt securities of that series, including the terms of subordination, if any, of such guarantees.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may issue debt securities that provide for an amount less than their stated principal amount to be due and payable upon declaration of acceleration of their maturity pursuant to the terms of the indenture. We will provide </w:t>
      </w:r>
    </w:p>
    <w:p>
      <w:pPr>
        <w:pStyle w:val="TextBody"/>
        <w:bidi w:val="0"/>
        <w:spacing w:before="0" w:after="18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you with information on certain U.S. federal income tax considerations and other special considerations applicable to any of these debt securities in the applicable prospectus supplement.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certain U.S. federal income tax considerations, specific terms and other information with respect to that issue of debt securities and such foreign currency or currencies or foreign currency unit or units in the applicable prospectus supplement.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Transfer and Exchange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Each debt security will be represented by either one or more global securities registered in the name of The Depository Trust Company, or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Certificated Debt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You may effect the transfer of certificated debt securities and the right to receive the principal of, and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Global Debt Securities and Book-Entry System</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Each global debt security representing book-entry debt securities will be deposited with, or on behalf of, the Depositary, and registered in the name of the Depositary or a nominee of the Depositary. Please see “Global Securities.”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Covenants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will set forth in the applicable prospectus supplement any restrictive covenants applicable to any issue of debt securities.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 Protection in the Event of a Change in Control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Consolidation, Merger and Sale of Assets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not consolidate with or merge with or into, or convey, transfer or lease all or substantially all of our properties and assets to, any person (a “successor person”) unless: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are the surviving corporation or the successor person (if other than Blaize) is a corporation organized and validly existing under the laws of any U.S. domestic jurisdiction and expressly assumes our obligations on the debt securities and under the indenture; and</w:t>
      </w:r>
    </w:p>
    <w:p>
      <w:pPr>
        <w:pStyle w:val="TextBody"/>
        <w:bidi w:val="0"/>
        <w:spacing w:before="0" w:after="18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immediately after giving effect to the transaction, no Default or Event of Default, shall have occurred and be continuing.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Notwithstanding the above, any of our subsidiaries may consolidate with, merge into or transfer all or part of its properties to us.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Events of Default</w:t>
      </w:r>
    </w:p>
    <w:p>
      <w:pPr>
        <w:pStyle w:val="TextBody"/>
        <w:bidi w:val="0"/>
        <w:spacing w:lineRule="auto" w:line="288" w:before="0" w:after="180"/>
        <w:jc w:val="left"/>
        <w:rPr>
          <w:color w:val="000000"/>
        </w:rPr>
      </w:pPr>
      <w:r>
        <w:rPr>
          <w:color w:val="000000"/>
        </w:rPr>
        <w:t>“</w:t>
      </w:r>
      <w:r>
        <w:rPr>
          <w:rFonts w:ascii="Times New Roman;serif" w:hAnsi="Times New Roman;serif"/>
          <w:b w:val="false"/>
          <w:color w:val="000000"/>
          <w:sz w:val="20"/>
        </w:rPr>
        <w:t>Event of Default” means, with respect to any series of debt securities, any of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default in the payment of principal of any security of that series at its maturity;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Blaize and the trustee receives written notice from the holders of not less than 25% in principal amount of the outstanding debt securities of that series as provided in the indenture;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certain voluntary or involuntary events of bankruptcy, insolvency or reorganization of Blaize;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other Event of Default provided with respect to debt securities of that series that is described in the applicable prospectus supplement.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an Event of Default with respect to debt securities of any series at the time outstanding occurs and is continuing (other than an Event of Default resulting from certain events of bankruptcy, insolvency or reorganization),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w:t>
      </w:r>
    </w:p>
    <w:p>
      <w:pPr>
        <w:pStyle w:val="TextBody"/>
        <w:bidi w:val="0"/>
        <w:spacing w:before="0" w:after="18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 holder of any debt security of any series will have any right to institute any proceeding, judicial or otherwise, with respect to the indenture or for the appointment of a receiver or trustee, or for any remedy under the indenture, unless: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that holder has previously given to the trustee written notice of a continuing Event of Default with respect to debt securities of that series;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Notwithstanding any other provision in the indenture, the holder of any debt security will have an absolute and unconditional right to receive payment of the principal of, and premium and any interest on, that debt security on or after the due dates expressed in that debt security and to institute suit for the enforcement of payment.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mail to each 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Modification and Waiver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and the trustee may modify, amend or supplement the indenture or the debt securities of any series without the consent of any holder of any debt security: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cure any ambiguity, defect or inconsistency;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comply with covenants in the indenture described above under the heading “Consolidation, Merger and Sale of Assets”;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provide for uncertificated securities in addition to or in place of certificated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add guarantees with respect to debt securities of any series or secure debt securities of any series;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surrender any of our rights or powers under the indenture;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add covenants or events of default for the benefit of the holders of debt securities of any series;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comply with the applicable procedures of the applicable depositary;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make any change that does not adversely affect the rights of any holder of debt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provide for the issuance of and establish the form and terms and conditions of debt securities of any series as permitted by the indenture;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effect the appointment of a successor trustee with respect to the debt securities of any series and to add to or change any of the provisions of the indenture to provide for or facilitate administration by more than one trustee; or</w:t>
      </w:r>
    </w:p>
    <w:p>
      <w:pPr>
        <w:pStyle w:val="TextBody"/>
        <w:bidi w:val="0"/>
        <w:spacing w:before="0" w:after="18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comply with requirements of the SEC in order to effect or maintain the qualification of the indenture under the Trust Indenture Act of 1939, as amended.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reduce the amount of debt securities whose holders must consent to an amendment, supplement or waiver;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reduce the rate of or extend the time for payment of interest (including default interest) on any debt security;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reduce the principal of or premium on or change the fixed maturity of any debt security or reduce the amount of, or postpone the date fixed for, the payment of any sinking fund or analogous obligation with respect to any series of debt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reduce the principal amount of discount securities payable upon acceleration of maturity;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waive a default in the payment of the principal of, or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make the principal of or premium or interest on any debt security payable in currency other than that stated in the debt security;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make any change to certain provisions of the indenture relating to, among other things, the right of holders of debt securities to receive payment of the principal of, and premium and interest on, those debt securities and to institute suit for the enforcement of any such payment and to waivers or amendments;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waive a redemption payment with respect to any debt security.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or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Defeasance of Debt Securities and Certain Covenants in Certain Circumstances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Legal Defeasance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indenture provides that, unless otherwise provided by the terms of the applicable series 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w:t>
      </w:r>
    </w:p>
    <w:p>
      <w:pPr>
        <w:pStyle w:val="TextBody"/>
        <w:bidi w:val="0"/>
        <w:spacing w:before="0" w:after="18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Defeasance of Certain Covenants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indenture provides that, unless otherwise provided by the terms of the applicable series of debt securities, upon compliance with certain conditions: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omission to comply with those covenants will not constitute a Default or an Event of Default with respect to the debt securities of that series (“covenant defeasance”).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conditions include: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delivering to the trustee an opinion of counsel to the effect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 Personal Liability of Directors, Officers, Employees or Securityholders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Governing Law</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indenture and the debt securities, including any claim or controversy arising out of or relating to the indenture or the securities, will be governed by the laws of the State of New York.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pStyle w:val="TextBody"/>
        <w:bidi w:val="0"/>
        <w:spacing w:before="0" w:after="18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DESCRIPTION OF WARRANTS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issue warrants for the purchase of shares of our common stock or preferred stock or of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are subject to, and qualified in their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particular terms of any issue of warrants will be described in the prospectus supplement relating to the issue. Those terms may include: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number of shares of common stock or preferred stock purchasable upon the exercise of warrants to purchase such shares and the price at which such number of shares may be purchased upon such exercise;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designation, stated value and terms (including, without limitation, liquidation, dividend, conversion and voting rights) of the series of preferred stock purchasable upon exercise of warrants to purchase preferred stock;</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principal amount of debt securities that may be purchased upon exercise of a debt warrant and the exercise price for the warrants, which may be payable in cash, securities or other property;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date, if any, on and after which the warrants and the related debt securities, preferred stock or common stock will be separately transferable;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terms of any rights to redeem or call the warrants;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date on which the right to exercise the warrants will commence and the date on which the right will expire;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discussion of certain United States federal income tax considerations applicable to the warrants;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additional terms of the warrants, including terms, procedures, and limitations relating to the exchange, exercise and settlement of the warrants.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Holders of equity warrants will not be entitled: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vote, consent or receive dividends;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receive notice as shareholders with respect to any meeting of shareholders for the election of our directors or any other matter;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exercise any rights as shareholders of the Company.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Each warrant will entitle its holder to purchase the principal amount of debt securities or the number of shares of preferred stock or common stock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 holder of warrant certificates may exchange them for new warrant certificates of different denominations, present them for registration of transfer and exercise them at the corporate trust office of the warrant agent or any other office indicated in the applicable prospectus supplement. Until any warrants to purchase debt securities are exercised, the holder of the warrants will not have any rights of holders of the debt securities that can be purchased </w:t>
      </w:r>
    </w:p>
    <w:p>
      <w:pPr>
        <w:pStyle w:val="TextBody"/>
        <w:bidi w:val="0"/>
        <w:spacing w:before="0" w:after="18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upon exercise, including any rights to receive payments of principal of, or premium or interest on, the underlying debt securities or to enforce covenants in the applicable indenture. Until any warrants to purchase common stock or preferred stock are exercised, the holders of the warrants will not have any rights of holders of the underlying common stock or preferred stock, including any rights to receive dividends or payments upon any liquidation, dissolution or winding up on the common stock or preferred stock, if 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DESCRIPTION OF RIGHTS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issue rights to purchase our common stock. The rights may or may not be transferable by the persons purchasing or receiving the rights. In connection with any rights offering, we may enter into a standby underwriting or other arrangement with one or more underwriters or other persons pursuant to which such underwriters or other persons would purchase any offered securities remaining unsubscribed for after such rights offering. Each series of rights will be issued under a separate rights agent agreement to be entered into between us and one or more banks, trust companies or other financial institutions, as rights agent, that we will name in the applicable prospectus supplement. The rights agent will act solely as our agent in connection with the rights and will not assume any obligation or relationship of agency or trust for or with any holders of rights certificates or beneficial owners of rights.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prospectus supplement and any incorporated documents relating to any rights that we offer will include specific terms relating to the offering, including, among other matters: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date of determining the security holders entitled to the rights distribution;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aggregate number of rights issued and the aggregate number of shares of common stock purchasable upon exercise of the rights;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exercise price;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conditions to completion of the rights offering;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date on which the right to exercise the rights will commence and the date on which the rights will expire;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discussion of certain United States federal income tax consequences applicable to the rights offering.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Each right would entitle the holder of the rights to purchase for cash shares of common stock at the exercise price set forth in the applicable prospectus supplement. Rights may be exercised at any time up to the close of business on the expiration date for the rights provided in the applicable prospectus supplement. After the close of business on the expiration date, all unexercised rights will become void.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less than all of the rights issued in any rights offering are exercised, we may offer any unsubscribed securities directly to persons other than our security holders, to or through agents, underwriters or dealers or through a combination of such methods, including pursuant to standby arrangements, as described in the applicable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DESCRIPTION OF UNITS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description, together with the additional information included in any applicable prospectus supplement, summarizes the general features of the units that we may offer under this prospectus. You should read any prospectus supplement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we offer any units, certain terms of that series of units will be described in the applicable prospectus supplement, including, without limitation, the following, as applicable: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title of the series of units;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identification and description of the separate constituent securities comprising the units;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price or prices at which the units will be issued;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date, if any, on and after which the constituent securities comprising the units will be separately transferable;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discussion of certain United States federal income tax considerations applicable to the units;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other terms of the units and their constituent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GLOBAL SECURITIES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Book-Entry, Delivery and Form</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DTC has advised us that it is: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limited-purpose trust company organized under the New York Banking Law;</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“banking organization” within the meaning of the New York Banking Law;</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member of the Federal Reserve System;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“clearing corporation” within the meaning of the New York Uniform Commercial Code;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“clearing agency” registered pursuant to the provisions of Section 17A of the Exchange Act.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w:t>
      </w:r>
    </w:p>
    <w:p>
      <w:pPr>
        <w:pStyle w:val="TextBody"/>
        <w:bidi w:val="0"/>
        <w:spacing w:before="0" w:after="18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respect of the securities and the indenture may be delivered to us and where certificated securities may be surrendered for payment, registration of transfer or exchange.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laws of some jurisdictions may require that some purchasers of securities take physical delivery of securities in definitive form. Those laws may impair the ability to transfer or pledge beneficial interests in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noted above, beneficial owners of a particular series of securities generally will not receive certificates representing their ownership interests in those securities. However, if:</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t>
      </w:r>
    </w:p>
    <w:p>
      <w:pPr>
        <w:pStyle w:val="TextBody"/>
        <w:bidi w:val="0"/>
        <w:spacing w:before="0" w:after="18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8"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within 90 days of the notification to us or of our becoming aware of DTC’s ceasing to be so registered, as the case may be;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determine, in our sole discretion, not to have such securities represented by one or more global securities;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 Event of Default has occurred and is continuing with respect to such series of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Euroclear and Clearstream</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 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Participants in Euroclear or Clearstream may not deliver instructions directly to their respective U.S. depositaries.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w:t>
      </w:r>
    </w:p>
    <w:p>
      <w:pPr>
        <w:pStyle w:val="TextBody"/>
        <w:bidi w:val="0"/>
        <w:spacing w:before="0" w:after="18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9"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Other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0"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PLAN OF DISTRIBUTION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sell the securities from time to time pursuant to underwritten public offerings, negotiated transactions, block trades or a combination of these methods or through underwriters or dealers, through agents and/or directly to one or more purchasers. The securities may be distributed from time to time in one or more transactions: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at a fixed price or prices, which may be changed;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at market prices prevailing at the time of sale;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at prices related to such prevailing market prices;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at negotiated prices.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Any common stock will be listed on Nasdaq,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w:t>
      </w:r>
    </w:p>
    <w:p>
      <w:pPr>
        <w:pStyle w:val="TextBody"/>
        <w:bidi w:val="0"/>
        <w:spacing w:before="0" w:after="18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1"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of these transactions may be to stabilize or maintain the market price of the securities at a level above that which might otherwise prevail in the open market. These transactions may be discontinued at any time.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specific terms of any lock-up provisions in respect of any given offering will be described in the applicable prospectus supplement.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underwriters, dealers and agents may engage in transactions with us, or perform services for us, in the ordinary course of business for which they receive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2"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LEGAL MATTERS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validity of the issuance of securities offered hereby will be passed upon for us by Faegre Drinker Biddle &amp; Reath LLP. Certain legal matters in connection with the securities offered hereby may be passed upon for any underwriters, dealers or agents by counsel named in the applicable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EXPERTS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consolidated financial statements of Blaize, Inc. and Subsidiaries as of December 31, 2024 and 2023, and for each of the years in the two-year period ended December 31, 2024 incorporated into this prospectus by reference in this Registration Statement, have been audited by UHY LLP, an independent registered public accounting firm, as set forth in their report (which contains an explanatory paragraph relating to Blaize Inc.’s ability to continue as a going concern), which is incorporated herein by reference. Such consolidated financial statements are incorporated by reference in reliance upon the report of such firm given their authority as experts in accounting and auditing.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consolidated financial statements of Blaize Holdings, Inc. as of December 31, 2024 and 2023, and for each of the years in the two-year period ended December 31 2024 incorporated into this prospectus by reference in this Registration Statement, have been audited by Marcum LLP, an independent registered public accounting firm, as set forth in their report thereon (which contains an explanatory paragraph relating to substantial doubt about the ability of Blaize Holdings, Inc. to continue as a going concern as described in Note 1 to the financial statements), which is incorporated herein by reference in reliance on the report of such firm given upon their authority as experts in accounting and auditing.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3"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612"/>
        <w:jc w:val="center"/>
        <w:rPr/>
      </w:pPr>
      <w:r>
        <w:rPr/>
        <w:drawing>
          <wp:inline distT="0" distB="0" distL="0" distR="0">
            <wp:extent cx="2000250" cy="676275"/>
            <wp:effectExtent l="0" t="0" r="0" b="0"/>
            <wp:docPr id="6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3" descr=""/>
                    <pic:cNvPicPr>
                      <a:picLocks noChangeAspect="1" noChangeArrowheads="1"/>
                    </pic:cNvPicPr>
                  </pic:nvPicPr>
                  <pic:blipFill>
                    <a:blip r:embed="rId27"/>
                    <a:stretch>
                      <a:fillRect/>
                    </a:stretch>
                  </pic:blipFill>
                  <pic:spPr bwMode="auto">
                    <a:xfrm>
                      <a:off x="0" y="0"/>
                      <a:ext cx="2000250" cy="676275"/>
                    </a:xfrm>
                    <a:prstGeom prst="rect">
                      <a:avLst/>
                    </a:prstGeom>
                  </pic:spPr>
                </pic:pic>
              </a:graphicData>
            </a:graphic>
          </wp:inline>
        </w:drawing>
      </w:r>
    </w:p>
    <w:p>
      <w:pPr>
        <w:pStyle w:val="TextBody"/>
        <w:bidi w:val="0"/>
        <w:spacing w:lineRule="auto" w:line="288" w:before="0" w:after="240"/>
        <w:jc w:val="center"/>
        <w:rPr>
          <w:rFonts w:ascii="Times New Roman;serif" w:hAnsi="Times New Roman;serif"/>
          <w:b/>
          <w:color w:val="000000"/>
          <w:sz w:val="36"/>
        </w:rPr>
      </w:pPr>
      <w:r>
        <w:rPr>
          <w:rFonts w:ascii="Times New Roman;serif" w:hAnsi="Times New Roman;serif"/>
          <w:b/>
          <w:color w:val="000000"/>
          <w:sz w:val="36"/>
        </w:rPr>
        <w:t>Blaize Holdings, Inc.</w:t>
      </w:r>
    </w:p>
    <w:p>
      <w:pPr>
        <w:pStyle w:val="TextBody"/>
        <w:bidi w:val="0"/>
        <w:spacing w:lineRule="auto" w:line="288" w:before="0" w:after="240"/>
        <w:jc w:val="center"/>
        <w:rPr>
          <w:color w:val="000000"/>
        </w:rPr>
      </w:pPr>
      <w:r>
        <w:rPr>
          <w:color w:val="000000"/>
        </w:rPr>
        <w:t>                </w:t>
      </w:r>
      <w:r>
        <w:rPr>
          <w:rFonts w:ascii="Times New Roman;serif" w:hAnsi="Times New Roman;serif"/>
          <w:b/>
          <w:color w:val="000000"/>
          <w:sz w:val="28"/>
        </w:rPr>
        <w:t>Shares of Common Stock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0"/>
        <w:jc w:val="center"/>
        <w:rPr>
          <w:rFonts w:ascii="Times New Roman;serif" w:hAnsi="Times New Roman;serif"/>
          <w:b/>
          <w:color w:val="000000"/>
          <w:sz w:val="28"/>
        </w:rPr>
      </w:pPr>
      <w:r>
        <w:rPr>
          <w:rFonts w:ascii="Times New Roman;serif" w:hAnsi="Times New Roman;serif"/>
          <w:b/>
          <w:color w:val="000000"/>
          <w:sz w:val="28"/>
        </w:rPr>
        <w:t>Preliminary Prospectus Supplement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00"/>
        <w:jc w:val="center"/>
        <w:rPr>
          <w:rFonts w:ascii="Times New Roman;serif" w:hAnsi="Times New Roman;serif"/>
          <w:b w:val="false"/>
          <w:i/>
          <w:color w:val="000000"/>
          <w:sz w:val="24"/>
        </w:rPr>
      </w:pPr>
      <w:r>
        <w:rPr>
          <w:rFonts w:ascii="Times New Roman;serif" w:hAnsi="Times New Roman;serif"/>
          <w:b w:val="false"/>
          <w:i/>
          <w:color w:val="000000"/>
          <w:sz w:val="24"/>
        </w:rPr>
        <w:t>Sole Book-Running Manager</w:t>
      </w:r>
    </w:p>
    <w:tbl>
      <w:tblPr>
        <w:tblW w:w="5034" w:type="dxa"/>
        <w:jc w:val="center"/>
        <w:tblInd w:w="0" w:type="dxa"/>
        <w:tblLayout w:type="fixed"/>
        <w:tblCellMar>
          <w:top w:w="28" w:type="dxa"/>
          <w:left w:w="28" w:type="dxa"/>
          <w:bottom w:w="28" w:type="dxa"/>
          <w:right w:w="28" w:type="dxa"/>
        </w:tblCellMar>
      </w:tblPr>
      <w:tblGrid>
        <w:gridCol w:w="124"/>
        <w:gridCol w:w="109"/>
        <w:gridCol w:w="109"/>
        <w:gridCol w:w="1439"/>
        <w:gridCol w:w="1439"/>
        <w:gridCol w:w="144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36"/>
              </w:rPr>
            </w:pPr>
            <w:r>
              <w:rPr>
                <w:rFonts w:ascii="Times New Roman;serif" w:hAnsi="Times New Roman;serif"/>
                <w:b/>
                <w:color w:val="000000"/>
                <w:sz w:val="36"/>
              </w:rPr>
              <w:t>Northland Capital Markets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Co-Manager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8"/>
              </w:rPr>
            </w:pPr>
            <w:r>
              <w:rPr>
                <w:rFonts w:ascii="Times New Roman;serif" w:hAnsi="Times New Roman;serif"/>
                <w:b/>
                <w:color w:val="000000"/>
                <w:sz w:val="28"/>
              </w:rPr>
              <w:t>Benchmark, a StoneX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pPr>
      <w:r>
        <w:rPr>
          <w:color w:val="000000"/>
        </w:rPr>
        <w:t>                       </w:t>
      </w:r>
      <w:r>
        <w:rPr>
          <w:rFonts w:ascii="Times New Roman;serif" w:hAnsi="Times New Roman;serif"/>
          <w:b/>
          <w:color w:val="000000"/>
          <w:sz w:val="28"/>
        </w:rPr>
        <w:t>, 2026</w:t>
      </w:r>
    </w:p>
    <w:p>
      <w:pPr>
        <w:pStyle w:val="TextBody"/>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1871638/000187163826000011/blz-20251231.htm" TargetMode="External"/><Relationship Id="rId4" Type="http://schemas.openxmlformats.org/officeDocument/2006/relationships/hyperlink" Target="https://www.sec.gov/ix?doc=/Archives/edgar/data/0001871638/000187163826000028/blz-20251231.htm" TargetMode="External"/><Relationship Id="rId5" Type="http://schemas.openxmlformats.org/officeDocument/2006/relationships/hyperlink" Target="https://www.sec.gov/ix?doc=/Archives/edgar/data/0001871638/000187163826000001/blz-20251226.htm" TargetMode="External"/><Relationship Id="rId6" Type="http://schemas.openxmlformats.org/officeDocument/2006/relationships/hyperlink" Target="https://www.sec.gov/Archives/edgar/data/1871638/000187163826000025/blz-20260422.htm" TargetMode="External"/><Relationship Id="rId7" Type="http://schemas.openxmlformats.org/officeDocument/2006/relationships/hyperlink" Target="https://www.sec.gov/Archives/edgar/data/1871638/000110465921147615/tm2134592d3_8a12b.htm" TargetMode="External"/><Relationship Id="rId8" Type="http://schemas.openxmlformats.org/officeDocument/2006/relationships/hyperlink" Target="https://www.sec.gov/Archives/edgar/data/1871638/000095017025053870/bzai-ex4_4.htm" TargetMode="External"/><Relationship Id="rId9" Type="http://schemas.openxmlformats.org/officeDocument/2006/relationships/image" Target="media/image1.jpeg"/><Relationship Id="rId10" Type="http://schemas.openxmlformats.org/officeDocument/2006/relationships/hyperlink" Target="https://www.sec.gov/ix?doc=/Archives/edgar/data/0001871638/000095017025053870/bzai-20241231.htm" TargetMode="External"/><Relationship Id="rId11" Type="http://schemas.openxmlformats.org/officeDocument/2006/relationships/hyperlink" Target="https://www.sec.gov/ix?doc=/Archives/edgar/data/0001871638/000095017025071593/bzai-20250331.htm" TargetMode="External"/><Relationship Id="rId12" Type="http://schemas.openxmlformats.org/officeDocument/2006/relationships/hyperlink" Target="https://www.sec.gov/ix?doc=/Archives/edgar/data/0001871638/000095017025108998/bzai-20250630.htm" TargetMode="External"/><Relationship Id="rId13" Type="http://schemas.openxmlformats.org/officeDocument/2006/relationships/hyperlink" Target="https://www.sec.gov/ix?doc=/Archives/edgar/data/0001871638/000119312525280252/bzai-20250930.htm" TargetMode="External"/><Relationship Id="rId14" Type="http://schemas.openxmlformats.org/officeDocument/2006/relationships/hyperlink" Target="https://www.sec.gov/ix?doc=/Archives/edgar/data/0001871638/000110465925001763/tm252173d1_8k.htm" TargetMode="External"/><Relationship Id="rId15" Type="http://schemas.openxmlformats.org/officeDocument/2006/relationships/hyperlink" Target="https://www.sec.gov/ix?doc=/Archives/edgar/data/0001871638/000110465925002906/tm252930d1_8k.htm" TargetMode="External"/><Relationship Id="rId16" Type="http://schemas.openxmlformats.org/officeDocument/2006/relationships/hyperlink" Target="https://www.sec.gov/ix?doc=/Archives/edgar/data/0001871638/000119312525008517/d903961d8k.htm" TargetMode="External"/><Relationship Id="rId17" Type="http://schemas.openxmlformats.org/officeDocument/2006/relationships/hyperlink" Target="https://www.sec.gov/ix?doc=/Archives/edgar/data/0001871638/000119312525022705/d835470d8ka.htm" TargetMode="External"/><Relationship Id="rId18" Type="http://schemas.openxmlformats.org/officeDocument/2006/relationships/hyperlink" Target="https://www.sec.gov/ix?doc=/Archives/edgar/data/0001871638/000119312525080342/d853812d8ka.htm" TargetMode="External"/><Relationship Id="rId19" Type="http://schemas.openxmlformats.org/officeDocument/2006/relationships/hyperlink" Target="https://www.sec.gov/ix?doc=/Archives/edgar/data/0001871638/000119312525152119/d868639d8k.htm" TargetMode="External"/><Relationship Id="rId20" Type="http://schemas.openxmlformats.org/officeDocument/2006/relationships/hyperlink" Target="https://www.sec.gov/ix?doc=/Archives/edgar/data/0001871638/000119312525158997/d13627d8k.htm" TargetMode="External"/><Relationship Id="rId21" Type="http://schemas.openxmlformats.org/officeDocument/2006/relationships/hyperlink" Target="https://www.sec.gov/ix?doc=/Archives/edgar/data/0001871638/000119312525159935/d41376d8k.htm" TargetMode="External"/><Relationship Id="rId22" Type="http://schemas.openxmlformats.org/officeDocument/2006/relationships/hyperlink" Target="https://www.sec.gov/ix?doc=/Archives/edgar/data/0001871638/000119312525194046/d99229d8k.htm" TargetMode="External"/><Relationship Id="rId23" Type="http://schemas.openxmlformats.org/officeDocument/2006/relationships/hyperlink" Target="https://www.sec.gov/ix?doc=/Archives/edgar/data/0001871638/000187163825000008/blz-20251203.htm" TargetMode="External"/><Relationship Id="rId24" Type="http://schemas.openxmlformats.org/officeDocument/2006/relationships/hyperlink" Target="https://www.sec.gov/ix?doc=/Archives/edgar/data/0001871638/000187163826000001/blz-20251226.htm" TargetMode="External"/><Relationship Id="rId25" Type="http://schemas.openxmlformats.org/officeDocument/2006/relationships/hyperlink" Target="https://www.sec.gov/Archives/edgar/data/1871638/000110465921147615/tm2134592d3_8a12b.htm" TargetMode="External"/><Relationship Id="rId26" Type="http://schemas.openxmlformats.org/officeDocument/2006/relationships/hyperlink" Target="https://www.sec.gov/Archives/edgar/data/1871638/000095017025053870/bzai-ex4_4.htm" TargetMode="External"/><Relationship Id="rId27" Type="http://schemas.openxmlformats.org/officeDocument/2006/relationships/image" Target="media/image1.jpeg"/><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62</Pages>
  <Words>30030</Words>
  <Characters>159901</Characters>
  <CharactersWithSpaces>189950</CharactersWithSpaces>
  <Paragraphs>787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