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As filed with the Securities and Exchange Commission on November 19, 2021.</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 TO 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BurTech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420"/>
              <w:spacing w:after="0"/>
              <w:rPr>
                <w:sz w:val="20"/>
                <w:szCs w:val="20"/>
                <w:color w:val="auto"/>
              </w:rPr>
            </w:pPr>
            <w:r>
              <w:rPr>
                <w:rFonts w:ascii="Arial" w:cs="Arial" w:eastAsia="Arial" w:hAnsi="Arial"/>
                <w:sz w:val="18"/>
                <w:szCs w:val="18"/>
                <w:b w:val="1"/>
                <w:bCs w:val="1"/>
                <w:color w:val="auto"/>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85-2708752</w:t>
            </w:r>
          </w:p>
        </w:tc>
      </w:tr>
      <w:tr>
        <w:trPr>
          <w:trHeight w:val="195"/>
        </w:trPr>
        <w:tc>
          <w:tcPr>
            <w:tcW w:w="362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ind w:left="720"/>
              <w:spacing w:after="0"/>
              <w:rPr>
                <w:sz w:val="20"/>
                <w:szCs w:val="20"/>
                <w:color w:val="auto"/>
              </w:rPr>
            </w:pPr>
            <w:r>
              <w:rPr>
                <w:rFonts w:ascii="Arial" w:cs="Arial" w:eastAsia="Arial" w:hAnsi="Arial"/>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w:t>
      </w:r>
      <w:r>
        <w:rPr>
          <w:rFonts w:ascii="Arial" w:cs="Arial" w:eastAsia="Arial" w:hAnsi="Arial"/>
          <w:sz w:val="18"/>
          <w:szCs w:val="18"/>
          <w:color w:val="auto"/>
        </w:rPr>
        <w:t>202) 600-5757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Shahal Khan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(202) 600-5757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53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Mitchell S. Nussbaum</w:t>
            </w:r>
          </w:p>
        </w:tc>
        <w:tc>
          <w:tcPr>
            <w:tcW w:w="5320" w:type="dxa"/>
            <w:vAlign w:val="bottom"/>
          </w:tcPr>
          <w:p>
            <w:pPr>
              <w:spacing w:after="0"/>
              <w:rPr>
                <w:sz w:val="24"/>
                <w:szCs w:val="24"/>
                <w:color w:val="auto"/>
              </w:rPr>
            </w:pP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G. Alex Weniger-Araujo</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88"/>
              </w:rPr>
              <w:t>Joseph M. Lucosky, Esq.</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4"/>
              </w:rPr>
              <w:t>Loeb &amp; Loeb LLP</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92"/>
              </w:rPr>
              <w:t>Lucosky Brookman LLP</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345 Park Avenue</w:t>
            </w:r>
          </w:p>
        </w:tc>
        <w:tc>
          <w:tcPr>
            <w:tcW w:w="5320" w:type="dxa"/>
            <w:vAlign w:val="bottom"/>
          </w:tcPr>
          <w:p>
            <w:pPr>
              <w:jc w:val="center"/>
              <w:ind w:left="2550"/>
              <w:spacing w:after="0"/>
              <w:rPr>
                <w:sz w:val="20"/>
                <w:szCs w:val="20"/>
                <w:color w:val="auto"/>
              </w:rPr>
            </w:pPr>
            <w:r>
              <w:rPr>
                <w:rFonts w:ascii="Arial" w:cs="Arial" w:eastAsia="Arial" w:hAnsi="Arial"/>
                <w:sz w:val="18"/>
                <w:szCs w:val="18"/>
                <w:b w:val="1"/>
                <w:bCs w:val="1"/>
                <w:color w:val="auto"/>
                <w:w w:val="89"/>
              </w:rPr>
              <w:t>101 Wood Avenue South, 5th Floor</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New York, NY 10154</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89"/>
              </w:rPr>
              <w:t>Woodbridge, New Jersey 08830</w:t>
            </w:r>
          </w:p>
        </w:tc>
      </w:tr>
      <w:tr>
        <w:trPr>
          <w:trHeight w:val="234"/>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Telephone: (212) 407-4000</w:t>
            </w:r>
          </w:p>
        </w:tc>
        <w:tc>
          <w:tcPr>
            <w:tcW w:w="53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Telephone: (732) 395-4402</w:t>
            </w:r>
          </w:p>
        </w:tc>
      </w:tr>
    </w:tbl>
    <w:p>
      <w:pPr>
        <w:spacing w:after="0" w:line="200" w:lineRule="exact"/>
        <w:rPr>
          <w:sz w:val="24"/>
          <w:szCs w:val="24"/>
          <w:color w:val="auto"/>
        </w:rPr>
      </w:pPr>
    </w:p>
    <w:p>
      <w:pPr>
        <w:spacing w:after="0" w:line="214"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8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CALCULATION OF REGISTRATION FEE</w:t>
            </w:r>
          </w:p>
        </w:tc>
        <w:tc>
          <w:tcPr>
            <w:tcW w:w="15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3780" w:type="dxa"/>
            <w:vAlign w:val="bottom"/>
          </w:tcPr>
          <w:p>
            <w:pPr>
              <w:spacing w:after="0"/>
              <w:rPr>
                <w:sz w:val="20"/>
                <w:szCs w:val="20"/>
                <w:color w:val="auto"/>
              </w:rPr>
            </w:pPr>
            <w:r>
              <w:rPr>
                <w:rFonts w:ascii="Arial" w:cs="Arial" w:eastAsia="Arial" w:hAnsi="Arial"/>
                <w:sz w:val="18"/>
                <w:szCs w:val="18"/>
                <w:b w:val="1"/>
                <w:bCs w:val="1"/>
                <w:color w:val="auto"/>
                <w:w w:val="91"/>
              </w:rPr>
              <w:t>Title of Each Class of Security Being Registered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Proposed</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Proposed</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7"/>
              </w:rPr>
              <w:t>Being</w:t>
            </w: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Registration</w:t>
            </w:r>
          </w:p>
        </w:tc>
      </w:tr>
      <w:tr>
        <w:trPr>
          <w:trHeight w:val="398"/>
        </w:trPr>
        <w:tc>
          <w:tcPr>
            <w:tcW w:w="37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Offering</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c>
          <w:tcPr>
            <w:tcW w:w="1420" w:type="dxa"/>
            <w:vAlign w:val="bottom"/>
          </w:tcPr>
          <w:p>
            <w:pPr>
              <w:jc w:val="center"/>
              <w:ind w:left="450"/>
              <w:spacing w:after="0"/>
              <w:rPr>
                <w:sz w:val="20"/>
                <w:szCs w:val="20"/>
                <w:color w:val="auto"/>
              </w:rPr>
            </w:pPr>
            <w:r>
              <w:rPr>
                <w:rFonts w:ascii="Arial" w:cs="Arial" w:eastAsia="Arial" w:hAnsi="Arial"/>
                <w:sz w:val="18"/>
                <w:szCs w:val="18"/>
                <w:b w:val="1"/>
                <w:bCs w:val="1"/>
                <w:color w:val="auto"/>
                <w:w w:val="80"/>
              </w:rPr>
              <w:t>Fee</w:t>
            </w:r>
            <w:r>
              <w:rPr>
                <w:rFonts w:ascii="Arial" w:cs="Arial" w:eastAsia="Arial" w:hAnsi="Arial"/>
                <w:sz w:val="29"/>
                <w:szCs w:val="29"/>
                <w:b w:val="1"/>
                <w:bCs w:val="1"/>
                <w:color w:val="auto"/>
                <w:w w:val="80"/>
                <w:vertAlign w:val="superscript"/>
              </w:rPr>
              <w:t>(5)</w:t>
            </w:r>
          </w:p>
        </w:tc>
      </w:tr>
    </w:tbl>
    <w:p>
      <w:pPr>
        <w:sectPr>
          <w:pgSz w:w="11900" w:h="16838" w:orient="portrait"/>
          <w:cols w:equalWidth="0" w:num="1">
            <w:col w:w="11240"/>
          </w:cols>
          <w:pgMar w:left="320" w:top="476"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Price per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Offering</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1"/>
        </w:trPr>
        <w:tc>
          <w:tcPr>
            <w:tcW w:w="3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right"/>
              <w:ind w:right="500"/>
              <w:spacing w:after="0" w:line="271" w:lineRule="exact"/>
              <w:rPr>
                <w:sz w:val="20"/>
                <w:szCs w:val="20"/>
                <w:color w:val="auto"/>
              </w:rPr>
            </w:pPr>
            <w:r>
              <w:rPr>
                <w:rFonts w:ascii="Arial" w:cs="Arial" w:eastAsia="Arial" w:hAnsi="Arial"/>
                <w:sz w:val="18"/>
                <w:szCs w:val="18"/>
                <w:b w:val="1"/>
                <w:bCs w:val="1"/>
                <w:color w:val="auto"/>
                <w:w w:val="97"/>
              </w:rPr>
              <w:t>Security</w:t>
            </w:r>
            <w:r>
              <w:rPr>
                <w:rFonts w:ascii="Arial" w:cs="Arial" w:eastAsia="Arial" w:hAnsi="Arial"/>
                <w:sz w:val="29"/>
                <w:szCs w:val="29"/>
                <w:b w:val="1"/>
                <w:bCs w:val="1"/>
                <w:color w:val="auto"/>
                <w:w w:val="97"/>
                <w:vertAlign w:val="superscript"/>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760"/>
              <w:spacing w:after="0" w:line="271" w:lineRule="exact"/>
              <w:rPr>
                <w:sz w:val="20"/>
                <w:szCs w:val="20"/>
                <w:color w:val="auto"/>
              </w:rPr>
            </w:pPr>
            <w:r>
              <w:rPr>
                <w:rFonts w:ascii="Arial" w:cs="Arial" w:eastAsia="Arial" w:hAnsi="Arial"/>
                <w:sz w:val="18"/>
                <w:szCs w:val="18"/>
                <w:b w:val="1"/>
                <w:bCs w:val="1"/>
                <w:color w:val="auto"/>
              </w:rPr>
              <w:t>Price</w:t>
            </w:r>
            <w:r>
              <w:rPr>
                <w:rFonts w:ascii="Arial" w:cs="Arial" w:eastAsia="Arial" w:hAnsi="Arial"/>
                <w:sz w:val="29"/>
                <w:szCs w:val="29"/>
                <w:b w:val="1"/>
                <w:bCs w:val="1"/>
                <w:color w:val="auto"/>
                <w:vertAlign w:val="superscript"/>
              </w:rPr>
              <w:t>(1)</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195"/>
        </w:trPr>
        <w:tc>
          <w:tcPr>
            <w:tcW w:w="3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Units, each consisting of one share of Class A</w:t>
            </w:r>
          </w:p>
        </w:tc>
        <w:tc>
          <w:tcPr>
            <w:tcW w:w="1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2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$0.0001 par value, and one</w:t>
            </w: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67"/>
        </w:trPr>
        <w:tc>
          <w:tcPr>
            <w:tcW w:w="382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color w:val="auto"/>
              </w:rPr>
              <w:t>redeemable warrant</w:t>
            </w:r>
            <w:r>
              <w:rPr>
                <w:rFonts w:ascii="Arial" w:cs="Arial" w:eastAsia="Arial" w:hAnsi="Arial"/>
                <w:sz w:val="29"/>
                <w:szCs w:val="29"/>
                <w:color w:val="auto"/>
                <w:vertAlign w:val="superscript"/>
              </w:rPr>
              <w:t>(2)</w:t>
            </w:r>
          </w:p>
        </w:tc>
        <w:tc>
          <w:tcPr>
            <w:tcW w:w="1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28,750,000 Units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287,500,000</w:t>
            </w:r>
          </w:p>
        </w:tc>
        <w:tc>
          <w:tcPr>
            <w:tcW w:w="600" w:type="dxa"/>
            <w:vAlign w:val="bottom"/>
            <w:gridSpan w:val="2"/>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31,366</w:t>
            </w:r>
          </w:p>
        </w:tc>
        <w:tc>
          <w:tcPr>
            <w:tcW w:w="200" w:type="dxa"/>
            <w:vAlign w:val="bottom"/>
            <w:shd w:val="clear" w:color="auto" w:fill="CCEEFF"/>
          </w:tcPr>
          <w:p>
            <w:pPr>
              <w:spacing w:after="0"/>
              <w:rPr>
                <w:sz w:val="23"/>
                <w:szCs w:val="23"/>
                <w:color w:val="auto"/>
              </w:rPr>
            </w:pPr>
          </w:p>
        </w:tc>
      </w:tr>
      <w:tr>
        <w:trPr>
          <w:trHeight w:val="205"/>
        </w:trPr>
        <w:tc>
          <w:tcPr>
            <w:tcW w:w="3820" w:type="dxa"/>
            <w:vAlign w:val="bottom"/>
            <w:gridSpan w:val="2"/>
          </w:tcPr>
          <w:p>
            <w:pPr>
              <w:spacing w:after="0" w:line="206" w:lineRule="exact"/>
              <w:rPr>
                <w:sz w:val="20"/>
                <w:szCs w:val="20"/>
                <w:color w:val="auto"/>
              </w:rPr>
            </w:pPr>
            <w:r>
              <w:rPr>
                <w:rFonts w:ascii="Arial" w:cs="Arial" w:eastAsia="Arial" w:hAnsi="Arial"/>
                <w:sz w:val="18"/>
                <w:szCs w:val="18"/>
                <w:color w:val="auto"/>
                <w:w w:val="95"/>
              </w:rPr>
              <w:t>Shares of Class A common stock included as part</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7"/>
        </w:trPr>
        <w:tc>
          <w:tcPr>
            <w:tcW w:w="3820" w:type="dxa"/>
            <w:vAlign w:val="bottom"/>
            <w:gridSpan w:val="2"/>
          </w:tcPr>
          <w:p>
            <w:pPr>
              <w:ind w:left="180"/>
              <w:spacing w:after="0" w:line="267" w:lineRule="exact"/>
              <w:rPr>
                <w:sz w:val="20"/>
                <w:szCs w:val="20"/>
                <w:color w:val="auto"/>
              </w:rPr>
            </w:pPr>
            <w:r>
              <w:rPr>
                <w:rFonts w:ascii="Arial" w:cs="Arial" w:eastAsia="Arial" w:hAnsi="Arial"/>
                <w:sz w:val="18"/>
                <w:szCs w:val="18"/>
                <w:color w:val="auto"/>
              </w:rPr>
              <w:t>of the units</w:t>
            </w:r>
            <w:r>
              <w:rPr>
                <w:rFonts w:ascii="Arial" w:cs="Arial" w:eastAsia="Arial" w:hAnsi="Arial"/>
                <w:sz w:val="29"/>
                <w:szCs w:val="29"/>
                <w:color w:val="auto"/>
                <w:vertAlign w:val="superscript"/>
              </w:rPr>
              <w:t>(3)</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28,750,000 Shares</w:t>
            </w:r>
          </w:p>
        </w:tc>
        <w:tc>
          <w:tcPr>
            <w:tcW w:w="24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gridSpan w:val="3"/>
          </w:tcPr>
          <w:p>
            <w:pPr>
              <w:ind w:left="820"/>
              <w:spacing w:after="0" w:line="266" w:lineRule="exact"/>
              <w:rPr>
                <w:sz w:val="20"/>
                <w:szCs w:val="20"/>
                <w:color w:val="auto"/>
              </w:rPr>
            </w:pPr>
            <w:r>
              <w:rPr>
                <w:rFonts w:ascii="Arial" w:cs="Arial" w:eastAsia="Arial" w:hAnsi="Arial"/>
                <w:sz w:val="30"/>
                <w:szCs w:val="30"/>
                <w:color w:val="auto"/>
                <w:w w:val="92"/>
                <w:vertAlign w:val="subscript"/>
              </w:rPr>
              <w:t>—</w:t>
            </w:r>
            <w:r>
              <w:rPr>
                <w:rFonts w:ascii="Arial" w:cs="Arial" w:eastAsia="Arial" w:hAnsi="Arial"/>
                <w:sz w:val="14"/>
                <w:szCs w:val="14"/>
                <w:color w:val="auto"/>
                <w:w w:val="92"/>
              </w:rPr>
              <w:t xml:space="preserve"> (4)</w:t>
            </w:r>
          </w:p>
        </w:tc>
      </w:tr>
      <w:tr>
        <w:trPr>
          <w:trHeight w:val="205"/>
        </w:trPr>
        <w:tc>
          <w:tcPr>
            <w:tcW w:w="38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Redeemable warrants included as part of the</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81"/>
        </w:trPr>
        <w:tc>
          <w:tcPr>
            <w:tcW w:w="3820" w:type="dxa"/>
            <w:vAlign w:val="bottom"/>
            <w:gridSpan w:val="2"/>
            <w:shd w:val="clear" w:color="auto" w:fill="CCEEFF"/>
          </w:tcPr>
          <w:p>
            <w:pPr>
              <w:ind w:left="180"/>
              <w:spacing w:after="0" w:line="280" w:lineRule="exact"/>
              <w:rPr>
                <w:sz w:val="20"/>
                <w:szCs w:val="20"/>
                <w:color w:val="auto"/>
              </w:rPr>
            </w:pPr>
            <w:r>
              <w:rPr>
                <w:rFonts w:ascii="Arial" w:cs="Arial" w:eastAsia="Arial" w:hAnsi="Arial"/>
                <w:sz w:val="18"/>
                <w:szCs w:val="18"/>
                <w:color w:val="auto"/>
              </w:rPr>
              <w:t>units</w:t>
            </w:r>
            <w:r>
              <w:rPr>
                <w:rFonts w:ascii="Arial" w:cs="Arial" w:eastAsia="Arial" w:hAnsi="Arial"/>
                <w:sz w:val="29"/>
                <w:szCs w:val="29"/>
                <w:color w:val="auto"/>
                <w:vertAlign w:val="superscript"/>
              </w:rPr>
              <w:t>(3)</w:t>
            </w: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28,750,000 Warrants</w:t>
            </w:r>
          </w:p>
        </w:tc>
        <w:tc>
          <w:tcPr>
            <w:tcW w:w="2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ind w:left="820"/>
              <w:spacing w:after="0" w:line="281" w:lineRule="exact"/>
              <w:rPr>
                <w:sz w:val="20"/>
                <w:szCs w:val="20"/>
                <w:color w:val="auto"/>
              </w:rPr>
            </w:pPr>
            <w:r>
              <w:rPr>
                <w:rFonts w:ascii="Arial" w:cs="Arial" w:eastAsia="Arial" w:hAnsi="Arial"/>
                <w:sz w:val="32"/>
                <w:szCs w:val="32"/>
                <w:color w:val="auto"/>
                <w:w w:val="89"/>
                <w:vertAlign w:val="subscript"/>
              </w:rPr>
              <w:t>—</w:t>
            </w:r>
            <w:r>
              <w:rPr>
                <w:rFonts w:ascii="Arial" w:cs="Arial" w:eastAsia="Arial" w:hAnsi="Arial"/>
                <w:sz w:val="14"/>
                <w:szCs w:val="14"/>
                <w:color w:val="auto"/>
                <w:w w:val="89"/>
              </w:rPr>
              <w:t xml:space="preserve"> (4)</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287,500,000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5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of 1933, as amended (the “Securities Act”).</w:t>
      </w:r>
    </w:p>
    <w:p>
      <w:pPr>
        <w:spacing w:after="0" w:line="170" w:lineRule="exact"/>
        <w:rPr>
          <w:rFonts w:ascii="Arial" w:cs="Arial" w:eastAsia="Arial" w:hAnsi="Arial"/>
          <w:sz w:val="18"/>
          <w:szCs w:val="18"/>
          <w:color w:val="auto"/>
        </w:rPr>
      </w:pPr>
    </w:p>
    <w:p>
      <w:pPr>
        <w:ind w:left="580" w:right="1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3,750,000 units, consisting of 3,750,000 shares of Class A common stock and 3,750,000 redeemable warrants, which may be issued upon exercise of a 45-day option granted to the underwriters to cover over-allotments, if any.</w:t>
      </w:r>
    </w:p>
    <w:p>
      <w:pPr>
        <w:spacing w:after="0" w:line="170" w:lineRule="exact"/>
        <w:rPr>
          <w:rFonts w:ascii="Arial" w:cs="Arial" w:eastAsia="Arial" w:hAnsi="Arial"/>
          <w:sz w:val="18"/>
          <w:szCs w:val="18"/>
          <w:color w:val="auto"/>
        </w:rPr>
      </w:pPr>
    </w:p>
    <w:p>
      <w:pPr>
        <w:ind w:left="580" w:right="66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stock splits, stock dividends or similar transactions.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1"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100"/>
        <w:spacing w:after="0" w:line="289" w:lineRule="auto"/>
        <w:rPr>
          <w:sz w:val="20"/>
          <w:szCs w:val="20"/>
          <w:color w:val="auto"/>
        </w:rPr>
      </w:pPr>
      <w:r>
        <w:rPr>
          <w:rFonts w:ascii="Arial" w:cs="Arial" w:eastAsia="Arial" w:hAnsi="Arial"/>
          <w:sz w:val="17"/>
          <w:szCs w:val="17"/>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98" w:lineRule="exact"/>
        <w:rPr>
          <w:sz w:val="20"/>
          <w:szCs w:val="20"/>
          <w:color w:val="auto"/>
        </w:rPr>
      </w:pPr>
    </w:p>
    <w:p>
      <w:pPr>
        <w:spacing w:after="0"/>
        <w:tabs>
          <w:tab w:leader="none" w:pos="632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NOVEMBER 19,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 Units</w:t>
      </w:r>
    </w:p>
    <w:p>
      <w:pPr>
        <w:spacing w:after="0" w:line="211" w:lineRule="exact"/>
        <w:rPr>
          <w:sz w:val="20"/>
          <w:szCs w:val="20"/>
          <w:color w:val="auto"/>
        </w:rPr>
      </w:pPr>
    </w:p>
    <w:p>
      <w:pPr>
        <w:ind w:right="360" w:firstLine="324"/>
        <w:spacing w:after="0" w:line="296" w:lineRule="auto"/>
        <w:rPr>
          <w:sz w:val="20"/>
          <w:szCs w:val="20"/>
          <w:color w:val="auto"/>
        </w:rPr>
      </w:pPr>
      <w:r>
        <w:rPr>
          <w:rFonts w:ascii="Arial" w:cs="Arial" w:eastAsia="Arial" w:hAnsi="Arial"/>
          <w:sz w:val="16"/>
          <w:szCs w:val="16"/>
          <w:color w:val="auto"/>
        </w:rPr>
        <w:t>BurTech Acquisition Corp. is a newly organized blank check company formed for the purpose of effecting a merger, capital stock exchange, asset acquisition, stock purchase, reorganization or similar business combination with one or more businesses, which we refer to as our initial business combination throughout this prospectus. We have not selected any specific business combination target and we have not, nor has anyone on our behalf, initiated any substantive discussions, directly or indirectly, with any business combination target. While we may pursue an initial business combination target in any business or industry, we intend to focus our search on the retail, lifestyle, hospitality, technology or real estate markets.</w:t>
      </w:r>
    </w:p>
    <w:p>
      <w:pPr>
        <w:spacing w:after="0" w:line="16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This is an initial public offering of our securities. Each unit has an offering price of $10.00 and consists of one share of our Class A common stock and one redeemable warrant as described in more detail in this prospectus. Only whole warrants are exercisable. Each warrant entitles the holder thereof to purchase one share of our Class A common stock at a price of $11.50 per share, subject to adjustment as described herein. No fractional warrants will be issued upon separation of the units and only whole warrants will trade. The underwriters have a 45-day option from the date of this prospectus to purchase up to an additional 3,750,000 units to cover over-allotments, if any.</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our Class A common stock upon the completion of our initial business combination, subject to the limitations described herein. If we are unable to complete our initial business combination within 15 months from the closing of this offering, we will redeem 100% of the public shares for cash, subject to applicable law and certain conditions as further described herein.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sponsor, BurTech LP LLC, has agreed to purchase an aggregate of 804,500 placement units (or 898,250 placement units if the over-allotment option is exercised in full) at a price of $10.00 per unit, for an aggregate purchase price of $8,045,000 ($8,982,500 if the over-allotment option is exercised in full). Each placement unit will be identical to the units sold in this offering, except as described in this prospectus. The placement units will be sold in a private placement that will close simultaneously with the closing of this offering.</w:t>
      </w:r>
    </w:p>
    <w:p>
      <w:pPr>
        <w:spacing w:after="0" w:line="187"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Our initial stockholders own an aggregate of 9,487,500 shares of our Class B common stock (up to 1,237,500 shares of which are subject to forfeiture depending on the extent to which the underwriters’ over-allotment option is exercised), which will automatically convert into shares of Class A common stock at the time of the consummation of our initial business combination, on a one-for-one basis, subject to adjustment as described herein.</w:t>
      </w:r>
    </w:p>
    <w:p>
      <w:pPr>
        <w:spacing w:after="0" w:line="14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Currently, there is no public market for our units, Class A common stock or warrants. We have applied to list our units on The Nasdaq Global Market, or Nasdaq, under the symbol “BRKHU.” We expect that our units will be listed on The Nasdaq Global Market on or promptly after the date of this prospectus. We cannot guarantee that our securities will be approved for listing on Nasdaq. We expect the Class A common stock and warrants comprising</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units will begin separate trading on the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following the date of this prospectus unless the representative informs us of its decision to allow earlier separate trading, subject to our satisfaction of certain conditions. Once the securities comprising the units begin separate trading, we expect that the Class A common stock and warrants will be listed on Nasdaq under the symbols “BRKH” and “BRKHW,” respectively.</w:t>
      </w:r>
    </w:p>
    <w:p>
      <w:pPr>
        <w:spacing w:after="0" w:line="200"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34 for a discussion of information that should be considered in connection with an investment in our securities. Investors will not be entitled to protections normally afforded to investors in Rule 419 blank check offerings.</w:t>
      </w:r>
    </w:p>
    <w:p>
      <w:pPr>
        <w:spacing w:after="0" w:line="180"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 Unit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24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11,250,000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BurTech Acquisition Corp.</w:t>
            </w:r>
          </w:p>
        </w:tc>
        <w:tc>
          <w:tcPr>
            <w:tcW w:w="2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238,750,000</w:t>
            </w:r>
          </w:p>
        </w:tc>
      </w:tr>
    </w:tbl>
    <w:p>
      <w:pPr>
        <w:spacing w:after="0" w:line="202" w:lineRule="exact"/>
        <w:rPr>
          <w:sz w:val="20"/>
          <w:szCs w:val="20"/>
          <w:color w:val="auto"/>
        </w:rPr>
      </w:pPr>
    </w:p>
    <w:p>
      <w:pPr>
        <w:ind w:left="760" w:hanging="428"/>
        <w:spacing w:after="0" w:line="271"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 be released to the representative of the underwriters only on completion of an initial business combination, as described in this prospectus. Does not include certain fees and expenses payable to the underwriters in connection with this offering. In addition we have agreed to issue 375,000 shares (or 431,250 shares if the underwriters’ over-allotment option is exercised in full) of our Class A common stock upon consummation of this offering to designees of the representative of the underwriters, which we refer to herein as the “representative shares” as compensation in connection with this offering. See the section of this prospectus entitled “Underwriting” beginning on page 34 for a description of compensation and other items of value payable to the underwriters.</w:t>
      </w:r>
    </w:p>
    <w:p>
      <w:pPr>
        <w:spacing w:after="0" w:line="178"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Of the proceeds we receive from this offering and the sale of the placement units described in this prospectus, $253,750,000 or $291,812,500 if the underwriters’ over-allotment option is exercised in full ($10.15 per unit in either case) will be deposited into a trust account in the United States with Continental Stock Transfer &amp; Trust Company acting as trustee and J.P. Morgan Securities LLC acting as investment manager.</w:t>
      </w:r>
    </w:p>
    <w:p>
      <w:pPr>
        <w:spacing w:after="0" w:line="149" w:lineRule="exact"/>
        <w:rPr>
          <w:sz w:val="20"/>
          <w:szCs w:val="20"/>
          <w:color w:val="auto"/>
        </w:rPr>
      </w:pPr>
    </w:p>
    <w:p>
      <w:pPr>
        <w:ind w:left="420" w:right="120" w:hanging="80"/>
        <w:spacing w:after="0" w:line="277" w:lineRule="auto"/>
        <w:rPr>
          <w:sz w:val="20"/>
          <w:szCs w:val="20"/>
          <w:color w:val="auto"/>
        </w:rPr>
      </w:pPr>
      <w:r>
        <w:rPr>
          <w:rFonts w:ascii="Arial" w:cs="Arial" w:eastAsia="Arial" w:hAnsi="Arial"/>
          <w:sz w:val="18"/>
          <w:szCs w:val="18"/>
          <w:color w:val="auto"/>
        </w:rPr>
        <w:t>The underwriters are offering the units for sale on a firm commitment basis. The underwriters expect to deliver the units to the purchasers on or about , 2021.</w:t>
      </w:r>
    </w:p>
    <w:p>
      <w:pPr>
        <w:sectPr>
          <w:pgSz w:w="11900" w:h="16838" w:orient="portrait"/>
          <w:cols w:equalWidth="0" w:num="1">
            <w:col w:w="11240"/>
          </w:cols>
          <w:pgMar w:left="320" w:top="904" w:right="3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32"/>
          <w:szCs w:val="32"/>
          <w:b w:val="1"/>
          <w:bCs w:val="1"/>
          <w:color w:val="auto"/>
        </w:rPr>
        <w:t>EF HUTTON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division of Benchmark Investments, LLC.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The date of this prospcctus is 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60" w:type="dxa"/>
            <w:vAlign w:val="bottom"/>
            <w:gridSpan w:val="2"/>
          </w:tcPr>
          <w:p>
            <w:pPr>
              <w:ind w:left="50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08"/>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120" w:type="dxa"/>
            <w:vAlign w:val="bottom"/>
            <w:gridSpan w:val="18"/>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640" w:type="dxa"/>
            <w:vAlign w:val="bottom"/>
            <w:gridSpan w:val="6"/>
            <w:shd w:val="clear" w:color="auto" w:fill="CCEEFF"/>
          </w:tcPr>
          <w:p>
            <w:pPr>
              <w:jc w:val="center"/>
              <w:ind w:left="39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34</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416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Cautionary Note Regarding Forward-Looking Statements</w:t>
              </w:r>
            </w:hyperlink>
          </w:p>
        </w:tc>
        <w:tc>
          <w:tcPr>
            <w:tcW w:w="5960" w:type="dxa"/>
            <w:vAlign w:val="bottom"/>
            <w:tcBorders>
              <w:bottom w:val="single" w:sz="8" w:color="CCEEFF"/>
            </w:tcBorders>
            <w:gridSpan w:val="2"/>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3"/>
            <w:shd w:val="clear" w:color="auto" w:fill="CCEEFF"/>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71</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Use of Proceeds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72</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120" w:type="dxa"/>
            <w:vAlign w:val="bottom"/>
            <w:gridSpan w:val="18"/>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Dividend Policy</w:t>
              </w:r>
            </w:hyperlink>
          </w:p>
        </w:tc>
        <w:tc>
          <w:tcPr>
            <w:tcW w:w="640" w:type="dxa"/>
            <w:vAlign w:val="bottom"/>
            <w:gridSpan w:val="6"/>
            <w:shd w:val="clear" w:color="auto" w:fill="CCEEFF"/>
          </w:tcPr>
          <w:p>
            <w:pPr>
              <w:jc w:val="center"/>
              <w:ind w:left="37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76</w:t>
              </w:r>
            </w:hyperlink>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16"/>
        </w:trPr>
        <w:tc>
          <w:tcPr>
            <w:tcW w:w="1180" w:type="dxa"/>
            <w:vAlign w:val="bottom"/>
            <w:tcBorders>
              <w:top w:val="single" w:sz="8" w:color="0000EE"/>
            </w:tcBorders>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Dilution</w:t>
              </w:r>
            </w:hyperlink>
          </w:p>
        </w:tc>
        <w:tc>
          <w:tcPr>
            <w:tcW w:w="8940" w:type="dxa"/>
            <w:vAlign w:val="bottom"/>
            <w:tcBorders>
              <w:top w:val="single" w:sz="8" w:color="CCEEFF"/>
            </w:tcBorders>
            <w:gridSpan w:val="10"/>
          </w:tcPr>
          <w:p>
            <w:pPr>
              <w:spacing w:after="0"/>
              <w:rPr>
                <w:sz w:val="18"/>
                <w:szCs w:val="18"/>
                <w:color w:val="auto"/>
              </w:rPr>
            </w:pPr>
          </w:p>
        </w:tc>
        <w:tc>
          <w:tcPr>
            <w:tcW w:w="46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77</w:t>
              </w:r>
            </w:hyperlink>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Capitalization</w:t>
              </w:r>
            </w:hyperlink>
          </w:p>
        </w:tc>
        <w:tc>
          <w:tcPr>
            <w:tcW w:w="9100" w:type="dxa"/>
            <w:vAlign w:val="bottom"/>
            <w:tcBorders>
              <w:bottom w:val="single" w:sz="8" w:color="CCEEFF"/>
            </w:tcBorders>
            <w:gridSpan w:val="11"/>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3"/>
            <w:shd w:val="clear" w:color="auto" w:fill="CCEEFF"/>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79</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80</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Proposed Business</w:t>
              </w:r>
            </w:hyperlink>
          </w:p>
        </w:tc>
        <w:tc>
          <w:tcPr>
            <w:tcW w:w="640" w:type="dxa"/>
            <w:vAlign w:val="bottom"/>
            <w:gridSpan w:val="6"/>
            <w:shd w:val="clear" w:color="auto" w:fill="CCEEFF"/>
          </w:tcPr>
          <w:p>
            <w:pPr>
              <w:jc w:val="center"/>
              <w:ind w:left="37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86</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360" w:type="dxa"/>
            <w:vAlign w:val="bottom"/>
            <w:gridSpan w:val="9"/>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Management</w:t>
              </w:r>
            </w:hyperlink>
          </w:p>
        </w:tc>
        <w:tc>
          <w:tcPr>
            <w:tcW w:w="8760" w:type="dxa"/>
            <w:vAlign w:val="bottom"/>
            <w:gridSpan w:val="9"/>
          </w:tcPr>
          <w:p>
            <w:pPr>
              <w:spacing w:after="0"/>
              <w:rPr>
                <w:sz w:val="18"/>
                <w:szCs w:val="18"/>
                <w:color w:val="auto"/>
              </w:rPr>
            </w:pPr>
          </w:p>
        </w:tc>
        <w:tc>
          <w:tcPr>
            <w:tcW w:w="700" w:type="dxa"/>
            <w:vAlign w:val="bottom"/>
            <w:gridSpan w:val="8"/>
          </w:tcPr>
          <w:p>
            <w:pPr>
              <w:jc w:val="center"/>
              <w:ind w:left="330"/>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118</w:t>
              </w:r>
            </w:hyperlink>
          </w:p>
        </w:tc>
        <w:tc>
          <w:tcPr>
            <w:tcW w:w="420" w:type="dxa"/>
            <w:vAlign w:val="bottom"/>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Principal Stockholders</w:t>
              </w:r>
            </w:hyperlink>
          </w:p>
        </w:tc>
        <w:tc>
          <w:tcPr>
            <w:tcW w:w="1120" w:type="dxa"/>
            <w:vAlign w:val="bottom"/>
            <w:gridSpan w:val="9"/>
            <w:shd w:val="clear" w:color="auto" w:fill="CCEEFF"/>
          </w:tcPr>
          <w:p>
            <w:pPr>
              <w:jc w:val="center"/>
              <w:spacing w:after="0"/>
              <w:rPr>
                <w:rFonts w:ascii="Arial" w:cs="Arial" w:eastAsia="Arial" w:hAnsi="Arial"/>
                <w:sz w:val="18"/>
                <w:szCs w:val="18"/>
                <w:color w:val="0000EE"/>
                <w:w w:val="93"/>
              </w:rPr>
            </w:pPr>
            <w:hyperlink w:anchor="page137">
              <w:r>
                <w:rPr>
                  <w:rFonts w:ascii="Arial" w:cs="Arial" w:eastAsia="Arial" w:hAnsi="Arial"/>
                  <w:sz w:val="18"/>
                  <w:szCs w:val="18"/>
                  <w:color w:val="0000EE"/>
                  <w:w w:val="93"/>
                </w:rPr>
                <w:t>131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Certain Relationships and Related Party Transactions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40">
              <w:r>
                <w:rPr>
                  <w:rFonts w:ascii="Arial" w:cs="Arial" w:eastAsia="Arial" w:hAnsi="Arial"/>
                  <w:sz w:val="18"/>
                  <w:szCs w:val="18"/>
                  <w:color w:val="0000EE"/>
                  <w:w w:val="93"/>
                </w:rPr>
                <w:t>134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80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Description of Securities</w:t>
              </w:r>
            </w:hyperlink>
          </w:p>
        </w:tc>
        <w:tc>
          <w:tcPr>
            <w:tcW w:w="8320" w:type="dxa"/>
            <w:vAlign w:val="bottom"/>
            <w:tcBorders>
              <w:bottom w:val="single" w:sz="8" w:color="CCEEFF"/>
            </w:tcBorders>
            <w:gridSpan w:val="7"/>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137</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United States Federal Income Tax Considerations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57">
              <w:r>
                <w:rPr>
                  <w:rFonts w:ascii="Arial" w:cs="Arial" w:eastAsia="Arial" w:hAnsi="Arial"/>
                  <w:sz w:val="18"/>
                  <w:szCs w:val="18"/>
                  <w:color w:val="0000EE"/>
                  <w:w w:val="93"/>
                </w:rPr>
                <w:t>150</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8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4"/>
              </w:rPr>
            </w:pPr>
            <w:hyperlink w:anchor="page166">
              <w:r>
                <w:rPr>
                  <w:rFonts w:ascii="Arial" w:cs="Arial" w:eastAsia="Arial" w:hAnsi="Arial"/>
                  <w:sz w:val="18"/>
                  <w:szCs w:val="18"/>
                  <w:color w:val="0000EE"/>
                  <w:w w:val="94"/>
                </w:rPr>
                <w:t>Underwriting</w:t>
              </w:r>
            </w:hyperlink>
          </w:p>
        </w:tc>
        <w:tc>
          <w:tcPr>
            <w:tcW w:w="9140" w:type="dxa"/>
            <w:vAlign w:val="bottom"/>
            <w:tcBorders>
              <w:bottom w:val="single" w:sz="8" w:color="CCEEFF"/>
            </w:tcBorders>
            <w:gridSpan w:val="12"/>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66">
              <w:r>
                <w:rPr>
                  <w:rFonts w:ascii="Arial" w:cs="Arial" w:eastAsia="Arial" w:hAnsi="Arial"/>
                  <w:sz w:val="18"/>
                  <w:szCs w:val="18"/>
                  <w:color w:val="0000EE"/>
                  <w:w w:val="93"/>
                </w:rPr>
                <w:t>159</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Legal Matters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75">
              <w:r>
                <w:rPr>
                  <w:rFonts w:ascii="Arial" w:cs="Arial" w:eastAsia="Arial" w:hAnsi="Arial"/>
                  <w:sz w:val="18"/>
                  <w:szCs w:val="18"/>
                  <w:color w:val="0000EE"/>
                  <w:w w:val="93"/>
                </w:rPr>
                <w:t>168</w:t>
              </w:r>
            </w:hyperlink>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5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75">
              <w:r>
                <w:rPr>
                  <w:rFonts w:ascii="Arial" w:cs="Arial" w:eastAsia="Arial" w:hAnsi="Arial"/>
                  <w:sz w:val="18"/>
                  <w:szCs w:val="18"/>
                  <w:color w:val="0000EE"/>
                  <w:w w:val="88"/>
                </w:rPr>
                <w:t>Experts</w:t>
              </w:r>
            </w:hyperlink>
          </w:p>
        </w:tc>
        <w:tc>
          <w:tcPr>
            <w:tcW w:w="9560" w:type="dxa"/>
            <w:vAlign w:val="bottom"/>
            <w:tcBorders>
              <w:bottom w:val="single" w:sz="8" w:color="CCEEFF"/>
            </w:tcBorders>
            <w:gridSpan w:val="17"/>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75">
              <w:r>
                <w:rPr>
                  <w:rFonts w:ascii="Arial" w:cs="Arial" w:eastAsia="Arial" w:hAnsi="Arial"/>
                  <w:sz w:val="18"/>
                  <w:szCs w:val="18"/>
                  <w:color w:val="0000EE"/>
                  <w:w w:val="93"/>
                </w:rPr>
                <w:t>168</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Where You Can Find Additional Information</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76">
              <w:r>
                <w:rPr>
                  <w:rFonts w:ascii="Arial" w:cs="Arial" w:eastAsia="Arial" w:hAnsi="Arial"/>
                  <w:sz w:val="18"/>
                  <w:szCs w:val="18"/>
                  <w:color w:val="0000EE"/>
                  <w:w w:val="93"/>
                </w:rPr>
                <w:t>169</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Index to Financial Statements</w:t>
              </w:r>
            </w:hyperlink>
          </w:p>
        </w:tc>
        <w:tc>
          <w:tcPr>
            <w:tcW w:w="420" w:type="dxa"/>
            <w:vAlign w:val="bottom"/>
            <w:shd w:val="clear" w:color="auto" w:fill="CCEEFF"/>
          </w:tcPr>
          <w:p>
            <w:pPr>
              <w:spacing w:after="0"/>
              <w:rPr>
                <w:sz w:val="18"/>
                <w:szCs w:val="18"/>
                <w:color w:val="auto"/>
              </w:rPr>
            </w:pPr>
          </w:p>
        </w:tc>
        <w:tc>
          <w:tcPr>
            <w:tcW w:w="700" w:type="dxa"/>
            <w:vAlign w:val="bottom"/>
            <w:gridSpan w:val="8"/>
            <w:shd w:val="clear" w:color="auto" w:fill="CCEEFF"/>
          </w:tcPr>
          <w:p>
            <w:pPr>
              <w:jc w:val="center"/>
              <w:ind w:right="420"/>
              <w:spacing w:after="0"/>
              <w:rPr>
                <w:rFonts w:ascii="Arial" w:cs="Arial" w:eastAsia="Arial" w:hAnsi="Arial"/>
                <w:sz w:val="18"/>
                <w:szCs w:val="18"/>
                <w:color w:val="0000EE"/>
                <w:w w:val="88"/>
              </w:rPr>
            </w:pPr>
            <w:hyperlink w:anchor="page177">
              <w:r>
                <w:rPr>
                  <w:rFonts w:ascii="Arial" w:cs="Arial" w:eastAsia="Arial" w:hAnsi="Arial"/>
                  <w:sz w:val="18"/>
                  <w:szCs w:val="18"/>
                  <w:color w:val="0000EE"/>
                  <w:w w:val="88"/>
                </w:rPr>
                <w:t>F-1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65" w:lineRule="exact"/>
        <w:rPr>
          <w:sz w:val="20"/>
          <w:szCs w:val="20"/>
          <w:color w:val="auto"/>
        </w:rPr>
      </w:pPr>
    </w:p>
    <w:p>
      <w:pPr>
        <w:ind w:right="120" w:firstLine="362"/>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51"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the section of this prospectus entitled “Risk Factors” and our financial statements and the related notes included elsewhere in this prospectus, before investing.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“Affiliated SPAC” are to BurTech Acquisition Corp. II, previously GSD Quantum AI Acquisition Corp. which changed its name to BurTech Acquisition Corp. II on October 5, 2021, and Bridge Media Acquisition Corp;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 collectively;</w:t>
      </w:r>
    </w:p>
    <w:p>
      <w:pPr>
        <w:spacing w:after="0" w:line="22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“founder shares” are to shares of our Class B common stock initially purchased by our sponsor or its designees in a private placement prior to this offering, and the shares of our Class A common stock issuable upon the conversion thereof as provided herein;</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its designees and any other holders of our founder shares prior to this offering (or their permitted transferees);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“placement units” are to the units being purchased by our sponsor, with each placement unit consisting of one placement share and one placement warrant;</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“placement shares” are to the shares of our common stock included within the placement units being purchased by our sponsor in the private placement;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“placement warrants” are to the warrants included within the placement units being purchased by our sponsor in the private placement;</w:t>
      </w:r>
    </w:p>
    <w:p>
      <w:pPr>
        <w:spacing w:after="0" w:line="236" w:lineRule="exact"/>
        <w:rPr>
          <w:rFonts w:ascii="Arial" w:cs="Arial" w:eastAsia="Arial" w:hAnsi="Arial"/>
          <w:sz w:val="17"/>
          <w:szCs w:val="17"/>
          <w:color w:val="auto"/>
        </w:rPr>
      </w:pPr>
    </w:p>
    <w:p>
      <w:pPr>
        <w:ind w:left="660" w:right="3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are to the private placement of 804,500 placement units (up to 898,250 placement units if the over-allotment option is exercised in full) at a price of $10.00 per unit, for an aggregate purchase price of $8,045,000 (up to $8,982,500 if the over-allotment option is exercised in full), which will occur simultaneously with the completion of this offering;</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shall only exist with respect to such public shares;</w:t>
      </w:r>
    </w:p>
    <w:p>
      <w:pPr>
        <w:spacing w:after="0" w:line="165" w:lineRule="exact"/>
        <w:rPr>
          <w:rFonts w:ascii="Arial" w:cs="Arial" w:eastAsia="Arial" w:hAnsi="Arial"/>
          <w:sz w:val="17"/>
          <w:szCs w:val="17"/>
          <w:color w:val="auto"/>
        </w:rPr>
      </w:pPr>
    </w:p>
    <w:p>
      <w:pPr>
        <w:ind w:left="660" w:right="3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warrants” are to our redeemable warrants sold as part of the units in this offering (whether they are purchased in this offering or thereafter in the open market, including warrants that may be acquired by our sponsor or its affiliates in this offering or thereafter in the open market);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“representative” are to EF Hutton, division of Benchmark Investments, LLC, who is the representative of the underwriters in this offering;</w:t>
      </w:r>
    </w:p>
    <w:p>
      <w:pPr>
        <w:spacing w:after="0" w:line="236" w:lineRule="exact"/>
        <w:rPr>
          <w:rFonts w:ascii="Arial" w:cs="Arial" w:eastAsia="Arial" w:hAnsi="Arial"/>
          <w:sz w:val="17"/>
          <w:szCs w:val="17"/>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representative shares” are to the 375,000 shares (or up to 431,250 shares if the underwriters’ over-allotment option is exercised in full)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common stock which we have agreed to issue to the representative and its designees upon consummation of this offering;</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BurTech LP LLC, a Delaware limited liability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“underwriters” are to the underwriters of this offering, for which the representative acting as representative;</w:t>
      </w:r>
    </w:p>
    <w:p>
      <w:pPr>
        <w:spacing w:after="0" w:line="225" w:lineRule="exact"/>
        <w:rPr>
          <w:rFonts w:ascii="Arial" w:cs="Arial" w:eastAsia="Arial" w:hAnsi="Arial"/>
          <w:sz w:val="18"/>
          <w:szCs w:val="18"/>
          <w:i w:val="1"/>
          <w:iCs w:val="1"/>
          <w:color w:val="auto"/>
        </w:rPr>
      </w:pPr>
    </w:p>
    <w:p>
      <w:pPr>
        <w:ind w:left="660" w:right="80" w:hanging="328"/>
        <w:spacing w:after="0" w:line="263"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“warrants” are to our redeemable warrants, which includes the public warrants as well as the placement warrants and any warrants sold as part of the placement units issued upon conversion of working capital loans to the extent they are no longer held by the initial holders or their permitted transferees; and</w:t>
      </w:r>
    </w:p>
    <w:p>
      <w:pPr>
        <w:spacing w:after="0" w:line="18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BurTech Acquisition Corp.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Unless we tell you otherwise, the information in this prospectus assumes that the underwriters will not exercise their over-allotment option.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spacing w:after="0" w:line="18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7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2"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Shahal M. Khan </w:t>
      </w:r>
      <w:r>
        <w:rPr>
          <w:rFonts w:ascii="Arial" w:cs="Arial" w:eastAsia="Arial" w:hAnsi="Arial"/>
          <w:sz w:val="18"/>
          <w:szCs w:val="18"/>
          <w:color w:val="auto"/>
        </w:rPr>
        <w:t>is our Chairman of the Board of Directors and Chief Executive Officer. Mr. Khan’s career as an investor, entrepreneur and social</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firstLine="324"/>
        <w:spacing w:after="0" w:line="270" w:lineRule="auto"/>
        <w:rPr>
          <w:sz w:val="20"/>
          <w:szCs w:val="20"/>
          <w:color w:val="auto"/>
        </w:rPr>
      </w:pPr>
      <w:r>
        <w:rPr>
          <w:rFonts w:ascii="Arial" w:cs="Arial" w:eastAsia="Arial" w:hAnsi="Arial"/>
          <w:sz w:val="17"/>
          <w:szCs w:val="17"/>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8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spacing w:after="0" w:line="17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color w:val="auto"/>
        </w:rPr>
        <w:t xml:space="preserve">Isaac Chetrit </w:t>
      </w:r>
      <w:r>
        <w:rPr>
          <w:rFonts w:ascii="Arial" w:cs="Arial" w:eastAsia="Arial" w:hAnsi="Arial"/>
          <w:sz w:val="16"/>
          <w:szCs w:val="16"/>
          <w:color w:val="auto"/>
        </w:rPr>
        <w:t>is our President and one of our directors. Mr. Chetrit is a real estate veteran with a background in architecture and electrical engineering.</w:t>
      </w:r>
      <w:r>
        <w:rPr>
          <w:rFonts w:ascii="Arial" w:cs="Arial" w:eastAsia="Arial" w:hAnsi="Arial"/>
          <w:sz w:val="16"/>
          <w:szCs w:val="16"/>
          <w:b w:val="1"/>
          <w:bCs w:val="1"/>
          <w:color w:val="auto"/>
        </w:rPr>
        <w:t xml:space="preserve"> </w:t>
      </w:r>
      <w:r>
        <w:rPr>
          <w:rFonts w:ascii="Arial" w:cs="Arial" w:eastAsia="Arial" w:hAnsi="Arial"/>
          <w:sz w:val="16"/>
          <w:szCs w:val="16"/>
          <w:color w:val="auto"/>
        </w:rPr>
        <w:t>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19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7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 w:name="page9"/>
    <w:bookmarkEnd w:id="8"/>
    <w:p>
      <w:pPr>
        <w:ind w:right="40" w:firstLine="324"/>
        <w:spacing w:after="0" w:line="253" w:lineRule="auto"/>
        <w:rPr>
          <w:sz w:val="20"/>
          <w:szCs w:val="20"/>
          <w:color w:val="auto"/>
        </w:rPr>
      </w:pPr>
      <w:r>
        <w:rPr>
          <w:rFonts w:ascii="Arial" w:cs="Arial" w:eastAsia="Arial" w:hAnsi="Arial"/>
          <w:sz w:val="18"/>
          <w:szCs w:val="18"/>
          <w:b w:val="1"/>
          <w:bCs w:val="1"/>
          <w:color w:val="auto"/>
        </w:rPr>
        <w:t xml:space="preserve">Payel Farasat </w:t>
      </w:r>
      <w:r>
        <w:rPr>
          <w:rFonts w:ascii="Arial" w:cs="Arial" w:eastAsia="Arial" w:hAnsi="Arial"/>
          <w:sz w:val="18"/>
          <w:szCs w:val="18"/>
          <w:color w:val="auto"/>
        </w:rPr>
        <w:t>is our Chief Investment Officer. Since December 2020, Ms. Farasat has been the Chief Investment Officer (CIO) of Burkhan World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19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spacing w:after="0" w:line="16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b w:val="1"/>
          <w:bCs w:val="1"/>
          <w:color w:val="auto"/>
        </w:rPr>
        <w:t xml:space="preserve">Christopher Schroeder </w:t>
      </w:r>
      <w:r>
        <w:rPr>
          <w:rFonts w:ascii="Arial" w:cs="Arial" w:eastAsia="Arial" w:hAnsi="Arial"/>
          <w:sz w:val="16"/>
          <w:szCs w:val="16"/>
          <w:color w:val="auto"/>
        </w:rPr>
        <w:t>is our Chief Marketing Officer. Over the last 30 years, Mr. Schroeder has also been an interactive media resort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ind w:right="80" w:firstLine="324"/>
        <w:spacing w:after="0" w:line="279" w:lineRule="auto"/>
        <w:rPr>
          <w:sz w:val="20"/>
          <w:szCs w:val="20"/>
          <w:color w:val="auto"/>
        </w:rPr>
      </w:pPr>
      <w:r>
        <w:rPr>
          <w:rFonts w:ascii="Arial" w:cs="Arial" w:eastAsia="Arial" w:hAnsi="Arial"/>
          <w:sz w:val="17"/>
          <w:szCs w:val="17"/>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7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7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color w:val="auto"/>
        </w:rPr>
        <w:t xml:space="preserve">Leon Golden </w:t>
      </w:r>
      <w:r>
        <w:rPr>
          <w:rFonts w:ascii="Arial" w:cs="Arial" w:eastAsia="Arial" w:hAnsi="Arial"/>
          <w:sz w:val="16"/>
          <w:szCs w:val="16"/>
          <w:color w:val="auto"/>
        </w:rPr>
        <w:t>is one of our director nominees. Mr. Golden is a chartered public accountant and has worked as an accountant at ARG Associates, Inc.</w:t>
      </w:r>
      <w:r>
        <w:rPr>
          <w:rFonts w:ascii="Arial" w:cs="Arial" w:eastAsia="Arial" w:hAnsi="Arial"/>
          <w:sz w:val="16"/>
          <w:szCs w:val="16"/>
          <w:b w:val="1"/>
          <w:bCs w:val="1"/>
          <w:color w:val="auto"/>
        </w:rPr>
        <w:t xml:space="preserve"> </w:t>
      </w:r>
      <w:r>
        <w:rPr>
          <w:rFonts w:ascii="Arial" w:cs="Arial" w:eastAsia="Arial" w:hAnsi="Arial"/>
          <w:sz w:val="16"/>
          <w:szCs w:val="16"/>
          <w:color w:val="auto"/>
        </w:rPr>
        <w:t>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spacing w:after="0" w:line="15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b w:val="1"/>
          <w:bCs w:val="1"/>
          <w:color w:val="auto"/>
        </w:rPr>
        <w:t xml:space="preserve">Scott Young </w:t>
      </w:r>
      <w:r>
        <w:rPr>
          <w:rFonts w:ascii="Arial" w:cs="Arial" w:eastAsia="Arial" w:hAnsi="Arial"/>
          <w:sz w:val="17"/>
          <w:szCs w:val="17"/>
          <w:color w:val="auto"/>
        </w:rPr>
        <w:t>is one of our director nominees. Since January 2010, Mr. Young has served as a Senior Advisor and director of Dial Partners LLP, And</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2003 and is currently a member of its Nominating and Corporate Governance Committee.</w:t>
      </w:r>
    </w:p>
    <w:p>
      <w:pPr>
        <w:spacing w:after="0" w:line="17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 xml:space="preserve">Joseph A. Porrello </w:t>
      </w:r>
      <w:r>
        <w:rPr>
          <w:rFonts w:ascii="Arial" w:cs="Arial" w:eastAsia="Arial" w:hAnsi="Arial"/>
          <w:sz w:val="17"/>
          <w:szCs w:val="17"/>
          <w:color w:val="auto"/>
        </w:rPr>
        <w:t>is one of our director nominees. Mr. Porrello has been practicing law in South Florida for over twenty four years, representing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Advisors</w:t>
      </w:r>
    </w:p>
    <w:p>
      <w:pPr>
        <w:spacing w:after="0" w:line="22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His Highness Sheikh Ahmed Dalmook Al Maktoum </w:t>
      </w:r>
      <w:r>
        <w:rPr>
          <w:rFonts w:ascii="Arial" w:cs="Arial" w:eastAsia="Arial" w:hAnsi="Arial"/>
          <w:sz w:val="18"/>
          <w:szCs w:val="18"/>
          <w:color w:val="auto"/>
        </w:rPr>
        <w:t>is one of our advisors. HH Sheikh Maktoum is a member of the Ruling Royal Family of Dubai,</w:t>
      </w:r>
      <w:r>
        <w:rPr>
          <w:rFonts w:ascii="Arial" w:cs="Arial" w:eastAsia="Arial" w:hAnsi="Arial"/>
          <w:sz w:val="18"/>
          <w:szCs w:val="18"/>
          <w:b w:val="1"/>
          <w:bCs w:val="1"/>
          <w:color w:val="auto"/>
        </w:rPr>
        <w:t xml:space="preserve"> </w:t>
      </w:r>
      <w:r>
        <w:rPr>
          <w:rFonts w:ascii="Arial" w:cs="Arial" w:eastAsia="Arial" w:hAnsi="Arial"/>
          <w:sz w:val="18"/>
          <w:szCs w:val="18"/>
          <w:color w:val="auto"/>
        </w:rPr>
        <w:t>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education and agriculture projects operated throughout Africa, South Asia, Russia and the Middle East.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firstLine="324"/>
        <w:spacing w:after="0" w:line="291" w:lineRule="auto"/>
        <w:rPr>
          <w:sz w:val="20"/>
          <w:szCs w:val="20"/>
          <w:color w:val="auto"/>
        </w:rPr>
      </w:pPr>
      <w:r>
        <w:rPr>
          <w:rFonts w:ascii="Arial" w:cs="Arial" w:eastAsia="Arial" w:hAnsi="Arial"/>
          <w:sz w:val="16"/>
          <w:szCs w:val="16"/>
          <w:b w:val="1"/>
          <w:bCs w:val="1"/>
          <w:color w:val="auto"/>
        </w:rPr>
        <w:t xml:space="preserve">Mohammad Shaikh </w:t>
      </w:r>
      <w:r>
        <w:rPr>
          <w:rFonts w:ascii="Arial" w:cs="Arial" w:eastAsia="Arial" w:hAnsi="Arial"/>
          <w:sz w:val="16"/>
          <w:szCs w:val="16"/>
          <w:color w:val="auto"/>
        </w:rPr>
        <w:t>is one of our advisors. Mr. Shaikh is the Head of Blockchain Strategic Partnerships for Facebook, responsible for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and strategy. Mr. Shaikh has over a decade of multi-national financial services and blockchain/crypto experience. Previously, Mr. Shaikh was the Founder and CEO of Meridio, a blockchain-based company backed by ConsenSys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Currencies (CBDCs). He is an active angel investor and serves on the board of two logistics companies. Mr. Shaikh holds a Bachelor’s degree from Hunter College and an MBA from the University of Rochester.</w:t>
      </w:r>
    </w:p>
    <w:p>
      <w:pPr>
        <w:spacing w:after="0" w:line="15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color w:val="auto"/>
        </w:rPr>
        <w:t xml:space="preserve">Alexis Johnson </w:t>
      </w:r>
      <w:r>
        <w:rPr>
          <w:rFonts w:ascii="Arial" w:cs="Arial" w:eastAsia="Arial" w:hAnsi="Arial"/>
          <w:sz w:val="17"/>
          <w:szCs w:val="17"/>
          <w:color w:val="auto"/>
        </w:rPr>
        <w:t>is one of our advisors. Ms. Johnson has over five years of experience in real estate development and construction management ranging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high-end residential to commercial and healthcare.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A recipient of the Little Rock 9 Scholarship, Ms. Johnson holds a bachelor’s degree in Civil Engineering from Johns Hopkins University's Whiting School of Engineering.</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Patrick Orlando </w:t>
      </w:r>
      <w:r>
        <w:rPr>
          <w:rFonts w:ascii="Arial" w:cs="Arial" w:eastAsia="Arial" w:hAnsi="Arial"/>
          <w:sz w:val="18"/>
          <w:szCs w:val="18"/>
          <w:color w:val="auto"/>
        </w:rPr>
        <w:t>is one of our advisors. Mr. Orlando leverages decades of experience and contacts within industries including SPACs,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commodities, and derivatives in an effort to create significant value for stakeholders. Having held leadership roles at Digital World Acquisition Corp, (Nasdaq: DWAC) Benessere Capital Acquisition Corp, (Nasdaq: BENE) and Maquia Capital Acquisition Corp. (Nasdaq: MAQC), Deutsche Bank, JP Morgan, BT Capital Markets, Sucro Can, and Pure Biofuels Corporation, Mr. Orlando has developed an extensive network and his knowledge and exposure will enable us to locate and attract attractive potential targets, potentially negotiate favorable deals, and potentially attract significant financing on a global scale. Mr. Orlando received his B.S. in Mechanical Engineering and his B.S. in Management Science from the Sloan School of Management at the Massachusetts Institute of Technology (MIT).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Affiliated SPACS.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2021, BurTech LP LLC, our Sponsor, founded GSD Quantum AI Acquisition Corp., which changed its name to BurTech Acquisition Corp.</w:t>
      </w:r>
    </w:p>
    <w:p>
      <w:pPr>
        <w:spacing w:after="0" w:line="46" w:lineRule="exact"/>
        <w:rPr>
          <w:sz w:val="20"/>
          <w:szCs w:val="20"/>
          <w:color w:val="auto"/>
        </w:rPr>
      </w:pPr>
    </w:p>
    <w:p>
      <w:pPr>
        <w:ind w:right="20" w:firstLine="8"/>
        <w:spacing w:after="0" w:line="284" w:lineRule="auto"/>
        <w:tabs>
          <w:tab w:leader="none" w:pos="165"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October 5, 2021 (“BurTech II”), a blank check company incorporated for the purposes of effecting a business combination. BurTech II is expected to complete its initial public offering either before or after this offering. In March 2021, our Sponsor founded Bridge Media Acquisition Corp. (“Bridge”) a blank check company incorporated for the purposes of effecting a business combination. Bridge is expected to complete its initial public offering after this offering. Certain of our executive officers also serve as executive officers for BurTech II and Bridge. Our officers and directors may have conflicts of interest with other entities to which they owe fiduciary or contractual obligations with respect to initial business combination opportunities, including for our officers with respect to BurTech II and Bridge, collectively which we refer to as the “Affiliated SPACs”. None of our officers or directors, our sponsor, nor any of its respective officers, directors, employees, or affiliates, have had management experience with blank check companies or special purpose acquisition corporations in the past. In order to minimize potential conflicts of interest which may arise from multiple affiliations, our officers who are also officers of any of the Affiliated SPACs may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 Although conflicts of interest in pursuing an acquisition target may arise among the Affiliated SPACS, we do not believe that any potential conflicts would materially affect our ability to complete our initial business combination.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strategy is to utilize our management team’s investing and operating experience to identify and acquire a business within our sectors of interest. Upon a successful business combination, we intend to have a hands-on approach towards growing the business organically and through acquisitions, improve operations, raise capital and optimize the business’ capital structure. Our investing style is deep-rooted in disciplined fundamental analysis, taking a long-term view towards shareholder value creation and improving the business’ operating performance. We currently expect that we will leverage our management team’s knowledge, experience and longstanding relationships within various industries towards identifying business combination opportunities. Furthermore, we intend to source initial business combination opportunities through our management team’s network of investors, operating partners, financial firms, brokers and lenders. Upon completion of this offering, members of our management team will communicate with their networks our target acquisition criteria and business strategy to begin the process of pursuing and reviewing potentially interesting ideas.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Thesis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seeing emerging trends of industry crossovers and overlapping technologies and policies across the infrastructure, property, and fintech spaces. The convergence of information, transactions, and management is enabling the rapid growth of the infratech, proptech, and fintech industries - from smart homes to construction/property management/business tech.</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Technology prices and risks are falling while big data and artificial intelligence are rapidly growing. It is no longer enough to just capture data, we have to make sense of it and create new opportunities for people and businesses with it. We also have to streamline services like automated valuations. Connectivity is increasingly crucial for tomorrow's modern life, and with work life shifting due to the pandemic - work, home, and leisure is merging more and more.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 w:name="page14"/>
    <w:bookmarkEnd w:id="13"/>
    <w:p>
      <w:pPr>
        <w:ind w:right="120" w:firstLine="324"/>
        <w:spacing w:after="0" w:line="279" w:lineRule="auto"/>
        <w:rPr>
          <w:sz w:val="20"/>
          <w:szCs w:val="20"/>
          <w:color w:val="auto"/>
        </w:rPr>
      </w:pPr>
      <w:r>
        <w:rPr>
          <w:rFonts w:ascii="Arial" w:cs="Arial" w:eastAsia="Arial" w:hAnsi="Arial"/>
          <w:sz w:val="17"/>
          <w:szCs w:val="17"/>
          <w:color w:val="auto"/>
        </w:rPr>
        <w:t>Social housing needs are rapidly increasing within our changing demographics, and we expect these needs to keep growing. Whether it be micro-housing in high density urban areas or it be multi-generational housing, co-living or community-living, we are seeing these important evolutionary trends across retirees as well as young millennials. Blurring of the use of properties and converting them into multi-function spaces is the next frontier of helping the world increase productivity, comfort, and fun - through spaces where work, rest, and play meet seamlessly.</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rise of the “digital nomad” is also giving rise to a brand new property demand: global properties with lightning fast broadband, print facilities, luxurious bedding, and group dinners that promote intermingling with peers and brainstorming on new ventures and ideas … all before ‘nomading' off to another part of the world for the next few months.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evolution in how we live, play, and work is making the industry rethink how we use space wisely. The sharing economy has emerged, and we are the leading experts in bringing to the world meaningful, sustainable, energy-efficient, and timely changes in how we use properties in the future and also how their economic models need to evolve over time. We believe that our capabilities in technology developments across infrastructure, real estate, fintech, and blockchain will give us unparalleled advantages in bringing viable and diverse options for the entire spectrum of investors, businesses, travelers, renters, and owners. Our reputation and experience along with our acute abilities to leverage, source, value, perform due-diligence, and execute provides us a significant pipeline of opportunities from which we evaluate and select businesses that will benefit from our expertise with regards to their profitability and productivity.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we will not be limited to a particular industry or geographic region, given the experience of our management team, we expect to focus on acquiring a business that participates within the consumer, financial services, lifestyle, infrastructure, technology or real estate markets and gain the benefit of our team’s deep knowledge in cloud connectivity and services that can be leveraged in those markets We believe that significant opportunity exists in bringing scale, increased market penetration and cloud connected technology solutions to businesses that benefit from strong core offerings and have access to large addressable markets. Our management team will look to identify business combination targets that are in need of strategic growth capital, will benefit from becoming a publicly listed company or will benefit from our management team’s experience and relationships towards scaling existing platforms.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will seek to identify companies that have compelling growth potential and a combination of the following characteristics. We will use these criteria and guidelines in evaluating acquisition opportunities, but we may decide to enter our initial business combination with a target business that does not meet these criteria and guidelines. We intend to acquire companies or assets that we believe have the following attributes:</w:t>
      </w:r>
    </w:p>
    <w:p>
      <w:pPr>
        <w:spacing w:after="0" w:line="165" w:lineRule="exact"/>
        <w:rPr>
          <w:sz w:val="20"/>
          <w:szCs w:val="20"/>
          <w:color w:val="auto"/>
        </w:rPr>
      </w:pPr>
    </w:p>
    <w:p>
      <w:pPr>
        <w:ind w:left="660" w:right="38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Scalability and large addressable markets. </w:t>
      </w:r>
      <w:r>
        <w:rPr>
          <w:rFonts w:ascii="Arial" w:cs="Arial" w:eastAsia="Arial" w:hAnsi="Arial"/>
          <w:sz w:val="16"/>
          <w:szCs w:val="16"/>
          <w:color w:val="auto"/>
        </w:rPr>
        <w:t>We intend to seek candidates that operate in large markets where small increases in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penetration can translate into rapid and significant financial benefits. We intend to evaluate each market based on several factors, including competitive dynamics, demand drivers, macroeconomic trends, and the potential to build a sustainable competitive edge.</w:t>
      </w:r>
    </w:p>
    <w:p>
      <w:pPr>
        <w:spacing w:after="0" w:line="148" w:lineRule="exact"/>
        <w:rPr>
          <w:rFonts w:ascii="Arial" w:cs="Arial" w:eastAsia="Arial" w:hAnsi="Arial"/>
          <w:sz w:val="16"/>
          <w:szCs w:val="16"/>
          <w:color w:val="auto"/>
        </w:rPr>
      </w:pPr>
    </w:p>
    <w:p>
      <w:pPr>
        <w:jc w:val="both"/>
        <w:ind w:left="660" w:right="18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Attractive customer demographics. </w:t>
      </w:r>
      <w:r>
        <w:rPr>
          <w:rFonts w:ascii="Arial" w:cs="Arial" w:eastAsia="Arial" w:hAnsi="Arial"/>
          <w:sz w:val="18"/>
          <w:szCs w:val="18"/>
          <w:color w:val="auto"/>
        </w:rPr>
        <w:t>Our management team has deep insights into the consumer and enterprise customer’s behavior and buying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in a range of global markets. We expect to capitalize on shifting demographic trends to build a sustainable business enterprise with clear understandings of global market trends.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Brands serving high growth markets. </w:t>
      </w:r>
      <w:r>
        <w:rPr>
          <w:rFonts w:ascii="Arial" w:cs="Arial" w:eastAsia="Arial" w:hAnsi="Arial"/>
          <w:sz w:val="18"/>
          <w:szCs w:val="18"/>
          <w:color w:val="auto"/>
        </w:rPr>
        <w:t>We intend to seek candidates where we believe that customer connection with the business’ brands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matters and will continue to matter. We believe that building global brand recognition with an awareness of the ultimate brand value in the markets we will serve is a significant driver of shareholder value.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60" w:right="60" w:hanging="328"/>
        <w:spacing w:after="0" w:line="30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Ecosystem-oriented and technology-centric. </w:t>
      </w:r>
      <w:r>
        <w:rPr>
          <w:rFonts w:ascii="Arial" w:cs="Arial" w:eastAsia="Arial" w:hAnsi="Arial"/>
          <w:sz w:val="16"/>
          <w:szCs w:val="16"/>
          <w:color w:val="auto"/>
        </w:rPr>
        <w:t>We intend to seek candidates that have a potential to provide the business’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benefits within a cloud connected ecosystem. Our management team has expertise in identifying and investing in scalable growth businesses. The team has experience in using partnerships to drive value creation, scale and entry into new global markets. Furthermore, our management team has experience deploying capital into companies to propel growth and physical presence across global markets.</w:t>
      </w:r>
    </w:p>
    <w:p>
      <w:pPr>
        <w:spacing w:after="0" w:line="157" w:lineRule="exact"/>
        <w:rPr>
          <w:rFonts w:ascii="Arial" w:cs="Arial" w:eastAsia="Arial" w:hAnsi="Arial"/>
          <w:sz w:val="16"/>
          <w:szCs w:val="16"/>
          <w:color w:val="auto"/>
        </w:rPr>
      </w:pPr>
    </w:p>
    <w:p>
      <w:pPr>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Sustainable Development Goal (SDG) measurements. </w:t>
      </w:r>
      <w:r>
        <w:rPr>
          <w:rFonts w:ascii="Arial" w:cs="Arial" w:eastAsia="Arial" w:hAnsi="Arial"/>
          <w:sz w:val="17"/>
          <w:szCs w:val="17"/>
          <w:color w:val="auto"/>
        </w:rPr>
        <w:t>We intend to seek candidates that have business models and solutions that have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as measured against the United Nations Sustainable Development Goals and that showcase good stewardship of the planet. Our management team is uniquely qualified in this area and has been involved in global advocacy of the SDGs as well as part of enterprises with clear metrics and measurements to show how companies can be measured for their positive impact on the SDGs.</w:t>
      </w:r>
    </w:p>
    <w:p>
      <w:pPr>
        <w:spacing w:after="0" w:line="171" w:lineRule="exact"/>
        <w:rPr>
          <w:rFonts w:ascii="Arial" w:cs="Arial" w:eastAsia="Arial" w:hAnsi="Arial"/>
          <w:sz w:val="17"/>
          <w:szCs w:val="17"/>
          <w:color w:val="auto"/>
        </w:rPr>
      </w:pPr>
    </w:p>
    <w:p>
      <w:pPr>
        <w:ind w:left="660" w:right="120" w:hanging="328"/>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Strong target management teams. </w:t>
      </w:r>
      <w:r>
        <w:rPr>
          <w:rFonts w:ascii="Arial" w:cs="Arial" w:eastAsia="Arial" w:hAnsi="Arial"/>
          <w:sz w:val="16"/>
          <w:szCs w:val="16"/>
          <w:color w:val="auto"/>
        </w:rPr>
        <w:t>We intend to seek candidates that have strong management teams with a track record of driving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enhancing profitability and generating strong free cash flow. We will spend significant time assessing a target company’s leadership and personnel across the organization and evaluating how we can build a stronger team with requisite skill sets to execute on business strategy.</w:t>
      </w:r>
    </w:p>
    <w:p>
      <w:pPr>
        <w:spacing w:after="0" w:line="148" w:lineRule="exact"/>
        <w:rPr>
          <w:rFonts w:ascii="Arial" w:cs="Arial" w:eastAsia="Arial" w:hAnsi="Arial"/>
          <w:sz w:val="16"/>
          <w:szCs w:val="16"/>
          <w:color w:val="auto"/>
        </w:rPr>
      </w:pPr>
    </w:p>
    <w:p>
      <w:pPr>
        <w:ind w:left="660" w:right="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benefit from our management team’s expertise. </w:t>
      </w:r>
      <w:r>
        <w:rPr>
          <w:rFonts w:ascii="Arial" w:cs="Arial" w:eastAsia="Arial" w:hAnsi="Arial"/>
          <w:sz w:val="18"/>
          <w:szCs w:val="18"/>
          <w:color w:val="auto"/>
        </w:rPr>
        <w:t>We intend to seek candidates whose performance can be augmented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investing, operating expertise, and global enterprise networks. Our management team has actively recruited and retained key operational human capital into companies.</w:t>
      </w:r>
    </w:p>
    <w:p>
      <w:pPr>
        <w:spacing w:after="0" w:line="183" w:lineRule="exact"/>
        <w:rPr>
          <w:rFonts w:ascii="Arial" w:cs="Arial" w:eastAsia="Arial" w:hAnsi="Arial"/>
          <w:sz w:val="18"/>
          <w:szCs w:val="18"/>
          <w:color w:val="auto"/>
        </w:rPr>
      </w:pPr>
    </w:p>
    <w:p>
      <w:pPr>
        <w:ind w:left="660" w:right="74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Opportunity for operational improvements. </w:t>
      </w:r>
      <w:r>
        <w:rPr>
          <w:rFonts w:ascii="Arial" w:cs="Arial" w:eastAsia="Arial" w:hAnsi="Arial"/>
          <w:sz w:val="17"/>
          <w:szCs w:val="17"/>
          <w:color w:val="auto"/>
        </w:rPr>
        <w:t>We will seek to identify businesses that we believe would benefit from our ability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the target company’s revenue models, cost structure, brand awareness and product offerings.</w:t>
      </w:r>
    </w:p>
    <w:p>
      <w:pPr>
        <w:spacing w:after="0" w:line="146" w:lineRule="exact"/>
        <w:rPr>
          <w:rFonts w:ascii="Arial" w:cs="Arial" w:eastAsia="Arial" w:hAnsi="Arial"/>
          <w:sz w:val="17"/>
          <w:szCs w:val="17"/>
          <w:color w:val="auto"/>
        </w:rPr>
      </w:pPr>
    </w:p>
    <w:p>
      <w:pPr>
        <w:ind w:left="660" w:right="2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Growth opportunities through capital investment. </w:t>
      </w:r>
      <w:r>
        <w:rPr>
          <w:rFonts w:ascii="Arial" w:cs="Arial" w:eastAsia="Arial" w:hAnsi="Arial"/>
          <w:sz w:val="18"/>
          <w:szCs w:val="18"/>
          <w:color w:val="auto"/>
        </w:rPr>
        <w:t>We intend to seek candidates that will benefit from additional capital investment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and technology enhancing solutions. These opportunities may include investment in existing and new facilities to drive growth.</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Opportunities for add-on acquisitions. </w:t>
      </w:r>
      <w:r>
        <w:rPr>
          <w:rFonts w:ascii="Arial" w:cs="Arial" w:eastAsia="Arial" w:hAnsi="Arial"/>
          <w:sz w:val="18"/>
          <w:szCs w:val="18"/>
          <w:color w:val="auto"/>
        </w:rPr>
        <w:t>We will seek to acquire one or more businesses or assets that we can grow both organically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we believe that our ability to source proprietary opportunities will be valuable as we continue to build upon a robust public company platform post initial business combination.</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Appropriate valuations. </w:t>
      </w:r>
      <w:r>
        <w:rPr>
          <w:rFonts w:ascii="Arial" w:cs="Arial" w:eastAsia="Arial" w:hAnsi="Arial"/>
          <w:sz w:val="18"/>
          <w:szCs w:val="18"/>
          <w:color w:val="auto"/>
        </w:rPr>
        <w:t>We will seek to be disciplined and bring our fundamental investing approach towards valuing potential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targets.</w:t>
      </w:r>
    </w:p>
    <w:p>
      <w:pPr>
        <w:spacing w:after="0" w:line="17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some or all of the above criteria and guidelines, we will disclose that the target business does not meet such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 with Diverse Deal Sourcing Network</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management team’s contacts and relationships are extensive across the targeted industries, providing superior access to private companies. With regard to real estate, infrastructure, financial services, lifestyle brands, our network includes private equity, venture capital, technology entrepreneurs, and individual owners and founders of space-as-a-service operators, clean energy, cloud services, real estate technology companies, hotels, retailers, and restaurant groups. This network extends beyond the United States into Europe, Asia, the Middle East, South America, and Sub-Saharan Africa. We intend to leverage this network to gain exclusive access to and identify attractive target businesses which have the opportunity to scale up, transition services and customers, and grow.</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5" w:name="page16"/>
    <w:bookmarkEnd w:id="15"/>
    <w:p>
      <w:pPr>
        <w:ind w:right="20" w:firstLine="324"/>
        <w:spacing w:after="0" w:line="259"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real estate market participants, private equity and venture capital groups, investment banking firms, consultants, legal and accounting firms and large business enterprises. Upon completion of this offering, members of our management team will communicate actively with their networks of relationships to articulate parameters for a potential business combination target.</w:t>
      </w:r>
    </w:p>
    <w:p>
      <w:pPr>
        <w:spacing w:after="0" w:line="18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of our management team is not a guarantee either (i) of success with respect to any business combination we may consummate or</w:t>
      </w:r>
    </w:p>
    <w:p>
      <w:pPr>
        <w:spacing w:after="0" w:line="46" w:lineRule="exact"/>
        <w:rPr>
          <w:sz w:val="20"/>
          <w:szCs w:val="20"/>
          <w:color w:val="auto"/>
        </w:rPr>
      </w:pPr>
    </w:p>
    <w:p>
      <w:pPr>
        <w:ind w:right="40" w:firstLine="8"/>
        <w:spacing w:after="0" w:line="251"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and non-compete agreements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and understandings of Governmental policy and work with Universities on Innovation programs.</w:t>
      </w:r>
    </w:p>
    <w:p>
      <w:pPr>
        <w:spacing w:after="0" w:line="225"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management team brings significant experience working with Governmental groups and organizations on policy and programs to enhance the reach of U.S. companies in developing markets in areas of technology and infrastructure. Our management team also works closely with leading Universities in the United States on programs to enhance the opportunity and access of technology and innovation for new markets both in the United States and in Developing Markets. This understanding and experience with the role of Governmental policies and strong University programs play in opening and enhancing global market opportunities for our businesses we feel is a unique competitive strength of our management team.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Identifying and Investing in Scalable Businesses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team brings recent experience in working with rapidly scaling businesses. The complementary skillset of our management team is well suited to working with companies and brands that can grow rapidly with the addition of, or access to capital. Helping companies grow physical presence by utilizing our management team’s knowledge of global real estate markets, real estate operations, and the capital markets is a core competitive strength.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firstLine="324"/>
        <w:spacing w:after="0" w:line="311" w:lineRule="auto"/>
        <w:rPr>
          <w:sz w:val="20"/>
          <w:szCs w:val="20"/>
          <w:color w:val="auto"/>
        </w:rPr>
      </w:pPr>
      <w:r>
        <w:rPr>
          <w:rFonts w:ascii="Arial" w:cs="Arial" w:eastAsia="Arial" w:hAnsi="Arial"/>
          <w:sz w:val="16"/>
          <w:szCs w:val="16"/>
          <w:color w:val="auto"/>
        </w:rPr>
        <w:t>We will have until 15 months from the closing of this offering to consummate an initial business combination. Up to $1,500,000 of the loans made by our sponsor, our officers and directors, or our or their affiliates to us prior to or in connection with our initial business combination (including loans made to extend our time period for consummating a business combination) may be convertible into units at a price of $10.00 per unit at the option of the lender.</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the business combination involves more than one target business, the 80% fair market value test will be based on the aggregate value of all of the target businesses and we will treat the target businesses together as our initial business combination for purposes of a tender offer or for seeking stockholder approval, as applicable.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sponsor, officers, directors,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6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right="6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the expertise of our management team in analyzing companies and evaluating operating projections, financial projections and determining the appropriate return expectations given the risk profile of the target business.</w:t>
      </w:r>
    </w:p>
    <w:p>
      <w:pPr>
        <w:spacing w:after="0" w:line="18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Members of our management team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 We have not selected any specific business combination target and we have not, nor has anyone on our behalf, initiated any substantive discussions, directly or indirectly, with any business combination target.</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Some of our officers and directors presently have,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and that our obligations are to entities that are not themselves in the business of engaging in business combinations.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Corporate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Our executive offices are located at 1300 Pennsylvania Ave NW, Suite 700, Washington, DC 20004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202) 600-5757.</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 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common stock held by non-affiliates exceeds $250 million as of the end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of this prospectus entitled “Risk Factors.”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1180" w:hanging="161"/>
        <w:spacing w:after="0" w:line="277" w:lineRule="auto"/>
        <w:rPr>
          <w:sz w:val="20"/>
          <w:szCs w:val="20"/>
          <w:color w:val="auto"/>
        </w:rPr>
      </w:pPr>
      <w:r>
        <w:rPr>
          <w:rFonts w:ascii="Arial" w:cs="Arial" w:eastAsia="Arial" w:hAnsi="Arial"/>
          <w:sz w:val="18"/>
          <w:szCs w:val="18"/>
          <w:color w:val="auto"/>
        </w:rPr>
        <w:t>Trading commencement and separation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right="1900" w:hanging="161"/>
        <w:spacing w:after="0" w:line="259" w:lineRule="auto"/>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ind w:left="80" w:right="380"/>
        <w:spacing w:after="0" w:line="342" w:lineRule="auto"/>
        <w:rPr>
          <w:sz w:val="20"/>
          <w:szCs w:val="20"/>
          <w:color w:val="auto"/>
        </w:rPr>
      </w:pPr>
      <w:r>
        <w:rPr>
          <w:rFonts w:ascii="Arial" w:cs="Arial" w:eastAsia="Arial" w:hAnsi="Arial"/>
          <w:sz w:val="16"/>
          <w:szCs w:val="16"/>
          <w:color w:val="auto"/>
        </w:rPr>
        <w:t>25,000,000 units (or 28,750,000 units if the underwriters’ over-allotment option is exercised in full), at $10.00 per unit, each unit consisting of:</w:t>
      </w:r>
    </w:p>
    <w:p>
      <w:pPr>
        <w:spacing w:after="0" w:line="124" w:lineRule="exact"/>
        <w:rPr>
          <w:sz w:val="20"/>
          <w:szCs w:val="20"/>
          <w:color w:val="auto"/>
        </w:rPr>
      </w:pPr>
    </w:p>
    <w:p>
      <w:pPr>
        <w:ind w:left="600" w:hanging="1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225" w:lineRule="exact"/>
        <w:rPr>
          <w:rFonts w:ascii="Arial" w:cs="Arial" w:eastAsia="Arial" w:hAnsi="Arial"/>
          <w:sz w:val="18"/>
          <w:szCs w:val="18"/>
          <w:color w:val="auto"/>
        </w:rPr>
      </w:pPr>
    </w:p>
    <w:p>
      <w:pPr>
        <w:ind w:left="660" w:hanging="2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redeemable warrant.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Units: “BRKHU”</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Class A common stock: “BRKH”</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Warrants: “BRKHW”</w:t>
      </w:r>
    </w:p>
    <w:p>
      <w:pPr>
        <w:spacing w:after="0" w:line="225" w:lineRule="exact"/>
        <w:rPr>
          <w:sz w:val="20"/>
          <w:szCs w:val="20"/>
          <w:color w:val="auto"/>
        </w:rPr>
      </w:pPr>
    </w:p>
    <w:p>
      <w:pPr>
        <w:ind w:left="80" w:right="100"/>
        <w:spacing w:after="0" w:line="291" w:lineRule="auto"/>
        <w:rPr>
          <w:sz w:val="20"/>
          <w:szCs w:val="20"/>
          <w:color w:val="auto"/>
        </w:rPr>
      </w:pPr>
      <w:r>
        <w:rPr>
          <w:rFonts w:ascii="Arial" w:cs="Arial" w:eastAsia="Arial" w:hAnsi="Arial"/>
          <w:sz w:val="16"/>
          <w:szCs w:val="16"/>
          <w:color w:val="auto"/>
        </w:rPr>
        <w:t>The units will begin trading on or promptly after the date of this prospectus. We expect the Class A common stock and warrants comprising the units will</w:t>
      </w:r>
    </w:p>
    <w:p>
      <w:pPr>
        <w:ind w:left="80" w:right="20"/>
        <w:spacing w:after="0" w:line="256" w:lineRule="auto"/>
        <w:rPr>
          <w:sz w:val="20"/>
          <w:szCs w:val="20"/>
          <w:color w:val="auto"/>
        </w:rPr>
      </w:pPr>
      <w:r>
        <w:rPr>
          <w:rFonts w:ascii="Arial" w:cs="Arial" w:eastAsia="Arial" w:hAnsi="Arial"/>
          <w:sz w:val="17"/>
          <w:szCs w:val="17"/>
          <w:color w:val="auto"/>
        </w:rPr>
        <w:t>begin separate trading on the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w:t>
      </w:r>
    </w:p>
    <w:p>
      <w:pPr>
        <w:spacing w:after="0" w:line="190" w:lineRule="exact"/>
        <w:rPr>
          <w:sz w:val="20"/>
          <w:szCs w:val="20"/>
          <w:color w:val="auto"/>
        </w:rPr>
      </w:pPr>
    </w:p>
    <w:p>
      <w:pPr>
        <w:ind w:left="80"/>
        <w:spacing w:after="0" w:line="269" w:lineRule="auto"/>
        <w:rPr>
          <w:sz w:val="20"/>
          <w:szCs w:val="20"/>
          <w:color w:val="auto"/>
        </w:rPr>
      </w:pPr>
      <w:r>
        <w:rPr>
          <w:rFonts w:ascii="Arial" w:cs="Arial" w:eastAsia="Arial" w:hAnsi="Arial"/>
          <w:sz w:val="17"/>
          <w:szCs w:val="17"/>
          <w:color w:val="auto"/>
        </w:rPr>
        <w:t>In no event will the Class A common stock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20" w:space="720"/>
            <w:col w:w="570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1240"/>
        <w:spacing w:after="0" w:line="342" w:lineRule="auto"/>
        <w:rPr>
          <w:sz w:val="20"/>
          <w:szCs w:val="20"/>
          <w:color w:val="auto"/>
        </w:rPr>
      </w:pPr>
      <w:r>
        <w:rPr>
          <w:rFonts w:ascii="Arial" w:cs="Arial" w:eastAsia="Arial" w:hAnsi="Arial"/>
          <w:sz w:val="16"/>
          <w:szCs w:val="16"/>
          <w:color w:val="auto"/>
        </w:rPr>
        <w:t>Number or placement units to be sold in a private placement simultaneously with this offering</w:t>
      </w:r>
    </w:p>
    <w:p>
      <w:pPr>
        <w:spacing w:after="0" w:line="12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Number outstanding after this offering and the private placement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Number outstanding after this offering and the private placement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1400"/>
        <w:spacing w:after="0" w:line="308"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804,500 </w:t>
      </w:r>
      <w:r>
        <w:rPr>
          <w:rFonts w:ascii="Arial" w:cs="Arial" w:eastAsia="Arial" w:hAnsi="Arial"/>
          <w:sz w:val="29"/>
          <w:szCs w:val="29"/>
          <w:color w:val="auto"/>
          <w:vertAlign w:val="superscript"/>
        </w:rPr>
        <w:t>(1)</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25,804,500 </w:t>
      </w:r>
      <w:r>
        <w:rPr>
          <w:rFonts w:ascii="Arial" w:cs="Arial" w:eastAsia="Arial" w:hAnsi="Arial"/>
          <w:sz w:val="29"/>
          <w:szCs w:val="29"/>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8,250,000 shares of Class B common stock</w:t>
      </w:r>
      <w:r>
        <w:rPr>
          <w:rFonts w:ascii="Arial" w:cs="Arial" w:eastAsia="Arial" w:hAnsi="Arial"/>
          <w:sz w:val="29"/>
          <w:szCs w:val="29"/>
          <w:color w:val="auto"/>
          <w:vertAlign w:val="superscript"/>
        </w:rPr>
        <w:t>(2)</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34,429,500 shares of Class A common stock and Class B common</w:t>
      </w:r>
    </w:p>
    <w:p>
      <w:pPr>
        <w:ind w:left="180"/>
        <w:spacing w:after="0" w:line="182" w:lineRule="auto"/>
        <w:rPr>
          <w:sz w:val="20"/>
          <w:szCs w:val="20"/>
          <w:color w:val="auto"/>
        </w:rPr>
      </w:pPr>
      <w:r>
        <w:rPr>
          <w:rFonts w:ascii="Arial" w:cs="Arial" w:eastAsia="Arial" w:hAnsi="Arial"/>
          <w:sz w:val="32"/>
          <w:szCs w:val="32"/>
          <w:color w:val="auto"/>
          <w:vertAlign w:val="subscript"/>
        </w:rPr>
        <w:t>stock</w:t>
      </w:r>
      <w:r>
        <w:rPr>
          <w:rFonts w:ascii="Arial" w:cs="Arial" w:eastAsia="Arial" w:hAnsi="Arial"/>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25,804,500 </w:t>
      </w:r>
      <w:r>
        <w:rPr>
          <w:rFonts w:ascii="Arial" w:cs="Arial" w:eastAsia="Arial" w:hAnsi="Arial"/>
          <w:sz w:val="29"/>
          <w:szCs w:val="29"/>
          <w:color w:val="auto"/>
          <w:vertAlign w:val="superscript"/>
        </w:rPr>
        <w:t>(1)</w:t>
      </w:r>
    </w:p>
    <w:p>
      <w:pPr>
        <w:spacing w:after="0" w:line="311" w:lineRule="exact"/>
        <w:rPr>
          <w:sz w:val="20"/>
          <w:szCs w:val="20"/>
          <w:color w:val="auto"/>
        </w:rPr>
      </w:pPr>
    </w:p>
    <w:p>
      <w:pPr>
        <w:ind w:left="180"/>
        <w:spacing w:after="0" w:line="259" w:lineRule="auto"/>
        <w:rPr>
          <w:sz w:val="20"/>
          <w:szCs w:val="20"/>
          <w:color w:val="auto"/>
        </w:rPr>
      </w:pPr>
      <w:r>
        <w:rPr>
          <w:rFonts w:ascii="Arial" w:cs="Arial" w:eastAsia="Arial" w:hAnsi="Arial"/>
          <w:sz w:val="18"/>
          <w:szCs w:val="18"/>
          <w:color w:val="auto"/>
        </w:rPr>
        <w:t>Each warrant is exercisable to purchase one share of our Class A common stock, subject to adjustment as provided herein. No fractional warrants will be issued upon separation of the units and only whole warrants will trade and are exercisable.</w:t>
      </w:r>
    </w:p>
    <w:p>
      <w:pPr>
        <w:spacing w:after="0" w:line="187" w:lineRule="exact"/>
        <w:rPr>
          <w:sz w:val="20"/>
          <w:szCs w:val="20"/>
          <w:color w:val="auto"/>
        </w:rPr>
      </w:pPr>
    </w:p>
    <w:p>
      <w:pPr>
        <w:ind w:left="180" w:right="380"/>
        <w:spacing w:after="0" w:line="308" w:lineRule="auto"/>
        <w:rPr>
          <w:sz w:val="20"/>
          <w:szCs w:val="20"/>
          <w:color w:val="auto"/>
        </w:rPr>
      </w:pPr>
      <w:r>
        <w:rPr>
          <w:rFonts w:ascii="Arial" w:cs="Arial" w:eastAsia="Arial" w:hAnsi="Arial"/>
          <w:sz w:val="17"/>
          <w:szCs w:val="17"/>
          <w:color w:val="auto"/>
        </w:rPr>
        <w:t>We structured each unit to contain one redeemable warrant, with each warrant exercisable for one share of Class A common stock.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20" w:space="720"/>
            <w:col w:w="5580"/>
          </w:cols>
          <w:pgMar w:left="320" w:top="904" w:right="459" w:bottom="1440" w:gutter="0" w:footer="0" w:header="0"/>
        </w:sectPr>
      </w:pPr>
    </w:p>
    <w:bookmarkStart w:id="21" w:name="page22"/>
    <w:bookmarkEnd w:id="21"/>
    <w:p>
      <w:pPr>
        <w:ind w:left="520" w:hanging="512"/>
        <w:spacing w:after="0" w:line="293"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forfeiture by our initial stockholders of 1,237,500 founder shares. Our sponsor has agreed to purchase an aggregate of 804,500 placement units (or 898,250 placement units if the over-allotment option is exercised in full) for an aggregate purchase price of $8,045,000 ($8,982,500 if the over-allotment option is exercised in full). Each placement unit will be identical to the units sold in this offering, except as described in this prospectus. The placement units are not subject to forfeiture but will be subject to transfer restrictions as described in “Principal Stockholders — Transfers of Founder Shares and Placement Units (including securities contained therein)”. Total number of warrants is comprised of 25,000,000 warrants underlying units to be sold in this offering and 804,500 placement warrants.</w:t>
      </w:r>
    </w:p>
    <w:p>
      <w:pPr>
        <w:spacing w:after="0" w:line="164" w:lineRule="exact"/>
        <w:rPr>
          <w:rFonts w:ascii="Arial" w:cs="Arial" w:eastAsia="Arial" w:hAnsi="Arial"/>
          <w:sz w:val="16"/>
          <w:szCs w:val="16"/>
          <w:color w:val="auto"/>
        </w:rPr>
      </w:pPr>
    </w:p>
    <w:p>
      <w:pPr>
        <w:ind w:left="520" w:right="2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9,487,500 founders’ shares. The 9,487,500 founders’ shares, include an aggregate of up to 1,237,500 founders’ shares that are subject to forfeiture by our initial stockholders assuming the underwriters’ over-allotment option is not exercised.</w:t>
      </w:r>
    </w:p>
    <w:p>
      <w:pPr>
        <w:spacing w:after="0" w:line="170" w:lineRule="exact"/>
        <w:rPr>
          <w:rFonts w:ascii="Arial" w:cs="Arial" w:eastAsia="Arial" w:hAnsi="Arial"/>
          <w:sz w:val="18"/>
          <w:szCs w:val="18"/>
          <w:color w:val="auto"/>
        </w:rPr>
      </w:pPr>
    </w:p>
    <w:p>
      <w:pPr>
        <w:ind w:left="520" w:right="280" w:hanging="512"/>
        <w:spacing w:after="0" w:line="301"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Comprised of 25,804,500 shares of Class A common stock (including 804,500 placement shares) and 8,250,000 shares of Class B common stock founder shares plus 375,000 shares of Class A common stock which we have agreed to issue to the representative or its designees, upon consummation of this offering. The shares of Class B common stock are convertible into shares of our Class A common stock on a one-for-one basis, subject to adjustment as described below adjacent to the caption “Founder shares conversion and anti-dilution rights.”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Exercise price</w:t>
            </w: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$11.50 per share, subject to adjustment as described herein. In addition, if (x) we issue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additional shares of Class A common stock or equity-linked securities for capital raising</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purposes in connection with the closing of our initial business combination at an issue price or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effective issue price of less than $9.20 per share of Class A common stock (with such issue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price or effective issue price to be determined in good faith by our board of directors and, in</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the case of any such issuance to our sponsor or its affiliates, without taking into account any</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89"/>
              </w:rPr>
              <w:t>founder shares held by our sponsor or such affiliates, as applicable, prior to such issuance) (the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“Newly Issued Price”), (y) the aggregate gross proceeds from such issuances represent more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than 60% of the total equity proceeds, and interest thereon, available for the funding of our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initial business combination on the date of the consummation of our initial business</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combination (net of redemptions), and (z) the volume weighted average trading price of our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Class A common stock during the 20 trading day period starting on the trading day prior to the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day on which we consummate our initial business combination (such price, the “Market</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Value”) is below $9.20 per share, then the exercise price of the warrants will be adjusted (to</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0"/>
              </w:rPr>
              <w:t>the nearest cent) to be equal to 115% of the greater of the Market Value and the Newly Issued</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Price, and the $18.00 per share redemption trigger price described below under “Redemption</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5"/>
              </w:rPr>
              <w:t>of warrants” will be adjusted (to the nearest cent) to be equal to 180% of the greater of the</w:t>
            </w:r>
          </w:p>
        </w:tc>
      </w:tr>
      <w:tr>
        <w:trPr>
          <w:trHeight w:val="230"/>
        </w:trPr>
        <w:tc>
          <w:tcPr>
            <w:tcW w:w="2760" w:type="dxa"/>
            <w:vAlign w:val="bottom"/>
          </w:tcPr>
          <w:p>
            <w:pPr>
              <w:spacing w:after="0"/>
              <w:rPr>
                <w:sz w:val="20"/>
                <w:szCs w:val="20"/>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Market Value and the Newly Issued Price.</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Exercise period</w:t>
            </w:r>
          </w:p>
        </w:tc>
        <w:tc>
          <w:tcPr>
            <w:tcW w:w="8480" w:type="dxa"/>
            <w:vAlign w:val="bottom"/>
          </w:tcPr>
          <w:p>
            <w:pPr>
              <w:ind w:left="1640"/>
              <w:spacing w:after="0"/>
              <w:rPr>
                <w:sz w:val="20"/>
                <w:szCs w:val="20"/>
                <w:color w:val="auto"/>
              </w:rPr>
            </w:pPr>
            <w:r>
              <w:rPr>
                <w:rFonts w:ascii="Arial" w:cs="Arial" w:eastAsia="Arial" w:hAnsi="Arial"/>
                <w:sz w:val="18"/>
                <w:szCs w:val="18"/>
                <w:color w:val="auto"/>
                <w:w w:val="92"/>
              </w:rPr>
              <w:t>The warrants will become exercisable the later of (i) 30 days after the completion of our initial</w:t>
            </w:r>
          </w:p>
        </w:tc>
      </w:tr>
      <w:tr>
        <w:trPr>
          <w:trHeight w:val="230"/>
        </w:trPr>
        <w:tc>
          <w:tcPr>
            <w:tcW w:w="2760" w:type="dxa"/>
            <w:vAlign w:val="bottom"/>
          </w:tcPr>
          <w:p>
            <w:pPr>
              <w:spacing w:after="0"/>
              <w:rPr>
                <w:sz w:val="20"/>
                <w:szCs w:val="20"/>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business combination or (ii) 12 months from the closing of this public offering.</w:t>
            </w:r>
          </w:p>
        </w:tc>
      </w:tr>
      <w:tr>
        <w:trPr>
          <w:trHeight w:val="648"/>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8"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hanging="161"/>
        <w:spacing w:after="0" w:line="342" w:lineRule="auto"/>
        <w:rPr>
          <w:sz w:val="20"/>
          <w:szCs w:val="20"/>
          <w:color w:val="auto"/>
        </w:rPr>
      </w:pPr>
      <w:r>
        <w:rPr>
          <w:rFonts w:ascii="Arial" w:cs="Arial" w:eastAsia="Arial" w:hAnsi="Arial"/>
          <w:sz w:val="16"/>
          <w:szCs w:val="16"/>
          <w:color w:val="auto"/>
        </w:rPr>
        <w:t>Redemption of Warrants when the price per share of our Class A common stock equals or exceeds $18.00</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issuance of the shares of Class A common stock issuable upon exercise of the warrants, to cause such registration statement to become effective within 60 business days following our initial business combination and to maintain a current prospectus relating to those shares of Class A common stock until the warrants expire or are redeemed.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warrants is not effective within the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may redeem the outstanding warrants:</w:t>
      </w:r>
    </w:p>
    <w:p>
      <w:pPr>
        <w:spacing w:after="0" w:line="225" w:lineRule="exact"/>
        <w:rPr>
          <w:sz w:val="20"/>
          <w:szCs w:val="20"/>
          <w:color w:val="auto"/>
        </w:rPr>
      </w:pPr>
    </w:p>
    <w:p>
      <w:pPr>
        <w:ind w:left="680" w:hanging="289"/>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80" w:hanging="289"/>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a price of $0.01 per warrant at any time after the warrants become exercisable,</w:t>
      </w:r>
    </w:p>
    <w:p>
      <w:pPr>
        <w:spacing w:after="0" w:line="20" w:lineRule="exact"/>
        <w:rPr>
          <w:rFonts w:ascii="Arial" w:cs="Arial" w:eastAsia="Arial" w:hAnsi="Arial"/>
          <w:sz w:val="17"/>
          <w:szCs w:val="17"/>
          <w:color w:val="auto"/>
        </w:rPr>
      </w:pPr>
    </w:p>
    <w:p>
      <w:pPr>
        <w:ind w:left="680" w:right="440" w:hanging="289"/>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w:t>
      </w:r>
    </w:p>
    <w:p>
      <w:pPr>
        <w:ind w:left="680" w:right="40" w:hanging="289"/>
        <w:spacing w:after="0" w:line="265"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and only if, the last sales price of our shares of Class A common stock equals or exceeds $18.00 per share (as adjusted for stock splits, stock dividends, reorganizations and recapitalizations) for any 20 trading days within a 30 trading day period commencing at any time after the warrants become exercisable and ending three business days before we send the notice of redemption; and</w:t>
      </w:r>
    </w:p>
    <w:p>
      <w:pPr>
        <w:ind w:left="680" w:right="300" w:hanging="289"/>
        <w:spacing w:after="0" w:line="29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each warrant holder can exercise his, her or its warrant prior to the scheduled redemption date. However, the price of the shares of Class A common stock may fall below the $18.00 trigger price as well as the $11.50 warrant exercise price after the redemption notice is issued.</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Please see the section of this prospectus entitled “Description of Securities — Redeemable Warrants — Public Stockholders’ Warrants” for additional information.</w:t>
      </w:r>
    </w:p>
    <w:p>
      <w:pPr>
        <w:spacing w:after="0" w:line="3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880" w:space="340"/>
            <w:col w:w="6840"/>
          </w:cols>
          <w:pgMar w:left="500" w:top="9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Founder shares</w:t>
            </w: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On May 21, 2021, our sponsor purchased 8,625,000 founder shares for an aggregate purchase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price of $25,000. On September 24, 2021, the Company issued 862,500 shares of Class B</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common stock in connection with a 1.1 stock split, resulting in an aggregate of 9,487,500</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shares of Class B common stock outstanding, or approximately $0.003 per share. Prior to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initial investment in the company of $25,000 by our sponsor, the company had no assets,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tangible or intangible. The per share purchase price of the founder shares was determined by</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dividing the amount of cash contributed to the company by the aggregate number of founder</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shares issued. The number of founder shares issued was determined based on the expectation</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that the founder shares would represent 24.81% of the outstanding shares after this offering</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8"/>
              </w:rPr>
              <w:t>(excluding the shares of Class A common stock to be issued to the representative or its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designees upon consummation of this offering, the placement units and securities underlying</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9"/>
              </w:rPr>
              <w:t>the placement units and assuming the initial stockholders do not purchase units in this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5"/>
              </w:rPr>
              <w:t>offering). As such, our initial stockholders will collectively own approximately 26.6% of our</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issued and outstanding shares after this offering (including the placement shares to be issued to</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the sponsor and assuming they do not purchase any units in this offering but excluding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shares of Class A common stock to be issued to the representative or its designees upon</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consummation of this offering). Neither our sponsor nor any of our officers or directors have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expressed an intention to purchase any units in this offering. Up to 1,237,500 founder shares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held by our initial stockholders will be subject to forfeiture depending on the extent to which</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the underwriters’ over-allotment option is exercised so that our initial stockholders will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maintain ownership of 24.81% of the outstanding shares after this offering (excluding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shares of Class A common stock to be issued to the representative or its designees upon</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consummation of this offering, the placement units and securities underlying the placement</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units and assuming the initial stockholders do not purchase units in this offering). We will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effect a stock dividend or share contribution prior to this offering should the size of the</w:t>
            </w:r>
          </w:p>
        </w:tc>
      </w:tr>
      <w:tr>
        <w:trPr>
          <w:trHeight w:val="230"/>
        </w:trPr>
        <w:tc>
          <w:tcPr>
            <w:tcW w:w="274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offering change, in order to maintain such ownership percentage.</w:t>
            </w:r>
          </w:p>
        </w:tc>
      </w:tr>
      <w:tr>
        <w:trPr>
          <w:trHeight w:val="418"/>
        </w:trPr>
        <w:tc>
          <w:tcPr>
            <w:tcW w:w="2740" w:type="dxa"/>
            <w:vAlign w:val="bottom"/>
          </w:tcPr>
          <w:p>
            <w:pPr>
              <w:spacing w:after="0"/>
              <w:rPr>
                <w:sz w:val="24"/>
                <w:szCs w:val="24"/>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The founder shares are identical to the shares of Class A common stock included in the units</w:t>
            </w:r>
          </w:p>
        </w:tc>
      </w:tr>
      <w:tr>
        <w:trPr>
          <w:trHeight w:val="230"/>
        </w:trPr>
        <w:tc>
          <w:tcPr>
            <w:tcW w:w="274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being sold in this offering, except that:</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4"/>
              </w:rPr>
              <w:t>•  the founder shares are shares of Class B common stock that automatically convert into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9"/>
              </w:rPr>
              <w:t>shares of our Class A common stock at the time of the consummation of our initial</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2"/>
              </w:rPr>
              <w:t>business combination, on a one-for-one basis, subject to adjustment pursuant to certain</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anti-dilution rights, as described herein;</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2"/>
              </w:rPr>
              <w:t>•  the founder shares are subject to certain transfer restrictions, as described in more detail</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below;</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2"/>
              </w:rPr>
              <w:t>•  our sponsor, officers and directors have entered into a letter agreement with us, pursuant</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1"/>
              </w:rPr>
              <w:t>to which they have agreed to (i) waive their redemption rights with respect to any founder</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shares, placement shares and public shares held by them in connection with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7"/>
              </w:rPr>
              <w:t>completion of our initial business combination, (ii) waive their redemption rights with</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7"/>
              </w:rPr>
              <w:t>respect to any founder shares, placement shares and public shares held by them in</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89"/>
              </w:rPr>
              <w:t>connection with a stockholder vote to approve an amendment to our amended and restated</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8"/>
              </w:rPr>
              <w:t>certificate of incorporation (A) to modify the substance or timing of our obligation to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allow redemption in connection with our initial business combination or certain</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1"/>
              </w:rPr>
              <w:t>amendments to our charter prior thereto or to redeem 100% of our public shares if we do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not complete our initial business combination within 15 months from the closing of this</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offering or (B) with respect to any other provision relating to stockholders’ rights or pre-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3"/>
              </w:rPr>
              <w:t>initial business combination activity and (iii) waive their rights to liquidating distributions</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2"/>
              </w:rPr>
              <w:t>from the trust account with respect to any founder shares and placement shares held by</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6"/>
              </w:rPr>
              <w:t>them if we fail to complete our initial business combination within 15 months from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closing of this offering, although they will be entitled to liquidating distributions from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3"/>
              </w:rPr>
              <w:t>trust account with respect to any public shares they hold if we fail to complete our initial</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business combination within the prescribed time frame;</w:t>
            </w:r>
          </w:p>
        </w:tc>
      </w:tr>
      <w:tr>
        <w:trPr>
          <w:trHeight w:val="648"/>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908" w:right="339" w:bottom="1440" w:gutter="0" w:footer="0" w:header="0"/>
        </w:sectPr>
      </w:pPr>
    </w:p>
    <w:bookmarkStart w:id="24" w:name="page25"/>
    <w:bookmarkEnd w:id="24"/>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pursuant to the letter agreement, our sponsor, officers and directors have agreed to vote any founder shares and placement shares held by them and any public shares they may acquire during or after this offering (including in open market and privately negotiated transactions) in favor of our initial business combination. If we submit our initial business combination to our public stockholders for a vote, we will complete our initial business combination only if a majority of the then outstanding shares of common stock present and entitled to vote at the meeting to approve the initial business combination are voted in favor of the initial business combination. As a result, in the event that only the minimum number of shares representing a quorum is present at a stockholders’ meeting held to vote on our initial business combination, in addition to our initial stockholders’ founder shares and placement shares, we would need no additional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and</w:t>
      </w:r>
    </w:p>
    <w:p>
      <w:pPr>
        <w:spacing w:after="0" w:line="200" w:lineRule="exact"/>
        <w:rPr>
          <w:sz w:val="20"/>
          <w:szCs w:val="20"/>
          <w:color w:val="auto"/>
        </w:rPr>
      </w:pPr>
    </w:p>
    <w:p>
      <w:pPr>
        <w:sectPr>
          <w:pgSz w:w="11900" w:h="16838" w:orient="portrait"/>
          <w:cols w:equalWidth="0" w:num="2">
            <w:col w:w="4480" w:space="260"/>
            <w:col w:w="6480"/>
          </w:cols>
          <w:pgMar w:left="320" w:top="908" w:right="359" w:bottom="1440" w:gutter="0" w:footer="0" w:header="0"/>
        </w:sectPr>
      </w:pP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founder shares are entitled to registration rights.</w:t>
      </w:r>
    </w:p>
    <w:p>
      <w:pPr>
        <w:spacing w:after="0" w:line="222" w:lineRule="exact"/>
        <w:rPr>
          <w:sz w:val="20"/>
          <w:szCs w:val="20"/>
          <w:color w:val="auto"/>
        </w:rPr>
      </w:pPr>
    </w:p>
    <w:p>
      <w:pPr>
        <w:sectPr>
          <w:pgSz w:w="11900" w:h="16838" w:orient="portrait"/>
          <w:cols w:equalWidth="0" w:num="2">
            <w:col w:w="4480" w:space="260"/>
            <w:col w:w="6480"/>
          </w:cols>
          <w:pgMar w:left="320" w:top="908"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Transfer restrictions on founder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initial stockholders have agreed not to transfer, assign or sell any of their founder shares (or shares of common stock issuable upon conversion thereof) until the earlier to occur of:</w:t>
      </w:r>
    </w:p>
    <w:p>
      <w:pPr>
        <w:spacing w:after="0" w:line="1" w:lineRule="exact"/>
        <w:rPr>
          <w:sz w:val="20"/>
          <w:szCs w:val="20"/>
          <w:color w:val="auto"/>
        </w:rPr>
      </w:pPr>
    </w:p>
    <w:p>
      <w:pPr>
        <w:sectPr>
          <w:pgSz w:w="11900" w:h="16838" w:orient="portrait"/>
          <w:cols w:equalWidth="0" w:num="2">
            <w:col w:w="3680" w:space="720"/>
            <w:col w:w="6820"/>
          </w:cols>
          <w:pgMar w:left="320" w:top="908" w:right="359" w:bottom="1440" w:gutter="0" w:footer="0" w:header="0"/>
          <w:type w:val="continuous"/>
        </w:sectPr>
      </w:pPr>
    </w:p>
    <w:p>
      <w:pPr>
        <w:ind w:left="4400"/>
        <w:spacing w:after="0" w:line="286" w:lineRule="auto"/>
        <w:rPr>
          <w:sz w:val="20"/>
          <w:szCs w:val="20"/>
          <w:color w:val="auto"/>
        </w:rPr>
      </w:pPr>
      <w:r>
        <w:rPr>
          <w:rFonts w:ascii="Arial" w:cs="Arial" w:eastAsia="Arial" w:hAnsi="Arial"/>
          <w:sz w:val="16"/>
          <w:szCs w:val="16"/>
          <w:color w:val="auto"/>
        </w:rPr>
        <w:t>(A)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(except as described herein under the section of this prospectus entitled “Principal Stockholders — Restrictions on Transfers of Founder Shares and Placement Units”). Any permitted transferees will be subject to the same restrictions and other agreements of our initial stockholders with respect to any founder shares. We refer to such transfer restrictions throughout this prospectus as the lock-up.</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Founder shares conversion and anti-dilution rights</w:t>
            </w: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The shares of Class B common stock will automatically convert into shares of our Class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common stock at the time of the consummation of our initial business combination on a one-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for-one basis, subject to adjustment for stock splits, stock dividends, reorganizations,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recapitalizations and the like, and subject to further adjustment as provided herein. In the case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that additional shares of Class A common stock, or equity-linked securities, are issued 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89"/>
              </w:rPr>
              <w:t>deemed issued in excess of the amounts offered in this prospectus and related to the closing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the initial business combination, the ratio at which shares of Class B common stock shall</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convert into shares of Class A common stock will be adjusted (unless the holders of a majority</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of the outstanding shares of Class B common stock agree to waive such adjustment with</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respect to any such issuance or deemed issuance) so that the number of shares of Class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common stock issuable upon conversion of all shares of Class B common stock will equal, in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89"/>
              </w:rPr>
              <w:t>the aggregate, on an as-converted basis, 24.81% of the sum of the total number of all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common stock outstanding upon the completion of this offering (excluding the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Class A common stock to be issued to the representative or its designees upon consummation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of this offering, the placement units and securities underlying the placement units and</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assuming the initial stockholders do not purchase units in this offering) plus all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Class A common stock and equity-linked securities issued or deemed issued in connection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with the initial business combination (excluding any shares or equity-linked securities issued,</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or to be issued, to any seller in the initial business combination or any private placement-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equivalent units and their underlying securities issued to our sponsor or its affiliates upon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conversion of working capital loans made to us). The term “equity-linked securities” refers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any debt or equity securities that are convertible, exercisable or exchangeable for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Class A common stock issued in a financing transaction in connection with our initial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combination, including but not limited to a private placement of equity or debt. Securities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could be “deemed issued” for purposes of the conversion rate adjustment if such shares are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issuable upon the conversion or exercise of convertible securities, warrants or similar</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securities.</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Voting Rights</w:t>
            </w: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Holders of record of the Class A common stock and holders of record of the Class B common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stock will vote together as a single class on all matters submitted to a vote of our stockholders,</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with each share of common stock entitling the holder to one vote, except as required by law.</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Placement units</w:t>
            </w: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Our sponsor has agreed to purchase an aggregate of 804,500 placement units (or 898,250</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placement units if the over-allotment option is exercised in full) at a price of $10.00 per unit,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for an aggregate purchase price of $8,045,000 ($8,982,500 if the over-allotment option is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exercised in full). Each placement unit is identical to the units offered by this prospectus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except as described below. There will be no redemption rights or liquidating distributions from</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the trust account with respect to the founder shares, placement shares, or placement warrants,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9"/>
              </w:rPr>
              <w:t>which will expire worthless if we do not consummate a business combination within 15</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months from the closing of this offering. Our initial stockholders have agreed to waive their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redemption rights with respect to any founder shares or placement shares (i) in connection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with the consummation of a business combination, (ii) in connection with a stockholder vote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to amend our amended and restated certificate of incorporation to modify the substance 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timing of our obligation to allow redemption in connection with our initial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combination or certain amendments to our charter prior thereto, to redeem 100% of our public</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shares if we do not complete our initial business combination within 15 months from the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completion of this offering or with respect to any other provision relating to stockholders’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rights or pre-initial business combination activity and (iii) if we fail to consummate a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combination within 15 months from the completion of this offering or if we liquidate prior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the expiration of the allotted time period. However, our initial stockholders will be entitled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redemption rights with respect to any public shares held by them if we fail to consummate a</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business combination or liquidate within the allotted time period.</w:t>
            </w:r>
          </w:p>
        </w:tc>
      </w:tr>
      <w:tr>
        <w:trPr>
          <w:trHeight w:val="648"/>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Transfer restrictions on placement units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Redeemability and exercise of placement warrants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Proceeds to be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Anticipated expenses and funding sources</w:t>
      </w:r>
    </w:p>
    <w:p>
      <w:pPr>
        <w:spacing w:after="0" w:line="20" w:lineRule="exact"/>
        <w:rPr>
          <w:sz w:val="20"/>
          <w:szCs w:val="20"/>
          <w:color w:val="auto"/>
        </w:rPr>
      </w:pPr>
      <w:r>
        <w:rPr>
          <w:sz w:val="20"/>
          <w:szCs w:val="20"/>
          <w:color w:val="auto"/>
        </w:rPr>
        <w:br w:type="column"/>
      </w:r>
    </w:p>
    <w:p>
      <w:pPr>
        <w:jc w:val="both"/>
        <w:ind w:left="5" w:right="280"/>
        <w:spacing w:after="0" w:line="263" w:lineRule="auto"/>
        <w:rPr>
          <w:sz w:val="20"/>
          <w:szCs w:val="20"/>
          <w:color w:val="auto"/>
        </w:rPr>
      </w:pPr>
      <w:r>
        <w:rPr>
          <w:rFonts w:ascii="Arial" w:cs="Arial" w:eastAsia="Arial" w:hAnsi="Arial"/>
          <w:sz w:val="18"/>
          <w:szCs w:val="18"/>
          <w:color w:val="auto"/>
        </w:rPr>
        <w:t>The placement units and their component securities will not be transferable, assignable or saleable until 30 days after the consummation of our initial business combination except to permitted transferees.</w:t>
      </w:r>
    </w:p>
    <w:p>
      <w:pPr>
        <w:spacing w:after="0" w:line="184" w:lineRule="exact"/>
        <w:rPr>
          <w:sz w:val="20"/>
          <w:szCs w:val="20"/>
          <w:color w:val="auto"/>
        </w:rPr>
      </w:pPr>
    </w:p>
    <w:p>
      <w:pPr>
        <w:jc w:val="both"/>
        <w:ind w:left="5" w:right="140"/>
        <w:spacing w:after="0" w:line="263" w:lineRule="auto"/>
        <w:rPr>
          <w:sz w:val="20"/>
          <w:szCs w:val="20"/>
          <w:color w:val="auto"/>
        </w:rPr>
      </w:pPr>
      <w:r>
        <w:rPr>
          <w:rFonts w:ascii="Arial" w:cs="Arial" w:eastAsia="Arial" w:hAnsi="Arial"/>
          <w:sz w:val="18"/>
          <w:szCs w:val="18"/>
          <w:color w:val="auto"/>
        </w:rPr>
        <w:t>The placement warrants will be identical to the public warrants and will be redeemable by us and exercisable by such holders on the same basis as the warrants included in the units being sold in this offering.</w:t>
      </w:r>
    </w:p>
    <w:p>
      <w:pPr>
        <w:spacing w:after="0" w:line="184" w:lineRule="exact"/>
        <w:rPr>
          <w:sz w:val="20"/>
          <w:szCs w:val="20"/>
          <w:color w:val="auto"/>
        </w:rPr>
      </w:pPr>
    </w:p>
    <w:p>
      <w:pPr>
        <w:ind w:left="5" w:right="60"/>
        <w:spacing w:after="0" w:line="284" w:lineRule="auto"/>
        <w:rPr>
          <w:sz w:val="20"/>
          <w:szCs w:val="20"/>
          <w:color w:val="auto"/>
        </w:rPr>
      </w:pPr>
      <w:r>
        <w:rPr>
          <w:rFonts w:ascii="Arial" w:cs="Arial" w:eastAsia="Arial" w:hAnsi="Arial"/>
          <w:sz w:val="16"/>
          <w:szCs w:val="16"/>
          <w:color w:val="auto"/>
        </w:rPr>
        <w:t>We have agreed to issue to the representative or its designees 375,000 shares (or 431,250 shares if the underwriters’ over-allotment option is exercised in full) of our Class A common stock upon the consummation of this offering. We refer to such shares of Class A common stock as the “representative shares.” The holders of the representative shares have agreed not to transfer, assign or sell any such shares without our prior consent until the completion of our initial business combination. In addition, the holders of the representative shares have agreed</w:t>
      </w:r>
    </w:p>
    <w:p>
      <w:pPr>
        <w:spacing w:after="0" w:line="4" w:lineRule="exact"/>
        <w:rPr>
          <w:sz w:val="20"/>
          <w:szCs w:val="20"/>
          <w:color w:val="auto"/>
        </w:rPr>
      </w:pPr>
    </w:p>
    <w:p>
      <w:pPr>
        <w:ind w:left="5" w:hanging="5"/>
        <w:spacing w:after="0" w:line="270" w:lineRule="auto"/>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months from the closing of this offering. The representative shares are deemed to be underwriters’ compensation by FINRA pursuant to FINRA Rule 5110.</w:t>
      </w:r>
    </w:p>
    <w:p>
      <w:pPr>
        <w:spacing w:after="0" w:line="178" w:lineRule="exact"/>
        <w:rPr>
          <w:sz w:val="20"/>
          <w:szCs w:val="20"/>
          <w:color w:val="auto"/>
        </w:rPr>
      </w:pPr>
    </w:p>
    <w:p>
      <w:pPr>
        <w:ind w:left="5" w:right="20"/>
        <w:spacing w:after="0" w:line="293" w:lineRule="auto"/>
        <w:rPr>
          <w:sz w:val="20"/>
          <w:szCs w:val="20"/>
          <w:color w:val="auto"/>
        </w:rPr>
      </w:pPr>
      <w:r>
        <w:rPr>
          <w:rFonts w:ascii="Arial" w:cs="Arial" w:eastAsia="Arial" w:hAnsi="Arial"/>
          <w:sz w:val="16"/>
          <w:szCs w:val="16"/>
          <w:color w:val="auto"/>
        </w:rPr>
        <w:t>Nasdaq rules provide that at least 90% of the gross proceeds from this offering and the sale of the placement units be deposited in a trust account. Of the net proceeds of this offering and the sale of the placement units, $253,750,000, or $10.15 per unit ($291,812,500, or $10.15 per unit, if the underwriters’ over-allotment option is exercised in full) will be placed into a trust account in the United States with Continental Stock Transfer &amp; Trust Company acting as trustee and J.P. Morgan Securities LLC acting as investment manager.</w:t>
      </w:r>
    </w:p>
    <w:p>
      <w:pPr>
        <w:spacing w:after="0" w:line="164"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These proceeds include $8,750,000 (or $10,062,500 if the underwriters’ over-allotment option is exercised in full) in deferred underwriting commissions.</w:t>
      </w:r>
    </w:p>
    <w:p>
      <w:pPr>
        <w:spacing w:after="0" w:line="170" w:lineRule="exact"/>
        <w:rPr>
          <w:sz w:val="20"/>
          <w:szCs w:val="20"/>
          <w:color w:val="auto"/>
        </w:rPr>
      </w:pPr>
    </w:p>
    <w:p>
      <w:pPr>
        <w:ind w:left="5" w:right="40"/>
        <w:spacing w:after="0" w:line="286"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and up to $100,000 of interest that may be used for our dissolution expenses, the proceeds from this offering and the sale of the placement units held in the trust account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pre-business combination activity, and (c) the redemption of our public shares if we are unable to complete our initial business combination within 15 months from the closing of this offering, subject to applicable law. The proceeds deposited in the trust account could become subject to the claims of our creditors, if any, which could have priority over the claims of our public stockholders.</w:t>
      </w:r>
    </w:p>
    <w:p>
      <w:pPr>
        <w:spacing w:after="0" w:line="167" w:lineRule="exact"/>
        <w:rPr>
          <w:sz w:val="20"/>
          <w:szCs w:val="20"/>
          <w:color w:val="auto"/>
        </w:rPr>
      </w:pPr>
    </w:p>
    <w:p>
      <w:pPr>
        <w:ind w:left="5"/>
        <w:spacing w:after="0" w:line="287" w:lineRule="auto"/>
        <w:rPr>
          <w:sz w:val="20"/>
          <w:szCs w:val="20"/>
          <w:color w:val="auto"/>
        </w:rPr>
      </w:pPr>
      <w:r>
        <w:rPr>
          <w:rFonts w:ascii="Arial" w:cs="Arial" w:eastAsia="Arial" w:hAnsi="Arial"/>
          <w:sz w:val="16"/>
          <w:szCs w:val="16"/>
          <w:color w:val="auto"/>
        </w:rPr>
        <w:t>Except as described above with respect to the payment of taxes,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$253,750 of pre-tax interest annually assuming an interest rate of 0.1% per year; however, we can provide no assurances regarding this amount.</w:t>
      </w:r>
    </w:p>
    <w:p>
      <w:pPr>
        <w:spacing w:after="0" w:line="172"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Unless and until we complete our initial business combination, we may pay our expenses only from:</w:t>
      </w:r>
    </w:p>
    <w:p>
      <w:pPr>
        <w:spacing w:after="0" w:line="170" w:lineRule="exact"/>
        <w:rPr>
          <w:sz w:val="20"/>
          <w:szCs w:val="20"/>
          <w:color w:val="auto"/>
        </w:rPr>
      </w:pPr>
    </w:p>
    <w:p>
      <w:pPr>
        <w:ind w:left="345" w:right="60" w:hanging="200"/>
        <w:spacing w:after="0" w:line="263"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placement units not held in the trust account, which will be approximately $1,150,000 in working capital after the payment of approximately $645,000 in expenses relating to this offering; and</w:t>
      </w:r>
    </w:p>
    <w:p>
      <w:pPr>
        <w:spacing w:after="0" w:line="400"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675" w:space="720"/>
            <w:col w:w="6825"/>
          </w:cols>
          <w:pgMar w:left="320" w:top="908" w:right="359" w:bottom="686" w:gutter="0" w:footer="0" w:header="0"/>
        </w:sectPr>
      </w:pPr>
    </w:p>
    <w:bookmarkStart w:id="27" w:name="page28"/>
    <w:bookmarkEnd w:id="27"/>
    <w:p>
      <w:pPr>
        <w:ind w:left="4720" w:right="80" w:hanging="200"/>
        <w:spacing w:after="0" w:line="275" w:lineRule="auto"/>
        <w:tabs>
          <w:tab w:leader="none" w:pos="4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an initial business combination.</w:t>
      </w:r>
    </w:p>
    <w:p>
      <w:pPr>
        <w:spacing w:after="0" w:line="176" w:lineRule="exact"/>
        <w:rPr>
          <w:sz w:val="20"/>
          <w:szCs w:val="20"/>
          <w:color w:val="auto"/>
        </w:rPr>
      </w:pPr>
    </w:p>
    <w:p>
      <w:pPr>
        <w:ind w:left="4380" w:right="40" w:hanging="4400"/>
        <w:spacing w:after="0" w:line="285" w:lineRule="auto"/>
        <w:tabs>
          <w:tab w:leader="none" w:pos="4360" w:val="left"/>
        </w:tabs>
        <w:rPr>
          <w:sz w:val="20"/>
          <w:szCs w:val="20"/>
          <w:color w:val="auto"/>
        </w:rPr>
      </w:pPr>
      <w:r>
        <w:rPr>
          <w:rFonts w:ascii="Arial" w:cs="Arial" w:eastAsia="Arial" w:hAnsi="Arial"/>
          <w:sz w:val="18"/>
          <w:szCs w:val="18"/>
          <w:color w:val="auto"/>
        </w:rPr>
        <w:t>Conditions to completing our initial business combination</w:t>
      </w:r>
      <w:r>
        <w:rPr>
          <w:sz w:val="20"/>
          <w:szCs w:val="20"/>
          <w:color w:val="auto"/>
        </w:rPr>
        <w:tab/>
      </w: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target,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target, it may be unable to do so if it is less familiar or experienced with the business of a particular target or if there is a significant amount of uncertainty as to the value of a target’s assets or prospects. There is no limitation on our ability to raise funds privately, or through loans in connection with our initial business combination. Additionally, pursuant to Nasdaq rules, any initial business combination must be approved by a majority of our independent directors.</w:t>
      </w:r>
    </w:p>
    <w:p>
      <w:pPr>
        <w:spacing w:after="0" w:line="176" w:lineRule="exact"/>
        <w:rPr>
          <w:sz w:val="20"/>
          <w:szCs w:val="20"/>
          <w:color w:val="auto"/>
        </w:rPr>
      </w:pPr>
    </w:p>
    <w:p>
      <w:pPr>
        <w:ind w:left="4380"/>
        <w:spacing w:after="0" w:line="269"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85" w:lineRule="exact"/>
        <w:rPr>
          <w:sz w:val="20"/>
          <w:szCs w:val="20"/>
          <w:color w:val="auto"/>
        </w:rPr>
      </w:pPr>
    </w:p>
    <w:p>
      <w:pPr>
        <w:ind w:left="4380"/>
        <w:spacing w:after="0" w:line="255" w:lineRule="auto"/>
        <w:rPr>
          <w:sz w:val="20"/>
          <w:szCs w:val="20"/>
          <w:color w:val="auto"/>
        </w:rPr>
      </w:pPr>
      <w:r>
        <w:rPr>
          <w:rFonts w:ascii="Arial" w:cs="Arial" w:eastAsia="Arial" w:hAnsi="Arial"/>
          <w:sz w:val="18"/>
          <w:szCs w:val="18"/>
          <w:color w:val="auto"/>
        </w:rPr>
        <w:t>Even if the post-transaction company owns or acquires 50% or more of the voting securities of the target, our stockholders prior to the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Nasdaq’s 80% fair market value test. If the initial business combination involves more than one target business, the 80% fair market value test will be based on the aggregate value of all of the transactions and we will treat the target businesses together as the initial business combination for purposes of a tender offer or for seeking stockholder approval, as applicable.</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sponsor is also the sponsor to the Affiliated SPACS, Our sponsor, officers, directors, and their respective affiliates, may become an officer or director in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7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5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or warrants our sponsor, initial stockholders, directors, officers, advisors or their affiliates may purchase in such transactions, subject to compliance with applicable law and Nasdaq rules. However, apart from the purchase of the placement units,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We expect that any such purchases will be reported pursuant to Section 13 and Section 16 of the Exchange Act to the extent such purchasers are subject to such reporting requirements.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or any of their affiliates will select which stockholders to purchase securities from in any private transaction.</w:t>
      </w:r>
    </w:p>
    <w:p>
      <w:pPr>
        <w:spacing w:after="0" w:line="200" w:lineRule="exact"/>
        <w:rPr>
          <w:sz w:val="20"/>
          <w:szCs w:val="20"/>
          <w:color w:val="auto"/>
        </w:rPr>
      </w:pP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120" w:space="280"/>
            <w:col w:w="6840"/>
          </w:cols>
          <w:pgMar w:left="320" w:top="908" w:right="339" w:bottom="686"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right="155" w:hanging="161"/>
        <w:spacing w:after="0" w:line="342" w:lineRule="auto"/>
        <w:rPr>
          <w:sz w:val="20"/>
          <w:szCs w:val="20"/>
          <w:color w:val="auto"/>
        </w:rPr>
      </w:pPr>
      <w:r>
        <w:rPr>
          <w:rFonts w:ascii="Arial" w:cs="Arial" w:eastAsia="Arial" w:hAnsi="Arial"/>
          <w:sz w:val="16"/>
          <w:szCs w:val="16"/>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Manner of conducting redemptions</w:t>
      </w:r>
    </w:p>
    <w:p>
      <w:pPr>
        <w:spacing w:after="0" w:line="20" w:lineRule="exact"/>
        <w:rPr>
          <w:sz w:val="20"/>
          <w:szCs w:val="20"/>
          <w:color w:val="auto"/>
        </w:rPr>
      </w:pPr>
      <w:r>
        <w:rPr>
          <w:sz w:val="20"/>
          <w:szCs w:val="20"/>
          <w:color w:val="auto"/>
        </w:rPr>
        <w:br w:type="column"/>
      </w:r>
    </w:p>
    <w:p>
      <w:pPr>
        <w:ind w:left="5" w:right="20"/>
        <w:spacing w:after="0" w:line="286"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74" w:lineRule="exact"/>
        <w:rPr>
          <w:sz w:val="20"/>
          <w:szCs w:val="20"/>
          <w:color w:val="auto"/>
        </w:rPr>
      </w:pPr>
    </w:p>
    <w:p>
      <w:pPr>
        <w:ind w:left="5"/>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placement shares held by them and any public shares they may acquire during or after this offering in connection with the completion of our initial business combination or otherwise.</w:t>
      </w:r>
    </w:p>
    <w:p>
      <w:pPr>
        <w:spacing w:after="0" w:line="180" w:lineRule="exact"/>
        <w:rPr>
          <w:sz w:val="20"/>
          <w:szCs w:val="20"/>
          <w:color w:val="auto"/>
        </w:rPr>
      </w:pPr>
    </w:p>
    <w:p>
      <w:pPr>
        <w:ind w:left="5" w:right="240"/>
        <w:spacing w:after="0" w:line="287"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w:t>
      </w:r>
    </w:p>
    <w:p>
      <w:pPr>
        <w:spacing w:after="0" w:line="2" w:lineRule="exact"/>
        <w:rPr>
          <w:sz w:val="20"/>
          <w:szCs w:val="20"/>
          <w:color w:val="auto"/>
        </w:rPr>
      </w:pPr>
    </w:p>
    <w:p>
      <w:pPr>
        <w:ind w:left="5" w:right="100" w:hanging="5"/>
        <w:spacing w:after="0" w:line="284" w:lineRule="auto"/>
        <w:tabs>
          <w:tab w:leader="none" w:pos="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Nasdaq’s stockholder approval rules.</w:t>
      </w:r>
    </w:p>
    <w:p>
      <w:pPr>
        <w:spacing w:after="0" w:line="394"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675" w:space="720"/>
            <w:col w:w="6845"/>
          </w:cols>
          <w:pgMar w:left="320" w:top="908" w:right="339" w:bottom="1440" w:gutter="0" w:footer="0" w:header="0"/>
        </w:sectPr>
      </w:pPr>
    </w:p>
    <w:bookmarkStart w:id="30" w:name="page31"/>
    <w:bookmarkEnd w:id="30"/>
    <w:p>
      <w:pPr>
        <w:ind w:left="3280" w:right="60"/>
        <w:spacing w:after="0" w:line="263"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requirements, or we decide to obtain stockholder approval for business or other legal reasons, we will:</w:t>
      </w:r>
    </w:p>
    <w:p>
      <w:pPr>
        <w:spacing w:after="0" w:line="184" w:lineRule="exact"/>
        <w:rPr>
          <w:sz w:val="20"/>
          <w:szCs w:val="20"/>
          <w:color w:val="auto"/>
        </w:rPr>
      </w:pPr>
    </w:p>
    <w:p>
      <w:pPr>
        <w:ind w:left="3620" w:right="60" w:hanging="200"/>
        <w:spacing w:after="0" w:line="263" w:lineRule="auto"/>
        <w:tabs>
          <w:tab w:leader="none" w:pos="3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83" w:lineRule="exact"/>
        <w:rPr>
          <w:rFonts w:ascii="Arial" w:cs="Arial" w:eastAsia="Arial" w:hAnsi="Arial"/>
          <w:sz w:val="18"/>
          <w:szCs w:val="18"/>
          <w:color w:val="auto"/>
        </w:rPr>
      </w:pPr>
    </w:p>
    <w:p>
      <w:pPr>
        <w:ind w:left="3620" w:hanging="200"/>
        <w:spacing w:after="0"/>
        <w:tabs>
          <w:tab w:leader="none" w:pos="3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left="3280"/>
        <w:spacing w:after="0" w:line="284"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then outstanding shares of common stock present and entitled to vote at the meeting to approve the initial business combination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and placement shares held by them and any public shares acquired by them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representative shares and placement shares, we would need no additional public shares of the 25,000,000 public shares sold in this offering to be voted in favor of an initial business combination (assuming only the minimum number of shares representing a quorum are voted and excluding the representative’s shares) in order to have our initial business combination approved (assuming the over-allotment option is not exercised, that the initial stockholders do not purchase any units in this offering or units or shares in the after-market).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31" w:name="page32"/>
    <w:bookmarkEnd w:id="31"/>
    <w:p>
      <w:pPr>
        <w:ind w:left="3280" w:right="60"/>
        <w:spacing w:after="0" w:line="293" w:lineRule="auto"/>
        <w:rPr>
          <w:sz w:val="20"/>
          <w:szCs w:val="20"/>
          <w:color w:val="auto"/>
        </w:rPr>
      </w:pPr>
      <w:r>
        <w:rPr>
          <w:rFonts w:ascii="Arial" w:cs="Arial" w:eastAsia="Arial" w:hAnsi="Arial"/>
          <w:sz w:val="16"/>
          <w:szCs w:val="16"/>
          <w:color w:val="auto"/>
        </w:rPr>
        <w:t>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164" w:lineRule="exact"/>
        <w:rPr>
          <w:sz w:val="20"/>
          <w:szCs w:val="20"/>
          <w:color w:val="auto"/>
        </w:rPr>
      </w:pPr>
    </w:p>
    <w:p>
      <w:pPr>
        <w:ind w:left="3280" w:right="240"/>
        <w:spacing w:after="0" w:line="263"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84" w:lineRule="exact"/>
        <w:rPr>
          <w:sz w:val="20"/>
          <w:szCs w:val="20"/>
          <w:color w:val="auto"/>
        </w:rPr>
      </w:pPr>
    </w:p>
    <w:p>
      <w:pPr>
        <w:ind w:left="3620" w:hanging="331"/>
        <w:spacing w:after="0" w:line="277" w:lineRule="auto"/>
        <w:tabs>
          <w:tab w:leader="none" w:pos="3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0" w:lineRule="exact"/>
        <w:rPr>
          <w:rFonts w:ascii="Arial" w:cs="Arial" w:eastAsia="Arial" w:hAnsi="Arial"/>
          <w:sz w:val="18"/>
          <w:szCs w:val="18"/>
          <w:color w:val="auto"/>
        </w:rPr>
      </w:pPr>
    </w:p>
    <w:p>
      <w:pPr>
        <w:ind w:left="3620" w:right="20" w:hanging="331"/>
        <w:spacing w:after="0" w:line="279" w:lineRule="auto"/>
        <w:tabs>
          <w:tab w:leader="none" w:pos="3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1" w:lineRule="exact"/>
        <w:rPr>
          <w:sz w:val="20"/>
          <w:szCs w:val="20"/>
          <w:color w:val="auto"/>
        </w:rPr>
      </w:pPr>
    </w:p>
    <w:p>
      <w:pPr>
        <w:ind w:left="3280" w:right="20"/>
        <w:spacing w:after="0" w:line="277" w:lineRule="auto"/>
        <w:rPr>
          <w:sz w:val="20"/>
          <w:szCs w:val="20"/>
          <w:color w:val="auto"/>
        </w:rPr>
      </w:pPr>
      <w:r>
        <w:rPr>
          <w:rFonts w:ascii="Arial" w:cs="Arial" w:eastAsia="Arial" w:hAnsi="Arial"/>
          <w:sz w:val="18"/>
          <w:szCs w:val="18"/>
          <w:color w:val="auto"/>
        </w:rPr>
        <w:t>Such provisions may be amended if approved by holders of at least 65% of our common stock entitled to vote thereon.</w:t>
      </w:r>
    </w:p>
    <w:p>
      <w:pPr>
        <w:spacing w:after="0" w:line="170" w:lineRule="exact"/>
        <w:rPr>
          <w:sz w:val="20"/>
          <w:szCs w:val="20"/>
          <w:color w:val="auto"/>
        </w:rPr>
      </w:pPr>
    </w:p>
    <w:p>
      <w:pPr>
        <w:ind w:left="3380" w:right="80"/>
        <w:spacing w:after="0" w:line="272" w:lineRule="auto"/>
        <w:rPr>
          <w:sz w:val="20"/>
          <w:szCs w:val="20"/>
          <w:color w:val="auto"/>
        </w:rPr>
      </w:pPr>
      <w:r>
        <w:rPr>
          <w:rFonts w:ascii="Arial" w:cs="Arial" w:eastAsia="Arial" w:hAnsi="Arial"/>
          <w:sz w:val="17"/>
          <w:szCs w:val="17"/>
          <w:color w:val="auto"/>
        </w:rPr>
        <w:t>Whether or not we maintain our registration under the Exchange Act or our listing on Nasdaq, we will provide our public stockholders with the opportunity to redeem their public shares by one of the two methods listed above. Upon the public announcement of our initial business combination, if we elect to conduct redemptions pursuant to the tender offer rules, we or our sponsor will terminate any plan established in accordance with Rule 10b5-1 to purchase shares of our Class A common stock in the open market, in order to comply with Rule 14e-5 under the Exchange Act.</w:t>
      </w:r>
    </w:p>
    <w:p>
      <w:pPr>
        <w:spacing w:after="0" w:line="204" w:lineRule="exact"/>
        <w:rPr>
          <w:sz w:val="20"/>
          <w:szCs w:val="20"/>
          <w:color w:val="auto"/>
        </w:rPr>
      </w:pPr>
    </w:p>
    <w:p>
      <w:pPr>
        <w:ind w:left="3380" w:right="60"/>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we will not redeem any public shares unless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hanging="161"/>
        <w:spacing w:after="0" w:line="263" w:lineRule="auto"/>
        <w:rPr>
          <w:sz w:val="20"/>
          <w:szCs w:val="20"/>
          <w:color w:val="auto"/>
        </w:rPr>
      </w:pPr>
      <w:r>
        <w:rPr>
          <w:rFonts w:ascii="Arial" w:cs="Arial" w:eastAsia="Arial" w:hAnsi="Arial"/>
          <w:sz w:val="18"/>
          <w:szCs w:val="18"/>
          <w:color w:val="auto"/>
        </w:rPr>
        <w:t>Limitation on redemption rights of stockholders holding 15%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520" w:hanging="179"/>
        <w:spacing w:after="0" w:line="342" w:lineRule="auto"/>
        <w:rPr>
          <w:sz w:val="20"/>
          <w:szCs w:val="20"/>
          <w:color w:val="auto"/>
        </w:rPr>
      </w:pPr>
      <w:r>
        <w:rPr>
          <w:rFonts w:ascii="Arial" w:cs="Arial" w:eastAsia="Arial" w:hAnsi="Arial"/>
          <w:sz w:val="16"/>
          <w:szCs w:val="16"/>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delivered, or shares tendered electronically, by public stockholders who elected to redeem their shares.</w:t>
      </w:r>
    </w:p>
    <w:p>
      <w:pPr>
        <w:spacing w:after="0" w:line="17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2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related to pre-initial business combination activity (including the requirement to deposit proceeds of this offering and the private placement of units into the trust account and not release such amounts except in specified circumstances, and to provide redemption rights to public stockholders as described herein) may be amended if approved by holders of at least 65% of our common stock entitled to vote thereon, and corresponding provisions of the trust agreement governing the release of funds from our trust account may be 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Delaware General Corporation Law, or DGCL, or applicable stock exchange rules.</w:t>
      </w:r>
    </w:p>
    <w:p>
      <w:pPr>
        <w:spacing w:after="0" w:line="20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Under our amended and restated certificate of incorporation,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collectively beneficially own approximately 26.6%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and/or trust agreement and will have the discretion to vote in any manner they choose. Our</w:t>
      </w:r>
    </w:p>
    <w:p>
      <w:pPr>
        <w:sectPr>
          <w:pgSz w:w="11900" w:h="16838" w:orient="portrait"/>
          <w:cols w:equalWidth="0" w:num="2">
            <w:col w:w="3880" w:space="440"/>
            <w:col w:w="6680"/>
          </w:cols>
          <w:pgMar w:left="500" w:top="908" w:right="399" w:bottom="0" w:gutter="0" w:footer="0" w:header="0"/>
        </w:sectPr>
      </w:pPr>
    </w:p>
    <w:bookmarkStart w:id="33" w:name="page34"/>
    <w:bookmarkEnd w:id="33"/>
    <w:p>
      <w:pPr>
        <w:ind w:left="3380"/>
        <w:spacing w:after="0" w:line="268" w:lineRule="auto"/>
        <w:rPr>
          <w:sz w:val="20"/>
          <w:szCs w:val="20"/>
          <w:color w:val="auto"/>
        </w:rPr>
      </w:pPr>
      <w:r>
        <w:rPr>
          <w:rFonts w:ascii="Arial" w:cs="Arial" w:eastAsia="Arial" w:hAnsi="Arial"/>
          <w:sz w:val="17"/>
          <w:szCs w:val="17"/>
          <w:color w:val="auto"/>
        </w:rPr>
        <w:t>sponsor, executive officers, and directors have agreed, pursuant to a written agreement with us, that they will not propose any amendment to our amended and restated certificate of incorporation (i) to modify the substance or timing of our obligation to allow holders to redeem their shares in connection with an initial business combination or to redeem 100% of our public shares if we do not complete our initial business combination within 15 months from the closing of this offering or (ii) with respect to any other provision relating to stockholders’ rights or pre-business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(which interest shall be net of taxes payable) divided by the number of then outstanding public shares. 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40"/>
          </w:cols>
          <w:pgMar w:left="1440" w:top="125" w:right="419" w:bottom="1440" w:gutter="0" w:footer="0" w:header="0"/>
        </w:sectPr>
      </w:pPr>
    </w:p>
    <w:bookmarkStart w:id="34" w:name="page35"/>
    <w:bookmarkEnd w:id="34"/>
    <w:p>
      <w:pPr>
        <w:ind w:left="180" w:hanging="161"/>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Redemption of public shares and distribution and</w:t>
      </w:r>
    </w:p>
    <w:p>
      <w:pPr>
        <w:spacing w:after="0" w:line="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liquidation if no initial business combination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“Redemption rights for public stockholders upon completion of our initial business combination.” We will use the remaining funds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we will have only 15 months from the closing of this offering to complete our initial business combination. If we are unable to complete our initial business combination within such allotted time period (and our stockholders have not approved an amendment to our charter extending this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100" w:space="400"/>
            <w:col w:w="6740"/>
          </w:cols>
          <w:pgMar w:left="320" w:top="90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Our sponsor, officers and directors have entered into a letter agreement with us pursuant to</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which they have agreed to waive their redemption rights with respect to any founder shares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3"/>
              </w:rPr>
              <w:t>and placement shares if we are forced to liquidate. The underwriters have agreed to waive</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4"/>
              </w:rPr>
              <w:t>their rights to their deferred underwriting commission in the event we do not complete our</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initial business combination and subsequently liquidate and, in such event, the deferred fees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7"/>
              </w:rPr>
              <w:t>will be included with the funds held in the trust account that will be available to fund the</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3"/>
              </w:rPr>
              <w:t>redemption of our public shares. The holders of representative shares will not participate in</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any distribution from our trust account with respect to such shares.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Limited payments to insiders</w:t>
            </w: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There will be no finder’s fees, reimbursement, consulting fee, non-cash payments, monies in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0"/>
              </w:rPr>
              <w:t>respect of any payment of a loan or other compensation paid by us to our sponsor, officers or</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5"/>
              </w:rPr>
              <w:t>directors or any affiliate of our sponsor, officers or directors prior to, or in connection with</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9"/>
              </w:rPr>
              <w:t>any services rendered in order to effectuate, the consummation of our initial business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combination (regardless of the type of transaction that it is). However, the following</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payments will be made to our sponsor, officers or directors, or our or their affiliates, none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5"/>
              </w:rPr>
              <w:t>which will be made from the proceeds of this offering and the sale of the placement units</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held in the trust account prior to the completion of our initial business combination:</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5"/>
              </w:rPr>
              <w:t>• Repayment of up to an aggregate of $300,000 in loans made to us by our sponsor to</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cover offering-related and organizational expenses;</w:t>
            </w:r>
          </w:p>
        </w:tc>
      </w:tr>
      <w:tr>
        <w:trPr>
          <w:trHeight w:val="418"/>
        </w:trPr>
        <w:tc>
          <w:tcPr>
            <w:tcW w:w="3300" w:type="dxa"/>
            <w:vAlign w:val="bottom"/>
          </w:tcPr>
          <w:p>
            <w:pPr>
              <w:spacing w:after="0"/>
              <w:rPr>
                <w:sz w:val="24"/>
                <w:szCs w:val="24"/>
                <w:color w:val="auto"/>
              </w:rPr>
            </w:pPr>
          </w:p>
        </w:tc>
        <w:tc>
          <w:tcPr>
            <w:tcW w:w="7940" w:type="dxa"/>
            <w:vAlign w:val="bottom"/>
          </w:tcPr>
          <w:p>
            <w:pPr>
              <w:ind w:left="1300"/>
              <w:spacing w:after="0"/>
              <w:rPr>
                <w:sz w:val="20"/>
                <w:szCs w:val="20"/>
                <w:color w:val="auto"/>
              </w:rPr>
            </w:pPr>
            <w:r>
              <w:rPr>
                <w:rFonts w:ascii="Arial" w:cs="Arial" w:eastAsia="Arial" w:hAnsi="Arial"/>
                <w:sz w:val="18"/>
                <w:szCs w:val="18"/>
                <w:color w:val="auto"/>
                <w:w w:val="94"/>
              </w:rPr>
              <w:t>• Reimbursement for any out-of-pocket expenses related to identifying, investigating and</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completing an initial business combination;</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rPr>
              <w:t>• Payment to our sponsor of a total of $10,000 per month (up to $150,000 in the</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aggregate) for office space, utilities and secretarial and administrative services</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commencing on the date that our securities are first listed on Nasdaq; and</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7"/>
              </w:rPr>
              <w:t>• Repayment of non-interest bearing loans which may be made by our sponsor or an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7"/>
              </w:rPr>
              <w:t>affiliate of our sponsor or certain of our officers and directors to finance transaction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8"/>
              </w:rPr>
              <w:t>costs in connection with an intended initial business combination and non-interest</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bearing loans which may be made by our sponsor to extend the time period for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9"/>
              </w:rPr>
              <w:t>consummating our initial business combination, the terms of which (other than as</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6"/>
              </w:rPr>
              <w:t>described above) have not been determined nor have any written agreements been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2"/>
              </w:rPr>
              <w:t>executed with respect thereto. Up to $1,500,000 of the loans made by our sponsor, our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6"/>
              </w:rPr>
              <w:t>officers and directors, or our or their affiliates to us prior to or in connection with our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3"/>
              </w:rPr>
              <w:t>initial business combination may be convertible into units, at a price of $10.00 per unit</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2"/>
              </w:rPr>
              <w:t>at the option of the lender, upon consummation of our initial business combination. The</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units would be identical to the placement units.</w:t>
            </w:r>
          </w:p>
        </w:tc>
      </w:tr>
      <w:tr>
        <w:trPr>
          <w:trHeight w:val="418"/>
        </w:trPr>
        <w:tc>
          <w:tcPr>
            <w:tcW w:w="3300" w:type="dxa"/>
            <w:vAlign w:val="bottom"/>
          </w:tcPr>
          <w:p>
            <w:pPr>
              <w:spacing w:after="0"/>
              <w:rPr>
                <w:sz w:val="24"/>
                <w:szCs w:val="24"/>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6"/>
              </w:rPr>
              <w:t>Our audit committee will review on a quarterly basis all payments that were made to our</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sponsor, officers or directors or our or their affiliates.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Audit Committee</w:t>
            </w:r>
          </w:p>
        </w:tc>
        <w:tc>
          <w:tcPr>
            <w:tcW w:w="7940" w:type="dxa"/>
            <w:vAlign w:val="bottom"/>
          </w:tcPr>
          <w:p>
            <w:pPr>
              <w:ind w:left="1200"/>
              <w:spacing w:after="0"/>
              <w:rPr>
                <w:sz w:val="20"/>
                <w:szCs w:val="20"/>
                <w:color w:val="auto"/>
              </w:rPr>
            </w:pPr>
            <w:r>
              <w:rPr>
                <w:rFonts w:ascii="Arial" w:cs="Arial" w:eastAsia="Arial" w:hAnsi="Arial"/>
                <w:sz w:val="18"/>
                <w:szCs w:val="18"/>
                <w:color w:val="auto"/>
                <w:w w:val="98"/>
              </w:rPr>
              <w:t>We will establish and maintain an audit committee, which will be composed entirely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independent directors to, among other things, monitor compliance with the terms described</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4"/>
              </w:rPr>
              <w:t>above and the other terms relating to this offering. If any noncompliance is identified, then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6"/>
              </w:rPr>
              <w:t>the audit committee will be charged with the responsibility to immediately take all action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necessary to rectify such noncompliance or otherwise to cause compliance with the terms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this offering. For more information, see the section of this prospectus entitled</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“Management — Committees of the Board of Directors — Audit Committee.”</w:t>
            </w:r>
          </w:p>
        </w:tc>
      </w:tr>
      <w:tr>
        <w:trPr>
          <w:trHeight w:val="64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Indemnity</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70" w:lineRule="exact"/>
        <w:rPr>
          <w:sz w:val="20"/>
          <w:szCs w:val="20"/>
          <w:color w:val="auto"/>
        </w:rPr>
      </w:pPr>
    </w:p>
    <w:p>
      <w:pPr>
        <w:sectPr>
          <w:pgSz w:w="11900" w:h="16838" w:orient="portrait"/>
          <w:cols w:equalWidth="0" w:num="2">
            <w:col w:w="3780" w:space="720"/>
            <w:col w:w="6720"/>
          </w:cols>
          <w:pgMar w:left="320" w:top="908" w:right="359" w:bottom="1440" w:gutter="0" w:footer="0" w:header="0"/>
        </w:sectPr>
      </w:pPr>
    </w:p>
    <w:p>
      <w:pPr>
        <w:jc w:val="center"/>
        <w:ind w:right="-39"/>
        <w:spacing w:after="0"/>
        <w:rPr>
          <w:sz w:val="20"/>
          <w:szCs w:val="20"/>
          <w:color w:val="auto"/>
        </w:rPr>
      </w:pPr>
      <w:r>
        <w:rPr>
          <w:rFonts w:ascii="Arial" w:cs="Arial" w:eastAsia="Arial" w:hAnsi="Arial"/>
          <w:sz w:val="17"/>
          <w:szCs w:val="17"/>
          <w:b w:val="1"/>
          <w:bCs w:val="1"/>
          <w:color w:val="auto"/>
        </w:rPr>
        <w:t>RISKS</w:t>
      </w:r>
    </w:p>
    <w:p>
      <w:pPr>
        <w:sectPr>
          <w:pgSz w:w="11900" w:h="16838" w:orient="portrait"/>
          <w:cols w:equalWidth="0" w:num="1">
            <w:col w:w="11220"/>
          </w:cols>
          <w:pgMar w:left="320" w:top="908" w:right="359" w:bottom="1440" w:gutter="0" w:footer="0" w:header="0"/>
          <w:type w:val="continuous"/>
        </w:sectPr>
      </w:pPr>
    </w:p>
    <w:p>
      <w:pPr>
        <w:spacing w:after="0" w:line="24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None of our officers or directors has experience with blank check companies or special purpose acquisition companies.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the section of this prospectus entitled “Proposed Business — Comparison of This Offering to Those of Blank Check Companies Subject to Rule 419.” You should carefully consider these and the other risks set forth in the section of this prospectus entitled “Risk Factors” beginning on page 30 of this prospectus.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188"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newly formed company without an operating history;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37" w:name="page38"/>
    <w:bookmarkEnd w:id="37"/>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opportunity to vote on our proposed business combination;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protections afforded to investors of blank check companies;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equity and/or debt securities to complete a business combination;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working capital;</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claims reducing the per-share redemption price;</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interest rate for securities in which we invest the funds held in the trust account;</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stockholders being held liable for claims by third parties against us;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enforce our sponsor’s indemnification obligations;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warrant holders to obtain a favorable judicial forum for disputes with our company;</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key personnel;</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conflicts of interest of our sponsor, officers and directors and the representative;</w:t>
      </w:r>
    </w:p>
    <w:p>
      <w:pPr>
        <w:spacing w:after="0" w:line="225" w:lineRule="exact"/>
        <w:rPr>
          <w:rFonts w:ascii="Arial" w:cs="Arial" w:eastAsia="Arial" w:hAnsi="Arial"/>
          <w:sz w:val="18"/>
          <w:szCs w:val="18"/>
          <w:color w:val="auto"/>
        </w:rPr>
      </w:pPr>
    </w:p>
    <w:p>
      <w:pPr>
        <w:ind w:left="388" w:hanging="388"/>
        <w:spacing w:after="0" w:line="263"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of our officers and directors are now, and any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3"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delisting of our securities by Nasdaq;</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a single target business with a limited number of products or services;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being redeemed and warrants becoming worthless;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with advantages over us in seeking business combinations;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obtain additional financing;</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initial stockholders controlling a substantial interest in us;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adverse effect of warrants and founder shares on the market price of our common stock;</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disadvantageous timing for redeeming warrants;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rights’ adverse effect on the market price of our common stock;</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COVID-19 and related risks;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 with a company located in a foreign jurisdiction;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or regulations; tax consequences to business combinations; and</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exclusive forum provisions in our amended and restated certificate of incorporation.</w:t>
      </w:r>
    </w:p>
    <w:p>
      <w:pPr>
        <w:spacing w:after="0" w:line="200" w:lineRule="exact"/>
        <w:rPr>
          <w:sz w:val="20"/>
          <w:szCs w:val="20"/>
          <w:color w:val="auto"/>
        </w:rPr>
      </w:pPr>
    </w:p>
    <w:p>
      <w:pPr>
        <w:spacing w:after="0" w:line="241"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8"/>
          </w:cols>
          <w:pgMar w:left="652" w:top="908" w:right="4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 2021</w:t>
            </w:r>
          </w:p>
        </w:tc>
      </w:tr>
      <w:tr>
        <w:trPr>
          <w:trHeight w:val="250"/>
        </w:trPr>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9"/>
                <w:szCs w:val="29"/>
                <w:color w:val="auto"/>
                <w:vertAlign w:val="superscript"/>
              </w:rPr>
              <w:t>(1)</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(141,501)</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1,174,500</w:t>
            </w:r>
          </w:p>
        </w:tc>
      </w:tr>
      <w:tr>
        <w:trPr>
          <w:trHeight w:val="257"/>
        </w:trPr>
        <w:tc>
          <w:tcPr>
            <w:tcW w:w="6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9"/>
                <w:szCs w:val="29"/>
                <w:color w:val="auto"/>
                <w:vertAlign w:val="superscript"/>
              </w:rPr>
              <w:t>(2)</w:t>
            </w: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191,101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254,924,500</w:t>
            </w:r>
          </w:p>
        </w:tc>
      </w:tr>
      <w:tr>
        <w:trPr>
          <w:trHeight w:val="257"/>
        </w:trPr>
        <w:tc>
          <w:tcPr>
            <w:tcW w:w="6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Total liabilities </w:t>
            </w:r>
            <w:r>
              <w:rPr>
                <w:rFonts w:ascii="Arial" w:cs="Arial" w:eastAsia="Arial" w:hAnsi="Arial"/>
                <w:sz w:val="29"/>
                <w:szCs w:val="29"/>
                <w:color w:val="auto"/>
                <w:vertAlign w:val="superscript"/>
              </w:rPr>
              <w:t>(3)</w:t>
            </w: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166,601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r>
      <w:tr>
        <w:trPr>
          <w:trHeight w:val="257"/>
        </w:trPr>
        <w:tc>
          <w:tcPr>
            <w:tcW w:w="6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Value of Class A common stock subject to possible redemption/tender </w:t>
            </w:r>
            <w:r>
              <w:rPr>
                <w:rFonts w:ascii="Arial" w:cs="Arial" w:eastAsia="Arial" w:hAnsi="Arial"/>
                <w:sz w:val="29"/>
                <w:szCs w:val="29"/>
                <w:color w:val="auto"/>
                <w:vertAlign w:val="superscript"/>
              </w:rPr>
              <w:t>(4)</w:t>
            </w: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253,750,000</w:t>
            </w:r>
          </w:p>
        </w:tc>
      </w:tr>
      <w:tr>
        <w:trPr>
          <w:trHeight w:val="390"/>
        </w:trPr>
        <w:tc>
          <w:tcPr>
            <w:tcW w:w="6940" w:type="dxa"/>
            <w:vAlign w:val="bottom"/>
          </w:tcPr>
          <w:p>
            <w:pPr>
              <w:ind w:left="180"/>
              <w:spacing w:after="0"/>
              <w:rPr>
                <w:sz w:val="20"/>
                <w:szCs w:val="20"/>
                <w:color w:val="auto"/>
              </w:rPr>
            </w:pPr>
            <w:r>
              <w:rPr>
                <w:rFonts w:ascii="Arial" w:cs="Arial" w:eastAsia="Arial" w:hAnsi="Arial"/>
                <w:sz w:val="18"/>
                <w:szCs w:val="18"/>
                <w:color w:val="auto"/>
              </w:rPr>
              <w:t xml:space="preserve">Shareholder’s equity </w:t>
            </w:r>
            <w:r>
              <w:rPr>
                <w:rFonts w:ascii="Arial" w:cs="Arial" w:eastAsia="Arial" w:hAnsi="Arial"/>
                <w:sz w:val="29"/>
                <w:szCs w:val="29"/>
                <w:color w:val="auto"/>
                <w:vertAlign w:val="superscript"/>
              </w:rPr>
              <w:t>(5)</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(7,575,500)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5" w:lineRule="exact"/>
        <w:rPr>
          <w:sz w:val="20"/>
          <w:szCs w:val="20"/>
          <w:color w:val="auto"/>
        </w:rPr>
      </w:pPr>
    </w:p>
    <w:p>
      <w:pPr>
        <w:ind w:left="340" w:right="6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$1,150,000 in cash held outside the trust account (assuming no exercise of the underwriters’ over-allotment option), plus $24,500 of actual shareholder’s equity on September 30, 2021.</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includes $253,750,000 of cash held in trust from the proceeds of this offering and the sale of the private placement units, plus $1,150,000 of cash held outside the trust account (assuming no exercise of the underwriters’ over-allotment option), plus $24,500 of actual shareholder’s equity on September 30, 2021.</w:t>
      </w:r>
    </w:p>
    <w:p>
      <w:pPr>
        <w:spacing w:after="0" w:line="1"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equals $8,750,000 of deferred underwriting commissions, assuming the underwriters’ over-allotment option is not exercised.</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“as adjusted” amount includes all public shares included in the units sold in this offering, assuming the over-allotment option is not exercised.</w:t>
      </w:r>
    </w:p>
    <w:p>
      <w:pPr>
        <w:spacing w:after="0" w:line="32" w:lineRule="exact"/>
        <w:rPr>
          <w:rFonts w:ascii="Arial" w:cs="Arial" w:eastAsia="Arial" w:hAnsi="Arial"/>
          <w:sz w:val="16"/>
          <w:szCs w:val="16"/>
          <w:color w:val="auto"/>
        </w:rPr>
      </w:pPr>
    </w:p>
    <w:p>
      <w:pPr>
        <w:ind w:left="340" w:right="440" w:hanging="332"/>
        <w:spacing w:after="0" w:line="277"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25,000,000 shares of Class A common stock sold in the offering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($10.15 per share).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Risks Relating to our Search for, Consummation of, or Inability to Consummate, a Business Combination and Post-Business Combination Risks</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pandemic.</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COVID-19 pandemic has resulted in a widespread health crisis that has adversely affected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92"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4"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applicable law or stock exchange requirements,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have agreed to vote in favor of such initial business combination, regardless of how our public stockholders vote.</w:t>
      </w:r>
    </w:p>
    <w:p>
      <w:pPr>
        <w:spacing w:after="0" w:line="166"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Pursuant to the letter agreement, our initial stockholders, the representative, our sponsor, officers and directors have agreed to vote any founder shares and placement shares held by them, as well as any public shares they may acquire during or after this offering (including in open market and privately negotiated transactions), in favor of our initial business combination. As a result, in addition to our initial stockholders’ founder shares, and placement shares, we would need no additional public shares of the 25,000,000 public shares sold in this offering to be voted in favor of an initial business combination (assuming only the minimum number of shares representing a quorum are voted, that the initial stockholders do not purchase any units in this offering or units or shares in the after-market and excluding the representative’s shares) in order to have our initial business combination approved (assuming the over-allotment option is not exercised). In the event that all shares of outstanding common stock are voted, we would need 8,160,251 or</w:t>
      </w:r>
    </w:p>
    <w:p>
      <w:pPr>
        <w:spacing w:after="0" w:line="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Our initial stockholders, including our sponsor, will own shares representing approximately 26.6% of our outstanding shares of common stock immediately following the completion of this offering and the private placement (including the placement shares to be issued to the sponsor, excluding representative shares and assuming they do not purchase any units in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8" w:lineRule="exact"/>
        <w:rPr>
          <w:sz w:val="20"/>
          <w:szCs w:val="20"/>
          <w:color w:val="auto"/>
        </w:rPr>
      </w:pPr>
    </w:p>
    <w:p>
      <w:pPr>
        <w:ind w:right="700"/>
        <w:spacing w:after="0" w:line="312" w:lineRule="auto"/>
        <w:rPr>
          <w:sz w:val="20"/>
          <w:szCs w:val="20"/>
          <w:color w:val="auto"/>
        </w:rPr>
      </w:pPr>
      <w:r>
        <w:rPr>
          <w:rFonts w:ascii="Arial" w:cs="Arial" w:eastAsia="Arial" w:hAnsi="Arial"/>
          <w:sz w:val="17"/>
          <w:szCs w:val="17"/>
          <w:b w:val="1"/>
          <w:b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4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upon consummation of our initial business combination and after payment of underwriters’ fees and commissions or such greater amount necessary to satisfy a closing condition, each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16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 in the issuance of Class A shares on a greater than one-to-one basis upon conversion of the Class B common stock at the time of the consummation of our business combination.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right="300"/>
        <w:spacing w:after="0" w:line="347" w:lineRule="auto"/>
        <w:rPr>
          <w:sz w:val="20"/>
          <w:szCs w:val="20"/>
          <w:color w:val="auto"/>
        </w:rPr>
      </w:pPr>
      <w:r>
        <w:rPr>
          <w:rFonts w:ascii="Arial" w:cs="Arial" w:eastAsia="Arial" w:hAnsi="Arial"/>
          <w:sz w:val="16"/>
          <w:szCs w:val="16"/>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184"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15 months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amended and restated certificate of incorporation will provide that we must complete our initial business combination within 15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if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$10.15 per share,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right="6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w:t>
      </w:r>
    </w:p>
    <w:p>
      <w:pPr>
        <w:spacing w:after="0" w:line="18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Any such purchases of our securities may result in the completion of our initial business combination that may not otherwise have been possible. We expect that any such purchases will be reported pursuant to Section 13 and Section 16 of the Exchange Act to the extent such purchasers are subject to such reporting requirements.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deliver their stock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disclosed in the proxy or tender offer materials, as applicable,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an initial business combination within 15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representative may have a conflict of interest if they render services to us in connection with our initial business combination.</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may elect to engage EF Hutton, division of Benchmark Investments, LLC (the representative of the underwriters of this offering) to assist us in connection with our initial business combination. The representative shares held by the representative and its designees will also be worthless if we do not consummate an initial business combination. Therefore, if the representative provides services to us in connection with our initial business combination, these financial interests may result in the representative having a conflict of interest when providing such services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placement units are intended to be used to complete an initial business combination with a target business that has not been identified, we may be deemed to be a “blank check” company under the United States securities laws. However, because we will have net tangible assets in excess of $5,000,000 upon the successful completion of this offering and the sale of the placement units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of This Offering to Those of Blank Check Companies Subject to Rule 419.”</w:t>
      </w:r>
    </w:p>
    <w:p>
      <w:pPr>
        <w:spacing w:after="0" w:line="16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$10.15 per share on our redemption of our public shares, or less than such amount in certain circumstances, and our warrants will expire worthless.</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placement units,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Class A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and completing an initial business combination.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herein.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right="80"/>
        <w:spacing w:after="0" w:line="314" w:lineRule="auto"/>
        <w:rPr>
          <w:sz w:val="20"/>
          <w:szCs w:val="20"/>
          <w:color w:val="auto"/>
        </w:rPr>
      </w:pPr>
      <w:r>
        <w:rPr>
          <w:rFonts w:ascii="Arial" w:cs="Arial" w:eastAsia="Arial" w:hAnsi="Arial"/>
          <w:sz w:val="16"/>
          <w:szCs w:val="16"/>
          <w:b w:val="1"/>
          <w:bCs w:val="1"/>
          <w:color w:val="auto"/>
        </w:rPr>
        <w:t>If the net proceeds of this offering and the sale of the placement units not being held in the trust account are insufficient to allow us to operate for at least the 15 months following the closing of this offering, we may be unable to complete our initial business combination,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funds available to us outside of the trust account to fund our working capital requirements may not be sufficient to allow us to operate for at least the 15 months following the closing of this offering, assuming that our initial business combination is not completed during that time. We believe that, upon the closing of this offering, the funds available to us outside of the trust account will be sufficient to allow us to operate for at least the 15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herein.</w:t>
      </w:r>
    </w:p>
    <w:p>
      <w:pPr>
        <w:spacing w:after="0" w:line="18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If the net proceeds of this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5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placement units, only approximately $1,150,000 will be available to us initially outside the trust account to fund our working capital requirements. In the event that our offering expenses exceed our estimate of $645,000,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$645,000,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Prior to the completion of our initial business combination,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$10.15 per share on our redemption of our public shares,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our initial business combination, we may issue shares to investors in private placement transactions (so-called PIPE transactions) at a price of $10.00 per share or which approximates the per-share amounts in our trust account at such time.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420"/>
        <w:spacing w:after="0" w:line="266" w:lineRule="auto"/>
        <w:rPr>
          <w:sz w:val="20"/>
          <w:szCs w:val="20"/>
          <w:color w:val="auto"/>
        </w:rPr>
      </w:pPr>
      <w:r>
        <w:rPr>
          <w:rFonts w:ascii="Arial" w:cs="Arial" w:eastAsia="Arial" w:hAnsi="Arial"/>
          <w:sz w:val="18"/>
          <w:szCs w:val="18"/>
          <w:b w:val="1"/>
          <w:b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$10.15 per share.</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Marcum LLP, our independent registered public accounting firm, and the underwriters of this offering, will not execute agreements with us waiving such claims to the monies held in the trust account.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324"/>
        <w:spacing w:after="0" w:line="26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$10.15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$10.15 per share and (ii) the actual amount per share held in the trust account as of the date of the liquidation of the trust account if less than $10.15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$10.15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executive officers.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firstLine="8"/>
        <w:spacing w:after="0" w:line="253"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7" w:name="page48"/>
    <w:bookmarkEnd w:id="47"/>
    <w:p>
      <w:pPr>
        <w:ind w:right="160"/>
        <w:spacing w:after="0" w:line="266"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88" w:lineRule="exact"/>
        <w:rPr>
          <w:sz w:val="20"/>
          <w:szCs w:val="20"/>
          <w:color w:val="auto"/>
        </w:rPr>
      </w:pPr>
    </w:p>
    <w:p>
      <w:pPr>
        <w:jc w:val="both"/>
        <w:ind w:right="240"/>
        <w:spacing w:after="0" w:line="343" w:lineRule="auto"/>
        <w:rPr>
          <w:sz w:val="20"/>
          <w:szCs w:val="20"/>
          <w:color w:val="auto"/>
        </w:rPr>
      </w:pPr>
      <w:r>
        <w:rPr>
          <w:rFonts w:ascii="Arial" w:cs="Arial" w:eastAsia="Arial" w:hAnsi="Arial"/>
          <w:sz w:val="15"/>
          <w:szCs w:val="15"/>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2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3"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340" w:right="1300" w:hanging="8"/>
        <w:spacing w:after="0" w:line="500" w:lineRule="auto"/>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right="20" w:firstLine="324"/>
        <w:spacing w:after="0" w:line="284"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w:t>
      </w:r>
    </w:p>
    <w:p>
      <w:pPr>
        <w:spacing w:after="0" w:line="1" w:lineRule="exact"/>
        <w:rPr>
          <w:sz w:val="20"/>
          <w:szCs w:val="20"/>
          <w:color w:val="auto"/>
        </w:rPr>
      </w:pPr>
    </w:p>
    <w:p>
      <w:pPr>
        <w:ind w:right="60" w:firstLine="8"/>
        <w:spacing w:after="0" w:line="286"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or (iii) absent an initial business combination within 15 months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$10.15 per share on the liquidation of our trust account and our warrants will expire worthless.</w:t>
      </w:r>
    </w:p>
    <w:p>
      <w:pPr>
        <w:spacing w:after="0" w:line="16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66"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15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is our intention to redeem our public shares as soon as reasonably possible following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20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15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9" w:name="page50"/>
    <w:bookmarkEnd w:id="49"/>
    <w:p>
      <w:pPr>
        <w:ind w:right="520"/>
        <w:spacing w:after="0" w:line="282"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The grant of registration rights to our initial stockholders (including the holders the representative shares) may make it more difficult to complete our initial business combination, and the future exercise of such rights may adversely affect the market price of our Class A common stock.</w:t>
      </w:r>
    </w:p>
    <w:p>
      <w:pPr>
        <w:spacing w:after="0" w:line="12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initial stockholders, their permitted transferees can demand that we register the resale of the placement units, the placement shares, the placement warrants, the shares of Class A common stock issuable upon exercise of the placement warrants, the shares of Class A common stock issuable upon conversion of the founder shares and the shares of Class A common stock included in the placement units and holders of units that may be issued upon conversion of working capital loans may demand that we register the resale of such shares of Class A common stock, warrants or the Class A common stock issuable upon exercise of such units and warrants. In addition, the representative may demand that we register the resale of the representative shares.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securities owned by our initial stockholders or holders of working capital loans or their respective permitted transferees are registered.</w:t>
      </w:r>
    </w:p>
    <w:p>
      <w:pPr>
        <w:spacing w:after="0" w:line="16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8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will seek to complete an initial business combination with companies in the retail, lifestyle, hospitality, technology or real estate markets, but may also pursue other business combination opportunities,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who choose to remain stockholders following our initial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We may seek business combination opportunities in industries or sectors which may or may not be outside of our management’s area of expertise.</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Although we intend to focus on identifying technology companies, we will consider an initial business combination outside of our management’s area of expertise if an initial business combination candidate is presented to us and we determine that such candidate offers an attractive business combination opportunity for our company or we are unable to identify a suitable candidate in this sector after having expanded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168"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requirements,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herein.</w:t>
      </w:r>
    </w:p>
    <w:p>
      <w:pPr>
        <w:spacing w:after="0" w:line="164"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2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ind w:right="120"/>
        <w:spacing w:after="0" w:line="282" w:lineRule="auto"/>
        <w:rPr>
          <w:sz w:val="20"/>
          <w:szCs w:val="20"/>
          <w:color w:val="auto"/>
        </w:rPr>
      </w:pPr>
      <w:r>
        <w:rPr>
          <w:rFonts w:ascii="Arial" w:cs="Arial" w:eastAsia="Arial" w:hAnsi="Arial"/>
          <w:sz w:val="18"/>
          <w:szCs w:val="18"/>
          <w:b w:val="1"/>
          <w:bCs w:val="1"/>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entity that commonly renders valuation opinions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$10.15 per share, or less than such amount in certain circumstances, on the liquidation of our trust account and our warrants will expire worthless.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herein.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0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2" w:name="page53"/>
    <w:bookmarkEnd w:id="52"/>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the sale of the placement units, which will cause us to be solely dependent on a single business which may have a limited number of services and limited operating activities. This lack of diversification may negatively impact our operating results and profitability.</w:t>
      </w:r>
    </w:p>
    <w:p>
      <w:pPr>
        <w:spacing w:after="0" w:line="18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Of the net proceeds from this offering and the sale of the placement units, $253,750,000 (or $291,812,500 if the underwriters’ over-allotment option is exercised in full) will be available to complete our initial business combination and pay related fees and expenses (which includes up to $8,750,000, or up to $10,062,500 if the over-allotment option is exercised in full, for the payment of deferred underwriting commissions).</w:t>
      </w:r>
    </w:p>
    <w:p>
      <w:pPr>
        <w:spacing w:after="0" w:line="16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3" w:name="page54"/>
    <w:bookmarkEnd w:id="53"/>
    <w:p>
      <w:pPr>
        <w:ind w:right="26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6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in no event will we redeem our public shares unless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or their affiliates.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Class A common stock submitted for redemption will be returned to the holders thereof, and we instead may search for an alternate business combination.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20"/>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a majority of the public warrants (which may include public warrants acquired by our sponsor or its affiliates in this offering or thereafter in the open market).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w:t>
      </w:r>
    </w:p>
    <w:p>
      <w:pPr>
        <w:spacing w:after="0" w:line="17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4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at least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amended and restated certificate of incorporation will provide that any of its provisions related to pre-initial business combination activity (including the requirement to deposit proceeds of this offering and the sale of the placement units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redemption or liquidation is substantially reduced or eliminated) may be amended if approved by holders of at least 65% of our common stock entitled to vote thereon, and corresponding provisions of the trust agreement governing the release of funds from our trust account may be 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who will collectively beneficially own approximately 24.81%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140" w:firstLine="324"/>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66"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placement units.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If we are unable to complete our initial business combination, our public stockholders may receive only approximately $10.15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$10.15 per share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$10.15 per share,” under certain circumstances our public stockholders may receive less than $10.15 per share upon the liquidation of the trust account.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Our initial stockholders may exert a substantial influence on actions requiring a stockholder vote, potentially in a manner that you do not support.</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Upon the closing of this offering, our initial stockholders will own shares representing approximately 24.81% of our issued and outstanding shares of common stock (including the placement shares to be issued to the sponsor, excluding representative shares and assuming they do not purchase any units in this offering).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units in this offering or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8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sponsor paid an aggregate of $25,000 for the founder shares, or approximately $0.003 per founder share. As a result of this low initial price, our sponsor, its affiliates and our management team stand to make a substantial profit even if an initial business combination subsequently declines in value or is unprofitable for our public stockholders.</w:t>
      </w:r>
    </w:p>
    <w:p>
      <w:pPr>
        <w:spacing w:after="0" w:line="1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 low acquisition cost of our founder shares, our sponsor, its affiliates and our management team could make a substantial profit even if we select and consummate an initial business combination with an acquisition target that subsequently declines in value or is unprofitable for our public stockholders. Thus, such parties may have more of an economic incentive for us to enter into an initial business combination with a riskier, weaker-performing or financially unstable business, or an entity lacking an established record of revenues or earnings, than would be the case if such parties had paid the full offering price for their founder shares.</w:t>
      </w:r>
    </w:p>
    <w:p>
      <w:pPr>
        <w:spacing w:after="0" w:line="184"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7"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8"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amended and restated certificate of incorporation will provide that we must complete our initial business combination within 15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if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$10.15 per share,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jc w:val="both"/>
        <w:ind w:right="300"/>
        <w:spacing w:after="0" w:line="266" w:lineRule="auto"/>
        <w:rPr>
          <w:sz w:val="20"/>
          <w:szCs w:val="20"/>
          <w:color w:val="auto"/>
        </w:rPr>
      </w:pPr>
      <w:r>
        <w:rPr>
          <w:rFonts w:ascii="Arial" w:cs="Arial" w:eastAsia="Arial" w:hAnsi="Arial"/>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that any such purchases will be reported pursuant to Section 13 and Section 16 of the Exchange Act to the extent such purchasers are subject to such reporting requirements.</w:t>
      </w:r>
    </w:p>
    <w:p>
      <w:pPr>
        <w:spacing w:after="0" w:line="17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48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deliver their stock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disclosed in the proxy or tender offer materials, as applicable,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an initial business combination within 15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right="8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If our management team following our initial business combination is unfamiliar with United States securities laws, they may have to expend time and resources becoming familiar with such laws, which could lead to various regulatory issues.</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Following our initial business combination, our founding team may resign from their positions as officers or directors of the company and the management of the business combination partner will may assume the roles of executive officers and directors of our company. Such officers and directors may not be familiar with United States securities laws. If our new management following our initial business combination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84"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spacing w:after="0" w:line="14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we may acquire a business located outside of the United States as part of our initial business combination, the economic, political and social conditions, as well as government policies, of the country in which our operations would be located following our initial business combination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rate fluctuations and currency policies may cause our target business’ ability to succeed in the international markets to be diminished.</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event we acquire a non-U.S. business as part of our initial business combination,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right="26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U.S.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executive officers and directors and their departure could adversely affect our ability to operate.</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right="360"/>
        <w:spacing w:after="0" w:line="314"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the consummation of our initial business combination.</w:t>
      </w:r>
    </w:p>
    <w:p>
      <w:pPr>
        <w:spacing w:after="0" w:line="16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60"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“Management — Directors and Officers.”</w:t>
      </w:r>
    </w:p>
    <w:p>
      <w:pPr>
        <w:spacing w:after="0" w:line="17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(such as operating companies or investment vehicles) that are engaged in a similar business and our officers and directors may become officers or directors of another special purpose acquisition company with a class of securities intended to be registered under the Exchange Act, even prior to us entering into a definitive agreement for our initial business combination. Our officers and directors also may become aware of business opportunities which may be appropriate for presentation to us and the other entities to which they owe certain fiduciary or contractual duties.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or directors. Our directors and officers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Selection of a Target Business and Structuring of our Initial Business Combination” and such transaction was approved by a majority of our disinterested directors. Despite our agreement to obtain an opinion from an independent investment banking firm or another independent entity that commonly renders valuation opinions, regarding the fairness to our stockholders from a financial point of view of an initial business combination with one or more businesses affiliated with our sponsor, officers, directors or existing holders, potential conflicts of interest still may exist and, as a result, the terms of the initial business combination may not be as advantageous to our public stockholders as they would be absent any conflicts of interest.</w:t>
      </w:r>
    </w:p>
    <w:p>
      <w:pPr>
        <w:spacing w:after="0" w:line="182"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 of the outstanding shares after this offering (excluding the shares of Class A common stock to be issued to the representative or its designees upon consummation of this offering, the placement units and securities underlying the placement units). The 9,487,500 founders’ shares include an aggregate of up to 1,237,500 founders’ shares that are subject to forfeiture by our sponsor depending on the extent to which the underwriters’ over-allotment option is exercised. The founder shares will be worthless if we do not complete an initial business combination. Our sponsor has agreed to purchase an aggregate of 804,500 placement units at a price of $10.00 per unit for an aggregate purchase price of $8,045,000. If the over-allotment option is exercised in full, the amount of placement units sold will be 898,250 for an aggregate purchase price of $8,982,500). Each placement unit consists of one share of Class A common stock and one warrant. Each warrant is exercisable to purchase one whole share of common stock at $11.50 per share. These securities will also be worthless if we do not complete an initial business combination. Holders of founder shares have agreed (A) to vote any shares owned by them in favor of any proposed initial business combination and (B) not to redeem any founder shares or placement shares held by them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$10.15 per share.</w:t>
      </w:r>
    </w:p>
    <w:p>
      <w:pPr>
        <w:spacing w:after="0" w:line="12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stockholders may be less than $10.15 per share.</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Class A common stock and warrants are eligible to trade separately, we anticipate that the shares of our Class A common stock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number of holders of our securities (generally 400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we would be required to have a minimum of 400 round lot holders (with at least 50% of such round lot holders holding securities with a market value of at least $2,500) of our securities. We cannot assure you that we will be able to meet those initial listing requirements at that time.</w:t>
      </w:r>
    </w:p>
    <w:p>
      <w:pPr>
        <w:spacing w:after="0" w:line="179" w:lineRule="exact"/>
        <w:rPr>
          <w:sz w:val="20"/>
          <w:szCs w:val="20"/>
          <w:color w:val="auto"/>
        </w:rPr>
      </w:pPr>
    </w:p>
    <w:p>
      <w:pPr>
        <w:ind w:right="500" w:firstLine="324"/>
        <w:spacing w:after="0" w:line="258"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securities could be quoted on an over-the-counter market. If this were to occur, we could face significant material adverse consequences, including:</w:t>
      </w:r>
    </w:p>
    <w:p>
      <w:pPr>
        <w:spacing w:after="0" w:line="23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right="20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8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6" w:name="page67"/>
    <w:bookmarkEnd w:id="66"/>
    <w:p>
      <w:pPr>
        <w:ind w:right="140"/>
        <w:spacing w:after="0" w:line="258" w:lineRule="auto"/>
        <w:rPr>
          <w:sz w:val="20"/>
          <w:szCs w:val="20"/>
          <w:color w:val="auto"/>
        </w:rPr>
      </w:pPr>
      <w:r>
        <w:rPr>
          <w:rFonts w:ascii="Arial" w:cs="Arial" w:eastAsia="Arial" w:hAnsi="Arial"/>
          <w:sz w:val="18"/>
          <w:szCs w:val="18"/>
          <w:b w:val="1"/>
          <w:b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If the issuance of the shares upon exercise of warrants is not registered, qualified or exempt from registration or qualification, the holder of such warrant will not be entitled to exercise such warrant and such warrant may have no value and expire worthless.</w:t>
      </w:r>
    </w:p>
    <w:p>
      <w:pPr>
        <w:spacing w:after="0" w:line="18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after the closing of our initial business combination, we will use our best efforts to file with the SEC a registration statement for the registration under the Securities Act of the issuance of the shares of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SEC, and during any other period when we fail to have maintained an effective registration statement covering the shares of Common Stock issuable upon exercise of the warrants, to exercise such warrants on a “cashless basis”. We shall provide the Warrant Agent with an opinion of counsel stating that (i) the exercise of the warrants on a cashless basis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do not file and maintain a current and effective prospectus relating to the Class A common stock issuable upon exercise of the warrants, holders will only be able to exercise such warrants on a “cashless basis.”</w:t>
      </w:r>
    </w:p>
    <w:p>
      <w:pPr>
        <w:spacing w:after="0" w:line="16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we do not file and maintain a current and effective prospectus relating to the Class A common stock issuable upon exercise of the warrants at the time that holders wish to exercise such warrants, they will only be able to exercise them on a “cashless basis” provided that an exemption from registration is available. As a result, the number of shares of Class A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Class A common stock issuable upon exercise of the warrants is available. Under the terms of the warrant agreement, we have agreed to use our best efforts to meet these conditions and to file and maintain a current and effective prospectus relating to the Class A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77"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b w:val="1"/>
          <w:bCs w:val="1"/>
          <w:color w:val="auto"/>
        </w:rPr>
        <w:t>An investor will only be able to exercise a warrant if the issuance of shares of Class A common stock upon such exercise has been registered or qualified or is deemed exempt under the securities laws of the state of residence of the holder of the warrants.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No warrants will be exercisable and we will not be obligated to issue shares of Class A common stock unless the shares of Class A common stock issuable upon such exercise has been registered or qualified or deemed to be exempt under the securities laws of the state of residence of the holder of the warrants. If the shares of Class A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right="20"/>
        <w:spacing w:after="0" w:line="258" w:lineRule="auto"/>
        <w:rPr>
          <w:sz w:val="20"/>
          <w:szCs w:val="20"/>
          <w:color w:val="auto"/>
        </w:rPr>
      </w:pPr>
      <w:r>
        <w:rPr>
          <w:rFonts w:ascii="Arial" w:cs="Arial" w:eastAsia="Arial" w:hAnsi="Arial"/>
          <w:sz w:val="18"/>
          <w:szCs w:val="18"/>
          <w:b w:val="1"/>
          <w:b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the consummation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8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amended and restated certificate of incorporation will authorize the issuance of up to 280,000,000 shares of Class A common stock, par value $0.0001 per share, 20,000,000 shares of Class B common stock, par value $0.0001 per share, and 1,000,000 shares of preferred stock, par value $0.0001 per share. Immediately after this offering and the sale of the placement units, there will be 253,820,500 and 11,750,000 (assuming, in each case, that the underwriters have not exercised their over-allotment option) authorized but unissued shares of Class A common stock and Class B common stock, respectively, available for issuance, which amount does not take into account the shares of Class A common stock reserved for issuance upon exercise of outstanding warrants or the shares of Class A common stock issuable upon conversion of Class B common stock. Immediately after the consummation of this offering, there will be no shares of preferred stock issued and outstanding. Shares of Class B common stock are convertible into shares of our Class A common stock initially at a one-for-one ratio but subject to adjustment as set forth herein, including in certain circumstances in which we issue Class A common stock or equity-linked securities related to our initial business combination.</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issue a substantial number of additional shares of common or preferred stock to complete our initial business combination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the consummation of our initial business combination as a result of the anti-dilution provisions contained in our amended and restated certificate of incorporation.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executive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6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660" w:right="3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8" w:name="page69"/>
    <w:bookmarkEnd w:id="68"/>
    <w:p>
      <w:pPr>
        <w:ind w:right="320"/>
        <w:spacing w:after="0" w:line="282" w:lineRule="auto"/>
        <w:rPr>
          <w:sz w:val="20"/>
          <w:szCs w:val="20"/>
          <w:color w:val="auto"/>
        </w:rPr>
      </w:pPr>
      <w:r>
        <w:rPr>
          <w:rFonts w:ascii="Arial" w:cs="Arial" w:eastAsia="Arial" w:hAnsi="Arial"/>
          <w:sz w:val="18"/>
          <w:szCs w:val="18"/>
          <w:b w:val="1"/>
          <w:bCs w:val="1"/>
          <w:color w:val="auto"/>
        </w:rPr>
        <w:t>Our initial stockholders paid a nominal price for the founders’ shares and, accordingly, you will experience immediate and substantial dilution from the purchase of our shares of common stock.</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warrants included in the unit) and the pro forma net tangible book value per share of our Class A common stock after this offering constitutes the dilution to you and the other investors in this offering. Our sponsor and the representative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108.0% (or $10.80 per share, assuming no exercise of the underwriters’ over-allotment option), the difference between the pro forma net tangible book value per share of $(0.80)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Unlike many other similarly structured special purpose acquisition companies, our initial stockholders will receive additional shares of Class A common stock if we issue shares to consummate an initial business combination.</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founder shares will automatically convert into Class A common stock at the time of the consummation of our initial business combination, on a one-for-one basis, subject to adjustment as provided herein. In the case that additional shares of Class A common stock, or equity-linked securities convertible or exercisable for Class A common stock, are issued or deemed issued in excess of the amounts offered in this prospectus and related to the closing of the initial business combination, the ratio at which founder shares shall convert into Class A common stock will be adjusted so that the number of Class A common stock issuable upon conversion of all founder shares will equal, in the aggregate, on an as-converted basis, 24.81% of the total number of all outstanding shares of common stock upon completion of the initial business combination, excluding the shares of Class A common stock to be issued to the representative or its designees upon consummation of this offering, the placement units and underlying securities, assuming the initial stockholders do not purchase units in this offering, and any shares or equity-linked securities issued, or to be issued, to any seller in the business combination and any private placement-equivalent units and their underlying securities issued to our sponsor or its affiliates upon conversion of loans made to us. This is different from most other similarly structured blank check companies in which the initial stockholder will only be issued an aggregate of 20% of the total number of shares to be outstanding prior to the initial business combination. Additionally, the aforementioned adjustment will not take into account any shares of Class A common stock redeemed in connection with the business combination. Accordingly, the holders of the founder shares could receive additional shares of Class A common stock even if the additional shares of Class A common stock, or equity-linked securities convertible or exercisable for Class A common stock, are issued or deemed issued solely to replace those shares that were redeemed in connection with the business combination. The foregoing may make it more difficult and expensive for us to consummate an initial business combination.</w:t>
      </w:r>
    </w:p>
    <w:p>
      <w:pPr>
        <w:spacing w:after="0" w:line="163"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with the approval by the holders of at least 50%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4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this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the holders of at least 50% of the then outstanding public warrants in order to make any change that adversely affects the interests of the registered holders.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shorten the exercise period or decrease the number of shares of our Class A common stock purchasable upon exercise of a warrant.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right="300"/>
        <w:spacing w:after="0" w:line="289" w:lineRule="auto"/>
        <w:rPr>
          <w:sz w:val="20"/>
          <w:szCs w:val="20"/>
          <w:color w:val="auto"/>
        </w:rPr>
      </w:pPr>
      <w:r>
        <w:rPr>
          <w:rFonts w:ascii="Arial" w:cs="Arial" w:eastAsia="Arial" w:hAnsi="Arial"/>
          <w:sz w:val="17"/>
          <w:szCs w:val="17"/>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6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4"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16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the Class A common stock 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17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management’s ability to require holders of our warrants to exercise such warrants on a cashless basis will cause holders to receive fewer shares of Class A common stock upon their exercise of the warrants than they would have received had they been able to exercise their warrants for cash.</w:t>
      </w:r>
    </w:p>
    <w:p>
      <w:pPr>
        <w:spacing w:after="0" w:line="18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Class A common stock received by a holder upon exercise will be fewer than it would have been had such holder exercised his warrant for cash. This will have the effect of reducing the potential “upside” of the holder’s investment in our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right="380"/>
        <w:spacing w:after="0" w:line="282"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Class A common stock and make it more difficult to effectuate our initial business combination.</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will be issuing warrants to purchase 25,000,000 shares of our Class A common stock (or up to 28,750,000 shares of Class A common stock if the underwriters’ over-allotment option is exercised in full) as part of the units offered by this prospectus and, simultaneously with the closing of this offering, we will be issuing placement units, in a private placement, consisting of an aggregate 804,500 placement warrants to purchase shares of Class A common stock (or 898,250 warrants if the over-allotment option is exercised in full) for a total of 25,804,500 shares of our Class A common stock (or 29,648,250 shares of our Class A common stock if the underwriters’ over-allotment option is exercised in full). Our initial stockholders currently own an aggregate of 9,487,500 Class B founder shares. The founder shares are convertible into shares of Class A common stock on a one-for-one basis, subject to adjustment as set forth herein. In addition, if our sponsor, our officers and directors, or our or their affiliates make any loans prior to or in connection with our initial business combination, up to $1,500,000 of such loans may be converted into units, at a price of $10.00 per unit at the option of the lender, upon consummation of our initial business combination. The units would be identical to the placement units. To the extent we issue shares of Class A common stock to effectuate an initial business combination, the potential for the issuance of a substantial number of additional shares of Class A common stock upon exercise of these warrants and loan conversion rights could make us a less attractive business combination vehicle to a target business. Any such issuance will increase the number of issued and outstanding shares of our Class A common stock and reduce the value of the shares of Class A common stock issued to complete the initial business combination. Therefore, our warrants and founder shares may make it more difficult to effectuate an initial business combination or increase the cost of acquiring the target business.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placement warrants included in the placement units are identical to the warrants sold as part of the units in this offering except that they may not, subject to certain limited exceptions, be transferred, assigned or sold by the holders until 30 days after the completion of our initial business combination, and will be entitled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660" w:right="1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issue additional shares of Class A common stock or equity-linked securities for capital raising purposes in connection with the closing of our initial business combination at a Newly Issued Price of less than $9.20 per share;</w:t>
      </w:r>
    </w:p>
    <w:p>
      <w:pPr>
        <w:spacing w:after="0" w:line="170" w:lineRule="exact"/>
        <w:rPr>
          <w:rFonts w:ascii="Arial" w:cs="Arial" w:eastAsia="Arial" w:hAnsi="Arial"/>
          <w:sz w:val="18"/>
          <w:szCs w:val="18"/>
          <w:color w:val="auto"/>
        </w:rPr>
      </w:pPr>
    </w:p>
    <w:p>
      <w:pPr>
        <w:ind w:left="660" w:right="34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1" w:name="page72"/>
    <w:bookmarkEnd w:id="71"/>
    <w:p>
      <w:pPr>
        <w:ind w:left="340"/>
        <w:spacing w:after="0"/>
        <w:rPr>
          <w:sz w:val="20"/>
          <w:szCs w:val="20"/>
          <w:color w:val="auto"/>
        </w:rPr>
      </w:pPr>
      <w:r>
        <w:rPr>
          <w:rFonts w:ascii="Arial" w:cs="Arial" w:eastAsia="Arial" w:hAnsi="Arial"/>
          <w:sz w:val="16"/>
          <w:szCs w:val="16"/>
          <w:color w:val="auto"/>
        </w:rPr>
        <w:t>then the exercise price of the warrants will be adjusted to be equal to 115% of the greater of the Market Value and the Newly Issued Price,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$18.00 per share redemption trigger price will be adjusted (to the nearest cent) to be equal to 180% of the greater of the Market Value and the Newly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This may make it more difficult for us to consummate an initial business combination with a target business.</w:t>
      </w:r>
    </w:p>
    <w:p>
      <w:pPr>
        <w:spacing w:after="0" w:line="20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The determination of the offering price of our units, the size of this offering and the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6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1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size and terms of the units is more arbitrary than the pricing of securities of an operating company in a particular industry since we have no historical operations or financial results.</w:t>
      </w:r>
    </w:p>
    <w:p>
      <w:pPr>
        <w:spacing w:after="0" w:line="16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6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6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right="120" w:firstLine="324"/>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7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 newly formed company with no operating history and no revenues, and you have no basis on which to evaluate our ability to achieve our business objective.</w:t>
      </w:r>
    </w:p>
    <w:p>
      <w:pPr>
        <w:spacing w:after="0" w:line="166"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We are a newly formed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3" w:name="page74"/>
    <w:bookmarkEnd w:id="73"/>
    <w:p>
      <w:pPr>
        <w:ind w:right="80"/>
        <w:spacing w:after="0" w:line="282"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September 30, 2021, we had cash of $25,100 and a working capital deficit of $141,501.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performance by our management team may not be indicative of future performance of an investment in us.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by our management team is not a guarantee either (i) of success with respect to any business combination we may consummate or</w:t>
      </w:r>
    </w:p>
    <w:p>
      <w:pPr>
        <w:spacing w:after="0" w:line="46" w:lineRule="exact"/>
        <w:rPr>
          <w:sz w:val="20"/>
          <w:szCs w:val="20"/>
          <w:color w:val="auto"/>
        </w:rPr>
      </w:pPr>
    </w:p>
    <w:p>
      <w:pPr>
        <w:ind w:right="60" w:firstLine="8"/>
        <w:spacing w:after="0" w:line="295" w:lineRule="auto"/>
        <w:tabs>
          <w:tab w:leader="none" w:pos="2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we will be able to locate a suitable candidate for our initial business combination. You should not rely on the historical record of our management team’s performance as indicative of our future performance of an investment in the company or the returns the company will, or is likely to, generate going forward. None of our officers or directors has experience with blank check companies or special purpose acquisition companies. Additionally, in the course of their respective careers, members of our management team have been involved in businesses and deals that were unsuccessful.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24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ability to consummate a business combination and lead to financial loss.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We may face risks related to companies in the technology sector.</w:t>
      </w:r>
    </w:p>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Business combinations with companies in the technology sector (where we plan to search for our initial business combination target) entail special considerations and risks. If we are successful in completing a business combination with such a target business, we may be subject to, and possibly adversely affected by, the following risks:</w:t>
      </w:r>
    </w:p>
    <w:p>
      <w:pPr>
        <w:spacing w:after="0" w:line="184" w:lineRule="exact"/>
        <w:rPr>
          <w:sz w:val="20"/>
          <w:szCs w:val="20"/>
          <w:color w:val="auto"/>
        </w:rPr>
      </w:pPr>
    </w:p>
    <w:p>
      <w:pPr>
        <w:ind w:left="780" w:hanging="327"/>
        <w:spacing w:after="0"/>
        <w:tabs>
          <w:tab w:leader="none" w:pos="780" w:val="left"/>
        </w:tabs>
        <w:numPr>
          <w:ilvl w:val="0"/>
          <w:numId w:val="34"/>
        </w:numPr>
        <w:rPr>
          <w:rFonts w:ascii="Arial" w:cs="Arial" w:eastAsia="Arial" w:hAnsi="Arial"/>
          <w:sz w:val="17"/>
          <w:szCs w:val="17"/>
          <w:color w:val="333333"/>
        </w:rPr>
      </w:pPr>
      <w:r>
        <w:rPr>
          <w:rFonts w:ascii="Arial" w:cs="Arial" w:eastAsia="Arial" w:hAnsi="Arial"/>
          <w:sz w:val="17"/>
          <w:szCs w:val="17"/>
          <w:color w:val="333333"/>
        </w:rPr>
        <w:t>an inability to compete effectively in a highly competitive environment with many incumbents having substantially greater resources;</w:t>
      </w:r>
    </w:p>
    <w:p>
      <w:pPr>
        <w:spacing w:after="0" w:line="236" w:lineRule="exact"/>
        <w:rPr>
          <w:rFonts w:ascii="Arial" w:cs="Arial" w:eastAsia="Arial" w:hAnsi="Arial"/>
          <w:sz w:val="17"/>
          <w:szCs w:val="17"/>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manage rapid change, increasing consumer expectations and growth;</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build strong brand identity and improve subscriber or customer satisfaction and loyalty;</w:t>
      </w:r>
    </w:p>
    <w:p>
      <w:pPr>
        <w:spacing w:after="0" w:line="225" w:lineRule="exact"/>
        <w:rPr>
          <w:rFonts w:ascii="Arial" w:cs="Arial" w:eastAsia="Arial" w:hAnsi="Arial"/>
          <w:sz w:val="18"/>
          <w:szCs w:val="18"/>
          <w:color w:val="333333"/>
        </w:rPr>
      </w:pPr>
    </w:p>
    <w:p>
      <w:pPr>
        <w:ind w:left="780" w:hanging="327"/>
        <w:spacing w:after="0" w:line="277" w:lineRule="auto"/>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 reliance on proprietary technology to provide services and to manage our operations, and the failure of this technology to operate effectively, or our failure to use such technology effectively;</w:t>
      </w:r>
    </w:p>
    <w:p>
      <w:pPr>
        <w:spacing w:after="0" w:line="170"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deal with our subscribers’ or customers’ privacy concerns;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attract and retain subscribers or customers;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license or enforce intellectual property rights on which our business may depend;</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any significant disruption in our computer systems or those of third parties that we would utilize in our operations;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by us, or a refusal by third parties, to license content to us upon acceptable terms;</w:t>
      </w:r>
    </w:p>
    <w:p>
      <w:pPr>
        <w:spacing w:after="0" w:line="225" w:lineRule="exact"/>
        <w:rPr>
          <w:rFonts w:ascii="Arial" w:cs="Arial" w:eastAsia="Arial" w:hAnsi="Arial"/>
          <w:sz w:val="18"/>
          <w:szCs w:val="18"/>
          <w:color w:val="333333"/>
        </w:rPr>
      </w:pPr>
    </w:p>
    <w:p>
      <w:pPr>
        <w:ind w:left="780" w:right="160" w:hanging="327"/>
        <w:spacing w:after="0" w:line="277" w:lineRule="auto"/>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potential liability for negligence, copyright or trademark infringement or other claims based on the nature and content of materials that we may distribute;</w:t>
      </w:r>
    </w:p>
    <w:p>
      <w:pPr>
        <w:spacing w:after="0" w:line="170"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competition for advertising revenue;</w:t>
      </w:r>
    </w:p>
    <w:p>
      <w:pPr>
        <w:spacing w:after="0" w:line="225" w:lineRule="exact"/>
        <w:rPr>
          <w:rFonts w:ascii="Arial" w:cs="Arial" w:eastAsia="Arial" w:hAnsi="Arial"/>
          <w:sz w:val="18"/>
          <w:szCs w:val="18"/>
          <w:color w:val="333333"/>
        </w:rPr>
      </w:pPr>
    </w:p>
    <w:p>
      <w:pPr>
        <w:ind w:left="780" w:right="300" w:hanging="327"/>
        <w:spacing w:after="0" w:line="277" w:lineRule="auto"/>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competition for the leisure and entertainment time and discretionary spending of subscribers or customers, which may intensify in part due to advances in technology and changes in consumer expectations and behavior;</w:t>
      </w:r>
    </w:p>
    <w:p>
      <w:pPr>
        <w:spacing w:after="0" w:line="170" w:lineRule="exact"/>
        <w:rPr>
          <w:rFonts w:ascii="Arial" w:cs="Arial" w:eastAsia="Arial" w:hAnsi="Arial"/>
          <w:sz w:val="18"/>
          <w:szCs w:val="18"/>
          <w:color w:val="333333"/>
        </w:rPr>
      </w:pPr>
    </w:p>
    <w:p>
      <w:pPr>
        <w:ind w:left="780" w:right="220" w:hanging="327"/>
        <w:spacing w:after="0" w:line="308" w:lineRule="auto"/>
        <w:tabs>
          <w:tab w:leader="none" w:pos="780" w:val="left"/>
        </w:tabs>
        <w:numPr>
          <w:ilvl w:val="0"/>
          <w:numId w:val="34"/>
        </w:numPr>
        <w:rPr>
          <w:rFonts w:ascii="Arial" w:cs="Arial" w:eastAsia="Arial" w:hAnsi="Arial"/>
          <w:sz w:val="17"/>
          <w:szCs w:val="17"/>
          <w:color w:val="333333"/>
        </w:rPr>
      </w:pPr>
      <w:r>
        <w:rPr>
          <w:rFonts w:ascii="Arial" w:cs="Arial" w:eastAsia="Arial" w:hAnsi="Arial"/>
          <w:sz w:val="17"/>
          <w:szCs w:val="17"/>
          <w:color w:val="333333"/>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146" w:lineRule="exact"/>
        <w:rPr>
          <w:rFonts w:ascii="Arial" w:cs="Arial" w:eastAsia="Arial" w:hAnsi="Arial"/>
          <w:sz w:val="17"/>
          <w:szCs w:val="17"/>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obtain necessary hardware, software and operational support; and</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reliance on third-party vendors or service providers.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 foregoing could have an adverse impact on our business, financial condition and results of operations following a business combination.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right="180"/>
        <w:spacing w:after="0" w:line="261"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rules adopted by the Securities and Exchange Commission,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rules adopted by the Securities and Exchange Commission,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or (2) our annual revenues equaled or exceeded $100 million during such completed fiscal year and the market</w:t>
      </w:r>
    </w:p>
    <w:p>
      <w:pPr>
        <w:spacing w:after="0" w:line="2" w:lineRule="exact"/>
        <w:rPr>
          <w:sz w:val="20"/>
          <w:szCs w:val="20"/>
          <w:color w:val="auto"/>
        </w:rPr>
      </w:pPr>
    </w:p>
    <w:p>
      <w:pPr>
        <w:ind w:right="740"/>
        <w:spacing w:after="0" w:line="218" w:lineRule="auto"/>
        <w:rPr>
          <w:sz w:val="20"/>
          <w:szCs w:val="20"/>
          <w:color w:val="auto"/>
        </w:rPr>
      </w:pPr>
      <w:r>
        <w:rPr>
          <w:rFonts w:ascii="Arial" w:cs="Arial" w:eastAsia="Arial" w:hAnsi="Arial"/>
          <w:sz w:val="17"/>
          <w:szCs w:val="17"/>
          <w:color w:val="auto"/>
        </w:rPr>
        <w:t>value of our 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95" w:lineRule="exact"/>
        <w:rPr>
          <w:sz w:val="20"/>
          <w:szCs w:val="20"/>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in our target industry or otherwise;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 our target industry or otherwise;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 in the technology industry;</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780" w:right="160" w:hanging="327"/>
        <w:spacing w:after="0" w:line="277"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pool of prospective target businesses in the technology, software and other industries that we focus on;</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prospectus entitled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placement units will be used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Without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Over-</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Over-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Allotment</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3"/>
              </w:rPr>
              <w:t>Allotment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Option Fully</w:t>
            </w:r>
          </w:p>
        </w:tc>
      </w:tr>
      <w:tr>
        <w:trPr>
          <w:trHeight w:val="234"/>
        </w:trPr>
        <w:tc>
          <w:tcPr>
            <w:tcW w:w="8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Exercised</w:t>
            </w: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proceeds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57"/>
        </w:trPr>
        <w:tc>
          <w:tcPr>
            <w:tcW w:w="8360" w:type="dxa"/>
            <w:vAlign w:val="bottom"/>
          </w:tcPr>
          <w:p>
            <w:pPr>
              <w:spacing w:after="0" w:line="256" w:lineRule="exact"/>
              <w:rPr>
                <w:sz w:val="20"/>
                <w:szCs w:val="20"/>
                <w:color w:val="auto"/>
              </w:rPr>
            </w:pPr>
            <w:r>
              <w:rPr>
                <w:rFonts w:ascii="Arial" w:cs="Arial" w:eastAsia="Arial" w:hAnsi="Arial"/>
                <w:sz w:val="18"/>
                <w:szCs w:val="18"/>
                <w:color w:val="auto"/>
              </w:rPr>
              <w:t xml:space="preserve">Gross proceeds from units offered to public </w:t>
            </w:r>
            <w:r>
              <w:rPr>
                <w:rFonts w:ascii="Arial" w:cs="Arial" w:eastAsia="Arial" w:hAnsi="Arial"/>
                <w:sz w:val="29"/>
                <w:szCs w:val="29"/>
                <w:color w:val="auto"/>
                <w:vertAlign w:val="superscript"/>
              </w:rPr>
              <w:t>(1)</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250,000,000</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287,500,000</w:t>
            </w:r>
          </w:p>
        </w:tc>
        <w:tc>
          <w:tcPr>
            <w:tcW w:w="140" w:type="dxa"/>
            <w:vAlign w:val="bottom"/>
          </w:tcPr>
          <w:p>
            <w:pPr>
              <w:spacing w:after="0"/>
              <w:rPr>
                <w:sz w:val="22"/>
                <w:szCs w:val="22"/>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placement units offered in the private placement to the sponsor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8,045,000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8,982,500</w:t>
            </w:r>
          </w:p>
        </w:tc>
        <w:tc>
          <w:tcPr>
            <w:tcW w:w="140" w:type="dxa"/>
            <w:vAlign w:val="bottom"/>
            <w:shd w:val="clear" w:color="auto" w:fill="CCEEFF"/>
          </w:tcPr>
          <w:p>
            <w:pPr>
              <w:spacing w:after="0"/>
              <w:rPr>
                <w:sz w:val="19"/>
                <w:szCs w:val="19"/>
                <w:color w:val="auto"/>
              </w:rPr>
            </w:pPr>
          </w:p>
        </w:tc>
      </w:tr>
      <w:tr>
        <w:trPr>
          <w:trHeight w:val="263"/>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proceeds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258,045,000</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296,482,500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210"/>
        </w:trPr>
        <w:tc>
          <w:tcPr>
            <w:tcW w:w="8360" w:type="dxa"/>
            <w:vAlign w:val="bottom"/>
            <w:shd w:val="clear" w:color="auto" w:fill="CCEEFF"/>
          </w:tcPr>
          <w:p>
            <w:pPr>
              <w:spacing w:after="0" w:line="210" w:lineRule="exact"/>
              <w:rPr>
                <w:sz w:val="20"/>
                <w:szCs w:val="20"/>
                <w:color w:val="auto"/>
              </w:rPr>
            </w:pPr>
            <w:r>
              <w:rPr>
                <w:rFonts w:ascii="Arial" w:cs="Arial" w:eastAsia="Arial" w:hAnsi="Arial"/>
                <w:sz w:val="15"/>
                <w:szCs w:val="15"/>
                <w:b w:val="1"/>
                <w:bCs w:val="1"/>
                <w:i w:val="1"/>
                <w:iCs w:val="1"/>
                <w:color w:val="auto"/>
              </w:rPr>
              <w:t xml:space="preserve">Estimated Offering expenses </w:t>
            </w:r>
            <w:r>
              <w:rPr>
                <w:rFonts w:ascii="Arial" w:cs="Arial" w:eastAsia="Arial" w:hAnsi="Arial"/>
                <w:sz w:val="24"/>
                <w:szCs w:val="24"/>
                <w:b w:val="1"/>
                <w:bCs w:val="1"/>
                <w:i w:val="1"/>
                <w:iCs w:val="1"/>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0"/>
        </w:trPr>
        <w:tc>
          <w:tcPr>
            <w:tcW w:w="8360" w:type="dxa"/>
            <w:vAlign w:val="bottom"/>
          </w:tcPr>
          <w:p>
            <w:pPr>
              <w:spacing w:after="0" w:line="270" w:lineRule="exact"/>
              <w:rPr>
                <w:sz w:val="20"/>
                <w:szCs w:val="20"/>
                <w:color w:val="auto"/>
              </w:rPr>
            </w:pPr>
            <w:r>
              <w:rPr>
                <w:rFonts w:ascii="Arial" w:cs="Arial" w:eastAsia="Arial" w:hAnsi="Arial"/>
                <w:sz w:val="18"/>
                <w:szCs w:val="18"/>
                <w:color w:val="auto"/>
                <w:w w:val="96"/>
              </w:rPr>
              <w:t xml:space="preserve">Underwriting commissions (1% of gross proceeds from units offered to public, excluding deferred portion) </w:t>
            </w:r>
            <w:r>
              <w:rPr>
                <w:rFonts w:ascii="Arial" w:cs="Arial" w:eastAsia="Arial" w:hAnsi="Arial"/>
                <w:sz w:val="29"/>
                <w:szCs w:val="29"/>
                <w:color w:val="auto"/>
                <w:w w:val="96"/>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2,875,000</w:t>
            </w:r>
          </w:p>
        </w:tc>
        <w:tc>
          <w:tcPr>
            <w:tcW w:w="140" w:type="dxa"/>
            <w:vAlign w:val="bottom"/>
          </w:tcPr>
          <w:p>
            <w:pPr>
              <w:spacing w:after="0"/>
              <w:rPr>
                <w:sz w:val="23"/>
                <w:szCs w:val="23"/>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Reimbursement to underwriters for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50,000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including listing and filing fees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9"/>
                <w:szCs w:val="19"/>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Total offering expenses (excluding underwriting commissions)</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after estimated offering expenses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254,900,000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292,962,500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7"/>
        </w:trPr>
        <w:tc>
          <w:tcPr>
            <w:tcW w:w="8360" w:type="dxa"/>
            <w:vAlign w:val="bottom"/>
          </w:tcPr>
          <w:p>
            <w:pPr>
              <w:spacing w:after="0" w:line="236" w:lineRule="exact"/>
              <w:rPr>
                <w:sz w:val="20"/>
                <w:szCs w:val="20"/>
                <w:color w:val="auto"/>
              </w:rPr>
            </w:pPr>
            <w:r>
              <w:rPr>
                <w:rFonts w:ascii="Arial" w:cs="Arial" w:eastAsia="Arial" w:hAnsi="Arial"/>
                <w:sz w:val="17"/>
                <w:szCs w:val="17"/>
                <w:color w:val="auto"/>
              </w:rPr>
              <w:t xml:space="preserve">Held in trust account </w:t>
            </w:r>
            <w:r>
              <w:rPr>
                <w:rFonts w:ascii="Arial" w:cs="Arial" w:eastAsia="Arial" w:hAnsi="Arial"/>
                <w:sz w:val="27"/>
                <w:szCs w:val="27"/>
                <w:color w:val="auto"/>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253,750,000</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291,812,500</w:t>
            </w:r>
          </w:p>
        </w:tc>
        <w:tc>
          <w:tcPr>
            <w:tcW w:w="14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 of public offering size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101.5%</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89"/>
        </w:trPr>
        <w:tc>
          <w:tcPr>
            <w:tcW w:w="9780" w:type="dxa"/>
            <w:vAlign w:val="bottom"/>
            <w:gridSpan w:val="6"/>
          </w:tcPr>
          <w:p>
            <w:pPr>
              <w:ind w:left="340"/>
              <w:spacing w:after="0"/>
              <w:rPr>
                <w:sz w:val="20"/>
                <w:szCs w:val="20"/>
                <w:color w:val="auto"/>
              </w:rPr>
            </w:pPr>
            <w:r>
              <w:rPr>
                <w:rFonts w:ascii="Arial" w:cs="Arial" w:eastAsia="Arial" w:hAnsi="Arial"/>
                <w:sz w:val="18"/>
                <w:szCs w:val="18"/>
                <w:color w:val="auto"/>
              </w:rPr>
              <w:t>The following table shows the use of the approximately $1,150,000 of net proceeds not held in the trust account.</w:t>
            </w:r>
            <w:r>
              <w:rPr>
                <w:rFonts w:ascii="Arial" w:cs="Arial" w:eastAsia="Arial" w:hAnsi="Arial"/>
                <w:sz w:val="29"/>
                <w:szCs w:val="29"/>
                <w:color w:val="auto"/>
                <w:vertAlign w:val="superscript"/>
              </w:rPr>
              <w:t>(4)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3"/>
        </w:trPr>
        <w:tc>
          <w:tcPr>
            <w:tcW w:w="8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160" w:type="dxa"/>
            <w:vAlign w:val="bottom"/>
            <w:tcBorders>
              <w:bottom w:val="single" w:sz="8" w:color="CCEEFF"/>
            </w:tcBorders>
            <w:gridSpan w:val="2"/>
          </w:tcPr>
          <w:p>
            <w:pPr>
              <w:spacing w:after="0"/>
              <w:rPr>
                <w:sz w:val="24"/>
                <w:szCs w:val="24"/>
                <w:color w:val="auto"/>
              </w:rPr>
            </w:pPr>
          </w:p>
        </w:tc>
      </w:tr>
      <w:tr>
        <w:trPr>
          <w:trHeight w:val="237"/>
        </w:trPr>
        <w:tc>
          <w:tcPr>
            <w:tcW w:w="83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Legal, accounting, due diligence, travel, and other expenses in connection with any business combination </w:t>
            </w:r>
            <w:r>
              <w:rPr>
                <w:rFonts w:ascii="Arial" w:cs="Arial" w:eastAsia="Arial" w:hAnsi="Arial"/>
                <w:sz w:val="27"/>
                <w:szCs w:val="27"/>
                <w:color w:val="auto"/>
                <w:vertAlign w:val="superscript"/>
              </w:rPr>
              <w:t>(5)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110,000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9.57%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34.78%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w w:val="94"/>
              </w:rPr>
              <w:t>Payment for office space, utilities and secretarial and administrative support ($10,000 per month for 15 months)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13.04%</w:t>
            </w:r>
          </w:p>
        </w:tc>
      </w:tr>
      <w:tr>
        <w:trPr>
          <w:trHeight w:val="270"/>
        </w:trPr>
        <w:tc>
          <w:tcPr>
            <w:tcW w:w="83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Working capital to cover miscellaneous expenses </w:t>
            </w:r>
            <w:r>
              <w:rPr>
                <w:rFonts w:ascii="Arial" w:cs="Arial" w:eastAsia="Arial" w:hAnsi="Arial"/>
                <w:sz w:val="29"/>
                <w:szCs w:val="29"/>
                <w:color w:val="auto"/>
                <w:vertAlign w:val="superscript"/>
              </w:rPr>
              <w:t>(6)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290,000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25.22%</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1,150,000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2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170" w:lineRule="exact"/>
        <w:rPr>
          <w:rFonts w:ascii="Arial" w:cs="Arial" w:eastAsia="Arial" w:hAnsi="Arial"/>
          <w:sz w:val="18"/>
          <w:szCs w:val="18"/>
          <w:color w:val="auto"/>
        </w:rPr>
      </w:pPr>
    </w:p>
    <w:p>
      <w:pPr>
        <w:jc w:val="both"/>
        <w:ind w:left="520" w:right="20" w:hanging="512"/>
        <w:spacing w:after="0" w:line="293"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portion of the offering expenses will be paid from the proceeds of loans from our sponsor of up to $300,000 as described in this prospectus. As of September 30, 2021 and May 21, 2021, the Company had borrowed $100,091 and $100 under the promissory note with our sponsor. These amounts will be repaid upon completion of this offering out of the $645,000 of offering proceeds that has been allocated for the payment of offering expenses (other than underwriting commissions). In the event that offering expenses are more than as set forth in this table, they will be repaid using a portion of the $1,150,000 of offering proceeds not held in the trust account and set aside for post-closing working capital expenses. In the event that offering expenses are less than set forth in this table, any such amounts will be used for post-closing working capital expenses.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520" w:right="20" w:hanging="512"/>
        <w:spacing w:after="0" w:line="272"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underwriters have agreed to defer underwriting commissions equal to 3.5% of the gross proceeds of this offering. Upon completion of our initial business combination, $8,750,000, which constitutes the underwriters’ deferred commissions (or $10,062,500 if the underwriters’ over-allotment option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ind w:left="520" w:hanging="512"/>
        <w:spacing w:after="0" w:line="25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an initial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w:t>
      </w:r>
    </w:p>
    <w:p>
      <w:pPr>
        <w:spacing w:after="0" w:line="191" w:lineRule="exact"/>
        <w:rPr>
          <w:rFonts w:ascii="Arial" w:cs="Arial" w:eastAsia="Arial" w:hAnsi="Arial"/>
          <w:sz w:val="18"/>
          <w:szCs w:val="18"/>
          <w:color w:val="auto"/>
        </w:rPr>
      </w:pPr>
    </w:p>
    <w:p>
      <w:pPr>
        <w:ind w:left="520" w:right="88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 portion of the listing fee not covered in the offering expenses.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Of the net proceeds of this offering and the sale of the placement units, $253,750,000 (or $291,812,500 if the underwriters’ over-allotment option is exercised in full), including $8,750,000 (or $10,062,500 if the underwriters’ over-allotment option is exercised in full) of deferred underwriting commissions, will be placed in a trust account in the United States with Continental Stock Transfer &amp; Trust Company acting as trustee and J.P. Morgan Securities LLC acting as investment manager, and will be invested only in U.S. government treasury bills with a maturity of 185 days or less or in money market funds meeting certain conditions under Rule 2a-7 under the Investment Company Act which invest only in direct U.S. government treasury obligations. We estimate that the pre-tax interest earned on the trust account will be approximately $253,750 per year, assuming an interest rate of 0.1% per year; however, we can provide no assurance regarding this amount. Except with respect to interest earned on the funds held in the trust account that may be released to us to pay our tax obligations and up to $100,000 of interest that may be used for our dissolution expenses, the proceeds from this offering and the sale of the placement units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(c) the redemption of our public shares if we are unable to complete our initial business combination within 15 months from the closing of this offering, subject to applicable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ind w:right="80" w:firstLine="324"/>
        <w:spacing w:after="0" w:line="293" w:lineRule="auto"/>
        <w:rPr>
          <w:sz w:val="20"/>
          <w:szCs w:val="20"/>
          <w:color w:val="auto"/>
        </w:rPr>
      </w:pPr>
      <w:r>
        <w:rPr>
          <w:rFonts w:ascii="Arial" w:cs="Arial" w:eastAsia="Arial" w:hAnsi="Arial"/>
          <w:sz w:val="16"/>
          <w:szCs w:val="16"/>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6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an initial business combination. However, if our estimate of the costs of undertaking in-depth due diligence and negotiating an initial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their affiliates, but such persons are not under any obligation to advance funds to, or invest in, us.</w:t>
      </w:r>
    </w:p>
    <w:p>
      <w:pPr>
        <w:spacing w:after="0" w:line="178"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Commencing on the date of this prospectus, we have agreed to pay our sponsor, BurTech LP LLC, a total of $10,000 per month for office space, utilities and secretarial and administrative support. Upon completion of our initial business combination or our liquidation, we will cease paying these monthly fees.</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As of September 30, 2021 and May 21, 2021, the Company had borrowed $100,091 and $100 under the promissory note (of up to $300,000 available to us) with our sponsor. These loans are non-interest bearing, unsecured and are due at the earlier of December 31, 2021 or the closing of this offering. The loan will be repaid upon the closing of this offering out of the offering proceeds not held in the trust account.</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w:t>
      </w:r>
    </w:p>
    <w:p>
      <w:pPr>
        <w:spacing w:after="0" w:line="19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officers and directors, if any, have not been determined and no written agreements exist with respect to such loans.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or any of their affiliates will select which stockholders to purchase securities from in any private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0" w:name="page81"/>
    <w:bookmarkEnd w:id="80"/>
    <w:p>
      <w:pPr>
        <w:ind w:right="40" w:firstLine="324"/>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earliest to occur of: (i) our completion of an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our initial business combination within 15 months following the closing of this offering, subject to applicable law and as further described herein and any limitations (including but not limited to cash requirements) created by the terms of the proposed initial business combination. In no other circumstances will a public stockholder have any right or interest of any kind to or in the trust account.</w:t>
      </w:r>
    </w:p>
    <w:p>
      <w:pPr>
        <w:spacing w:after="0" w:line="19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 In addition, our initial stockholders have agreed to waive their rights to liquidating distributions from the trust account with respect to any founder shares and placement shares held by them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placement units, and the pro forma net tangible book value per share of our Class A common stock after this offering constitutes the dilution to investors in this offering. Such calculation does not reflect any dilution associated with the sale and exercise of warrants, including the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2021, our net tangible book deficit was $141,501, or approximately $0.02 per share of common stock. For purposes of the dilution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calculation, in order to present the maximum estimated dilution as a result of this offering, we have assumed the number of shares included in the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hereby will be deemed to be 25,000,000 shares of Class A common stock, and the price per share in this offering will be deemed to be $10.00.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the sale of 25,000,000 shares of Class A common stock included in the units we are offering by this prospectus (or 28,750,000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if the underwriters’ over-allotment option is exercised in full), the deduction of underwriting commissions and estimated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this offering, our pro forma net tangible book deficit at September 30, 2021 would have been $7,575,500, or approximately $(0.80) per share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$8,888,000 or $(0.82) per share if the underwriters’ over-allotment option is exercised in full), representing an immediate increase in net tangible book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deficit (as decreased by the value of the approximately 25,000,000 shares of Class A common stock that may be redeemed for cash, or 28,750,000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if the underwriters’ over-allotment option is exercised in full) of $(0.78) per share (or $(0.81) per share if the underwriters’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allotment option is exercised in full) to our initial stockholders as of the date of this prospectus and an immediate dilution of $10.80 per share or 108.0%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public stockholders (or $10.82 per share or 108.2% if the underwriters’ over-allotment option is exercised in full).</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illustrates the dilution to the public stockholders on a per-share basis, assuming no value is attributed to the warrants included in the units or the placement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No exercise of</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Exercise 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over-allotment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over-allotment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7"/>
              </w:rPr>
              <w:t>option</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option in full</w:t>
            </w: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6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Increase attributable to public stockholders and sale of the placement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(0.81)</w:t>
            </w: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(0.80)</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(0.82)</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purposes of presentation, our pro forma net tangible book value after this offering is $(7,575,500) (or $(8,888,000) if the underwriters exercise their over-allotment option in full) less than it otherwise would have been because if we effect our initial business combination, the conversion rights of the public stockholders (but not our insiders) may result in the conversion or tender of up to 25,000,000 (or 28,750,000 if the underwriters exercise their over-allotment option in full) shares sold in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340"/>
        <w:spacing w:after="0"/>
        <w:rPr>
          <w:sz w:val="20"/>
          <w:szCs w:val="20"/>
          <w:color w:val="auto"/>
        </w:rPr>
      </w:pPr>
      <w:r>
        <w:rPr>
          <w:rFonts w:ascii="Arial" w:cs="Arial" w:eastAsia="Arial" w:hAnsi="Arial"/>
          <w:sz w:val="17"/>
          <w:szCs w:val="17"/>
          <w:color w:val="auto"/>
        </w:rPr>
        <w:t>The following table sets forth information with respect to our initial stockholders, holders of the placement shares and the public stockholders: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4020" w:type="dxa"/>
            <w:vAlign w:val="bottom"/>
          </w:tcPr>
          <w:p>
            <w:pPr>
              <w:spacing w:after="0"/>
              <w:rPr>
                <w:sz w:val="20"/>
                <w:szCs w:val="20"/>
                <w:color w:val="auto"/>
              </w:rPr>
            </w:pPr>
          </w:p>
        </w:tc>
        <w:tc>
          <w:tcPr>
            <w:tcW w:w="28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Shares Purchased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Total Consideration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40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Borders>
              <w:bottom w:val="single" w:sz="8" w:color="CCEEFF"/>
            </w:tcBorders>
          </w:tcPr>
          <w:p>
            <w:pPr>
              <w:spacing w:after="0"/>
              <w:rPr>
                <w:sz w:val="19"/>
                <w:szCs w:val="19"/>
                <w:color w:val="auto"/>
              </w:rPr>
            </w:pPr>
          </w:p>
        </w:tc>
      </w:tr>
      <w:tr>
        <w:trPr>
          <w:trHeight w:val="237"/>
        </w:trPr>
        <w:tc>
          <w:tcPr>
            <w:tcW w:w="40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Representative Shares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Holders of placement shares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Public Stockholders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25,000,000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250,000,000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96.87%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09"/>
        </w:trPr>
        <w:tc>
          <w:tcPr>
            <w:tcW w:w="40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34,429,500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258,070,000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right="220" w:hanging="433"/>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 the corresponding forfeiture of an aggregate of 1,237,500 shares of Class B common stock held by our initial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Without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With</w:t>
            </w:r>
          </w:p>
        </w:tc>
      </w:tr>
      <w:tr>
        <w:trPr>
          <w:trHeight w:val="216"/>
        </w:trPr>
        <w:tc>
          <w:tcPr>
            <w:tcW w:w="7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Over-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allotment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(141,501)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(141,501)</w:t>
            </w:r>
          </w:p>
        </w:tc>
      </w:tr>
      <w:tr>
        <w:trPr>
          <w:trHeight w:val="257"/>
        </w:trPr>
        <w:tc>
          <w:tcPr>
            <w:tcW w:w="7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proceeds from this offering and sale of the placement units, net of expenses</w:t>
            </w:r>
            <w:r>
              <w:rPr>
                <w:rFonts w:ascii="Arial" w:cs="Arial" w:eastAsia="Arial" w:hAnsi="Arial"/>
                <w:sz w:val="29"/>
                <w:szCs w:val="29"/>
                <w:color w:val="auto"/>
                <w:vertAlign w:val="superscript"/>
              </w:rPr>
              <w:t>(1)</w:t>
            </w: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254,900,000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292,962,500</w:t>
            </w:r>
          </w:p>
        </w:tc>
        <w:tc>
          <w:tcPr>
            <w:tcW w:w="80" w:type="dxa"/>
            <w:vAlign w:val="bottom"/>
            <w:shd w:val="clear" w:color="auto" w:fill="CCEEFF"/>
          </w:tcPr>
          <w:p>
            <w:pPr>
              <w:spacing w:after="0"/>
              <w:rPr>
                <w:sz w:val="22"/>
                <w:szCs w:val="22"/>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166,001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166,001</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(8,750,000)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(10,062,500)</w:t>
            </w:r>
          </w:p>
        </w:tc>
      </w:tr>
      <w:tr>
        <w:trPr>
          <w:trHeight w:val="270"/>
        </w:trPr>
        <w:tc>
          <w:tcPr>
            <w:tcW w:w="7640" w:type="dxa"/>
            <w:vAlign w:val="bottom"/>
          </w:tcPr>
          <w:p>
            <w:pPr>
              <w:spacing w:after="0" w:line="270" w:lineRule="exact"/>
              <w:rPr>
                <w:sz w:val="20"/>
                <w:szCs w:val="20"/>
                <w:color w:val="auto"/>
              </w:rPr>
            </w:pPr>
            <w:r>
              <w:rPr>
                <w:rFonts w:ascii="Arial" w:cs="Arial" w:eastAsia="Arial" w:hAnsi="Arial"/>
                <w:sz w:val="18"/>
                <w:szCs w:val="18"/>
                <w:color w:val="auto"/>
              </w:rPr>
              <w:t xml:space="preserve">Less: Proceeds held in trust subject to redemption </w:t>
            </w:r>
            <w:r>
              <w:rPr>
                <w:rFonts w:ascii="Arial" w:cs="Arial" w:eastAsia="Arial" w:hAnsi="Arial"/>
                <w:sz w:val="29"/>
                <w:szCs w:val="29"/>
                <w:color w:val="auto"/>
                <w:vertAlign w:val="superscript"/>
              </w:rPr>
              <w:t>(2)</w:t>
            </w: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(253,750,000)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(291,812,500)</w:t>
            </w:r>
          </w:p>
        </w:tc>
      </w:tr>
      <w:tr>
        <w:trPr>
          <w:trHeight w:val="223"/>
        </w:trPr>
        <w:tc>
          <w:tcPr>
            <w:tcW w:w="76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(7,575,500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7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Without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With</w:t>
            </w:r>
          </w:p>
        </w:tc>
      </w:tr>
      <w:tr>
        <w:trPr>
          <w:trHeight w:val="216"/>
        </w:trPr>
        <w:tc>
          <w:tcPr>
            <w:tcW w:w="7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Over-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allotment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Shares of Class B common stock outstanding prior to this offering</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9,487,500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9,487,500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of Class B common stock forfeited if over-allotment is not exercised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(1,237,500)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Shares of Class A common stock included in the units offered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28,750,000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included in the placement units issued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804,500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898,250</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Representative 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431,250</w:t>
            </w:r>
          </w:p>
        </w:tc>
        <w:tc>
          <w:tcPr>
            <w:tcW w:w="80" w:type="dxa"/>
            <w:vAlign w:val="bottom"/>
          </w:tcPr>
          <w:p>
            <w:pPr>
              <w:spacing w:after="0"/>
              <w:rPr>
                <w:sz w:val="18"/>
                <w:szCs w:val="18"/>
                <w:color w:val="auto"/>
              </w:rPr>
            </w:pPr>
          </w:p>
        </w:tc>
      </w:tr>
      <w:tr>
        <w:trPr>
          <w:trHeight w:val="23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Shares subject to redemption</w:t>
            </w: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(25,000,000)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(28,750,000)</w:t>
            </w:r>
          </w:p>
        </w:tc>
      </w:tr>
      <w:tr>
        <w:trPr>
          <w:trHeight w:val="223"/>
        </w:trPr>
        <w:tc>
          <w:tcPr>
            <w:tcW w:w="7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9,429,500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applied against gross proceeds include offering expenses of $645,000 and underwriting commissions of $2,500,000 (or $2,875,000 if the over-allotment option is exercised in full) (excluding deferred underwriting fees). See “Use of Proceeds.”</w:t>
      </w:r>
    </w:p>
    <w:p>
      <w:pPr>
        <w:spacing w:after="0" w:line="170" w:lineRule="exact"/>
        <w:rPr>
          <w:rFonts w:ascii="Arial" w:cs="Arial" w:eastAsia="Arial" w:hAnsi="Arial"/>
          <w:sz w:val="18"/>
          <w:szCs w:val="18"/>
          <w:color w:val="auto"/>
        </w:rPr>
      </w:pPr>
    </w:p>
    <w:p>
      <w:pPr>
        <w:ind w:left="340" w:right="160" w:hanging="332"/>
        <w:spacing w:after="0" w:line="293"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Effecting Our Initial Business Combination — Permitted Purchases of Our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following table sets forth our capitalization at September 30, 2021 and as adjusted to give effect to the filing of our amended and restated certificates of incorporation, the sale of our units in this offering and the sale of the placement units and the application of the estimated net proceeds derived from the sale of such securities, assuming no exercise by the underwriters of their over-allotment option: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September 30, 2021</w:t>
            </w:r>
          </w:p>
        </w:tc>
      </w:tr>
      <w:tr>
        <w:trPr>
          <w:trHeight w:val="195"/>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b w:val="1"/>
                <w:bCs w:val="1"/>
                <w:color w:val="auto"/>
              </w:rPr>
              <w:t>As</w:t>
            </w:r>
          </w:p>
        </w:tc>
        <w:tc>
          <w:tcPr>
            <w:tcW w:w="100" w:type="dxa"/>
            <w:vAlign w:val="bottom"/>
            <w:gridSpan w:val="2"/>
          </w:tcPr>
          <w:p>
            <w:pPr>
              <w:spacing w:after="0"/>
              <w:rPr>
                <w:sz w:val="16"/>
                <w:szCs w:val="16"/>
                <w:color w:val="auto"/>
              </w:rPr>
            </w:pPr>
          </w:p>
        </w:tc>
      </w:tr>
      <w:tr>
        <w:trPr>
          <w:trHeight w:val="271"/>
        </w:trPr>
        <w:tc>
          <w:tcPr>
            <w:tcW w:w="82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0"/>
              <w:spacing w:after="0" w:line="271" w:lineRule="exact"/>
              <w:rPr>
                <w:sz w:val="20"/>
                <w:szCs w:val="20"/>
                <w:color w:val="auto"/>
              </w:rPr>
            </w:pPr>
            <w:r>
              <w:rPr>
                <w:rFonts w:ascii="Arial" w:cs="Arial" w:eastAsia="Arial" w:hAnsi="Arial"/>
                <w:sz w:val="18"/>
                <w:szCs w:val="18"/>
                <w:b w:val="1"/>
                <w:bCs w:val="1"/>
                <w:color w:val="auto"/>
                <w:w w:val="89"/>
              </w:rPr>
              <w:t>Adjusted</w:t>
            </w:r>
            <w:r>
              <w:rPr>
                <w:rFonts w:ascii="Arial" w:cs="Arial" w:eastAsia="Arial" w:hAnsi="Arial"/>
                <w:sz w:val="29"/>
                <w:szCs w:val="29"/>
                <w:b w:val="1"/>
                <w:bCs w:val="1"/>
                <w:color w:val="auto"/>
                <w:w w:val="89"/>
                <w:vertAlign w:val="superscript"/>
              </w:rPr>
              <w:t>(3)</w:t>
            </w:r>
          </w:p>
        </w:tc>
        <w:tc>
          <w:tcPr>
            <w:tcW w:w="100" w:type="dxa"/>
            <w:vAlign w:val="bottom"/>
            <w:tcBorders>
              <w:bottom w:val="single" w:sz="8" w:color="CCEEFF"/>
            </w:tcBorders>
            <w:gridSpan w:val="2"/>
          </w:tcPr>
          <w:p>
            <w:pPr>
              <w:spacing w:after="0"/>
              <w:rPr>
                <w:sz w:val="23"/>
                <w:szCs w:val="23"/>
                <w:color w:val="auto"/>
              </w:rPr>
            </w:pPr>
          </w:p>
        </w:tc>
      </w:tr>
      <w:tr>
        <w:trPr>
          <w:trHeight w:val="237"/>
        </w:trPr>
        <w:tc>
          <w:tcPr>
            <w:tcW w:w="82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Notes payable to related party</w:t>
            </w:r>
            <w:r>
              <w:rPr>
                <w:rFonts w:ascii="Arial" w:cs="Arial" w:eastAsia="Arial" w:hAnsi="Arial"/>
                <w:sz w:val="27"/>
                <w:szCs w:val="27"/>
                <w:color w:val="auto"/>
                <w:vertAlign w:val="superscript"/>
              </w:rPr>
              <w:t>(1)</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100,091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80" w:type="dxa"/>
            <w:vAlign w:val="bottom"/>
          </w:tcPr>
          <w:p>
            <w:pPr>
              <w:spacing w:after="0"/>
              <w:rPr>
                <w:sz w:val="19"/>
                <w:szCs w:val="19"/>
                <w:color w:val="auto"/>
              </w:rPr>
            </w:pPr>
          </w:p>
        </w:tc>
      </w:tr>
      <w:tr>
        <w:trPr>
          <w:trHeight w:val="185"/>
        </w:trPr>
        <w:tc>
          <w:tcPr>
            <w:tcW w:w="828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8"/>
                <w:szCs w:val="18"/>
                <w:color w:val="auto"/>
                <w:w w:val="97"/>
              </w:rPr>
              <w:t>Class A common stock subject to possible redemption; -0- and 25,000,000 shares, actual and as Adjusted,</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7"/>
        </w:trPr>
        <w:tc>
          <w:tcPr>
            <w:tcW w:w="82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respectively, are subject to possible redemption, respectively</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253,750,000</w:t>
            </w:r>
          </w:p>
        </w:tc>
        <w:tc>
          <w:tcPr>
            <w:tcW w:w="80" w:type="dxa"/>
            <w:vAlign w:val="bottom"/>
            <w:shd w:val="clear" w:color="auto" w:fill="CCEEFF"/>
          </w:tcPr>
          <w:p>
            <w:pPr>
              <w:spacing w:after="0"/>
              <w:rPr>
                <w:sz w:val="23"/>
                <w:szCs w:val="23"/>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4"/>
              </w:rPr>
              <w:t>Preferred stock, $0.0001 par value, 1,000,000 shares authorized; none issued and outstanding, actual and as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adjusted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$0.0001 par value, 280,000,000 shares authorized, 0 and 1,179,500 shares issued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actual and as adjusted,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5"/>
        </w:trPr>
        <w:tc>
          <w:tcPr>
            <w:tcW w:w="8280" w:type="dxa"/>
            <w:vAlign w:val="bottom"/>
          </w:tcPr>
          <w:p>
            <w:pPr>
              <w:spacing w:after="0" w:line="206" w:lineRule="exact"/>
              <w:rPr>
                <w:sz w:val="20"/>
                <w:szCs w:val="20"/>
                <w:color w:val="auto"/>
              </w:rPr>
            </w:pPr>
            <w:r>
              <w:rPr>
                <w:rFonts w:ascii="Arial" w:cs="Arial" w:eastAsia="Arial" w:hAnsi="Arial"/>
                <w:sz w:val="18"/>
                <w:szCs w:val="18"/>
                <w:color w:val="auto"/>
                <w:w w:val="90"/>
              </w:rPr>
              <w:t>Class B common stock, $0.0001 par value, 20,000,000 shares authorized, 9,487,500 and 8,250,000 shares issued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7"/>
        </w:trPr>
        <w:tc>
          <w:tcPr>
            <w:tcW w:w="8280" w:type="dxa"/>
            <w:vAlign w:val="bottom"/>
          </w:tcPr>
          <w:p>
            <w:pPr>
              <w:ind w:left="180"/>
              <w:spacing w:after="0" w:line="267" w:lineRule="exact"/>
              <w:rPr>
                <w:sz w:val="20"/>
                <w:szCs w:val="20"/>
                <w:color w:val="auto"/>
              </w:rPr>
            </w:pPr>
            <w:r>
              <w:rPr>
                <w:rFonts w:ascii="Arial" w:cs="Arial" w:eastAsia="Arial" w:hAnsi="Arial"/>
                <w:sz w:val="18"/>
                <w:szCs w:val="18"/>
                <w:color w:val="auto"/>
              </w:rPr>
              <w:t>and outstanding, actual and as adjusted, respectively</w:t>
            </w:r>
            <w:r>
              <w:rPr>
                <w:rFonts w:ascii="Arial" w:cs="Arial" w:eastAsia="Arial" w:hAnsi="Arial"/>
                <w:sz w:val="29"/>
                <w:szCs w:val="29"/>
                <w:color w:val="auto"/>
                <w:vertAlign w:val="superscript"/>
              </w:rPr>
              <w:t>(3)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(7,576,443)</w:t>
            </w: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(7,575,500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254,924,500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86"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sponsor has agreed to loan us up to $300,000 to be used for a portion of the expenses of this offering. The “as adjusted” information gives effect to the repayment of any loans made under this note out of the proceeds from this offering and the sale of the placement units. As of September 30, 2021, we had borrowed $100,091 (of up to $300,000 available to us) under the promissory note with our sponsor.</w:t>
      </w:r>
    </w:p>
    <w:p>
      <w:pPr>
        <w:spacing w:after="0" w:line="165" w:lineRule="exact"/>
        <w:rPr>
          <w:rFonts w:ascii="Arial" w:cs="Arial" w:eastAsia="Arial" w:hAnsi="Arial"/>
          <w:sz w:val="17"/>
          <w:szCs w:val="17"/>
          <w:color w:val="auto"/>
        </w:rPr>
      </w:pPr>
    </w:p>
    <w:p>
      <w:pPr>
        <w:ind w:left="340" w:right="120" w:hanging="332"/>
        <w:spacing w:after="0" w:line="273"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stockholders with the opportunity to redeem their public shares for cash up to $10.15 per share or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redemptions cannot cause our Class A common stock to become a “penny stock” either prior to or upon consummation of an initial business combination and any limitations (including, but not limited to, cash requirements) created by the terms of the proposed initial business combination.</w:t>
      </w:r>
    </w:p>
    <w:p>
      <w:pPr>
        <w:spacing w:after="0" w:line="177" w:lineRule="exact"/>
        <w:rPr>
          <w:rFonts w:ascii="Arial" w:cs="Arial" w:eastAsia="Arial" w:hAnsi="Arial"/>
          <w:sz w:val="17"/>
          <w:szCs w:val="17"/>
          <w:color w:val="auto"/>
        </w:rPr>
      </w:pPr>
    </w:p>
    <w:p>
      <w:pPr>
        <w:ind w:left="340" w:right="16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held by our initial stockholders, including the representative, and as adjusted amount assumes no exercise of the underwriters’ over-allotment option and includes the representative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 newly-organized blank check company incorporated as a Delaware corporation and formed for the purpose of effecting a merger, capital stock exchange, asset acquisition, stock purchase, reorganization or similar business combination with one or more businesses. While our efforts to identify a target business may span many industries and regions worldwide, we intend to focus our search for prospects within the technology industry in the Americas. We have not selected any specific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placement units, the proceeds of the sale of our shares in connection with our initial business combination (including pursuant to backstop agreements we may enter into following the consummation of this offering or otherwise), shares issued to the owners of the target, debt issued to bank or other lenders or the owners of the target, or a combination of the foregoing.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ind w:left="660" w:right="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ind w:left="660" w:right="4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46"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Similarly, if we issue debt securities or otherwise incur significant debt to bank or other lenders or the owners of a target, it could result in:</w:t>
      </w:r>
    </w:p>
    <w:p>
      <w:pPr>
        <w:spacing w:after="0" w:line="23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4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ind w:left="660" w:right="26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indicated in the accompanying financial statements, at September 30, 2021, we had $25,100 cash and deferred offering costs of $166,001. Further, we expect to continue to incur significant costs in the pursuit of our initial business combination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indicated in the accompanying financial statements, at September 30, 2021, we had cash of $25,100 and a working capital deficit of $141,501. Further, we have incurred and expect to continue to incur significant costs in pursuit of our financing and acquisition plans. We cannot assure you that our plans to raise capital or to consummate an initial business combination will be successful. These factors, among others, raise substantial doubt about our ability to continue as a going concern.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liquidity needs have been satisfied prior to the completion of this offering through a capital contribution from our sponsor of $25,000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founder shares and up to $300,000 in loans available from our sponsor under an unsecured promissory note. We estimate that the net proceeds from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the units in this offering, after deducting offering expenses of approximately $645,000, underwriting commissions of $2,500,000 ($2,875,000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over-allotment option is exercised in full) (excluding deferred underwriting commissions of $8,750,000 (or $10,062,500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 is exercised in full)), and (ii) the sale of the placement units for a purchase price of $8,045,000 (or $8,982,500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over-allotment option is exercised in full), will be $254,900,000 (or $292,962,500 if the underwriters’ over-allotment option is exercised in full).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$253,750,000 (or $291,812,500 if the underwriters’ over-allotment option is exercised in full) will be held in the trust account, which includes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$8,750,000 (or $10,062,500 if the underwriters’ over-allotment option is exercised in full) of deferred underwriting commissions. The proceeds held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account will be invested only in U.S. government treasury obligations with a maturity of 185 days or less or in money market funds meeting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conditions under Rule 2a-7 under the Investment Company Act which invest only in direct U.S. government treasury obligations. The remaining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$1,150,000 will not be held in the trust account. In the event that our offering expenses exceed our estimate of $645,000, we may fund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with funds not to be held in the trust account. In such case, the amount of funds we intend to be held outside the trust account would decrease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corresponding amount. Conversely, in the event that the offering expenses are less than our estimate of $645,000, the amount of funds we intend to be held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outside the trust account would increase by a corresponding amount.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340"/>
        <w:spacing w:after="0"/>
        <w:rPr>
          <w:sz w:val="20"/>
          <w:szCs w:val="20"/>
          <w:color w:val="auto"/>
        </w:rPr>
      </w:pPr>
      <w:r>
        <w:rPr>
          <w:rFonts w:ascii="Arial" w:cs="Arial" w:eastAsia="Arial" w:hAnsi="Arial"/>
          <w:sz w:val="16"/>
          <w:szCs w:val="16"/>
          <w:color w:val="auto"/>
        </w:rPr>
        <w:t>We intend to use substantially all of the funds held in the trust account, including any amounts representing interest earned on the trust account (less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deferred underwriting commissions), to complete our initial business combination. We may withdraw interest to pay taxes. We estimate our annual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franchise tax obligations, based on the number of shares of our common stock authorized and outstanding after the completion of this offering,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 which is the maximum amount of annual franchise taxes payable by us as a Delaware corporation per annum, which we may pay from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this offering held outside of the trust account or from interest earned on the funds held in our trust account and released to us for this purpose.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income tax obligations will depend on the amount of interest and other income earned on the amounts held in the trust account. We expect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earned on the amount in the trust account will be sufficient to pay our income taxes. To the extent that our capital stock or debt is used, in whole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part, as consideration to complete our initial business combination, the remaining proceeds held in the trust account will be used as working capital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finance the operations of the target business or businesses, make other acquisitions and pursue our growth strategies.</w:t>
      </w:r>
    </w:p>
    <w:p>
      <w:pPr>
        <w:spacing w:after="0" w:line="211"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Prior to the completion of our initial business combination, we will have available to us the approximately $1,150,000 of proceeds held outside the trust account. We will use these funds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5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on a non-interest bearing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sponsor, our officers and directors or their affiliates, if any, have not been determined and no written agreements exist with respect to such loans. We do not expect to seek loans from parties other than our sponsor, our officers or directors or an affiliate of theirs as we do not believe third parties will be willing to loan such funds and provide a waiver against any and all rights to seek access to funds in our trust account.</w:t>
      </w:r>
    </w:p>
    <w:p>
      <w:pPr>
        <w:spacing w:after="0" w:line="16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expect our primary liquidity requirements during that period to include approximately $200,000 for legal, accounting, due diligence, travel and other expenses associated with structuring, negotiating and documenting successful business combinations; $400,000 for director and officer liability insurance premiums; $110,000 for legal and accounting fees related to regulatory reporting requirements; $150,000 for office space, utilities and secretarial and administrative support; and approximately $290,000 for working capital that will be used for miscellaneous expenses and reserves.</w:t>
      </w:r>
    </w:p>
    <w:p>
      <w:pPr>
        <w:spacing w:after="0" w:line="15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8" w:name="page89"/>
    <w:bookmarkEnd w:id="88"/>
    <w:p>
      <w:pPr>
        <w:ind w:right="20" w:firstLine="324"/>
        <w:spacing w:after="0" w:line="269"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larger than we could acquire with the net proceeds of this offering and the sale of the placement units, and may as a result be required to seek additional financing to complete such proposed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6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net proceeds of this offering and the sale of the placement units held in the trust account will be invested in U.S. government treasury bills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The per share purchase price of the founder shares was determined by dividing the amount of cash contributed to the company by the aggregate number of founder shares issued.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Up to 1,237,500 founder shares held by our sponsor are subject to forfeiture by our initial stockholders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December 31, 2021 or the closing of this offering. The loan will be repaid upon the closing of this offering out of the $645,000 of offering proceeds that has been allocated to the payment of offering expenses (other than underwriting commissions).</w:t>
      </w:r>
    </w:p>
    <w:p>
      <w:pPr>
        <w:spacing w:after="0" w:line="18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w:t>
      </w:r>
    </w:p>
    <w:p>
      <w:pPr>
        <w:spacing w:after="0" w:line="157"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Except as described herein, the terms of such loans by our sponsor, our officers and directors, or their affiliates, if any, have not been determined and no written agreements exist with respect to such loans.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right="700" w:firstLine="324"/>
        <w:spacing w:after="0" w:line="291" w:lineRule="auto"/>
        <w:rPr>
          <w:sz w:val="20"/>
          <w:szCs w:val="20"/>
          <w:color w:val="auto"/>
        </w:rPr>
      </w:pPr>
      <w:r>
        <w:rPr>
          <w:rFonts w:ascii="Arial" w:cs="Arial" w:eastAsia="Arial" w:hAnsi="Arial"/>
          <w:sz w:val="16"/>
          <w:szCs w:val="16"/>
          <w:color w:val="auto"/>
        </w:rPr>
        <w:t>Our sponsor has agreed to purchase an aggregate of 804,500 placement units at a price of $10.00 per unit for an aggregate purchase price of $8,045,000. If the over-allotment option is exercised in full, the amount of placement units sold will be 898,250 for an aggregate purchase price of</w:t>
      </w:r>
    </w:p>
    <w:p>
      <w:pPr>
        <w:ind w:right="80"/>
        <w:spacing w:after="0" w:line="252" w:lineRule="auto"/>
        <w:rPr>
          <w:sz w:val="20"/>
          <w:szCs w:val="20"/>
          <w:color w:val="auto"/>
        </w:rPr>
      </w:pPr>
      <w:r>
        <w:rPr>
          <w:rFonts w:ascii="Arial" w:cs="Arial" w:eastAsia="Arial" w:hAnsi="Arial"/>
          <w:sz w:val="18"/>
          <w:szCs w:val="18"/>
          <w:color w:val="auto"/>
        </w:rPr>
        <w:t>$8,982,500. Each placement unit consists of one share of Class A common stock and one warrant. Each warrant is exercisable to purchase one whole share of common stock at $11.50 per share. There will be no redemption rights or liquidating distributions from the trust account with respect to the founder shares, the placement shares or the placement warrants, which will expire worthless if we do not consummate a business combination within 15 months from the closing of this offering. The placement units are identical to the units sold in this offering except that the placement units and their component securities will not be transferable, assignable or saleable until 30 days after the consummation of our initial business combination except to permitted transferees, and will be entitled to registration rights.</w:t>
      </w:r>
    </w:p>
    <w:p>
      <w:pPr>
        <w:spacing w:after="0" w:line="19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initial stockholders have agreed to waive their redemption rights with respect to their founder shares and placement shares (i) in connection with the consummation of a business combination, (ii) in connection with a stockholder vote to amend our amended and restated certificate of incorporation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completion of this offering and (iii) if we fail to consummate a business combination within 15 months from the completion of this offering or if we liquidate prior to the expiration of the allotted time period. However, our initial stockholders will be entitled to redemption rights with respect to any public shares held by them if we fail to consummate a business combination or liquidate within the allotted time period.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months from the closing of this offering.</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Pursuant to a registration rights agreement we will enter into with our initial stockholders and the representative on or prior to the closing of this offering, we may be required to register certain securities for sale under the Securities Act. These holders, and holders of units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See the section of this prospectus entitled “Certain Relationships and Related Party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of September 30, 2021,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a Delaware blank check company incorporated on March 2, 2021, formed for the purpose of effecting a merger, capital stock exchange, asset acquisition, stock purchase, recapitalization,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formal or otherwise, directly or indirectly, with respect to such a transaction, with any business combination target.</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7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Shahal M. Khan is our Chairman of the Board of Directors and Chief Executive Officer. Mr. Khan’s career as an investor, entrepreneur and social 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2" w:name="page93"/>
    <w:bookmarkEnd w:id="92"/>
    <w:p>
      <w:pPr>
        <w:ind w:firstLine="324"/>
        <w:spacing w:after="0" w:line="270" w:lineRule="auto"/>
        <w:rPr>
          <w:sz w:val="20"/>
          <w:szCs w:val="20"/>
          <w:color w:val="auto"/>
        </w:rPr>
      </w:pPr>
      <w:r>
        <w:rPr>
          <w:rFonts w:ascii="Arial" w:cs="Arial" w:eastAsia="Arial" w:hAnsi="Arial"/>
          <w:sz w:val="17"/>
          <w:szCs w:val="17"/>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8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spacing w:after="0" w:line="17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color w:val="auto"/>
        </w:rPr>
        <w:t xml:space="preserve">Isaac Chetrit </w:t>
      </w:r>
      <w:r>
        <w:rPr>
          <w:rFonts w:ascii="Arial" w:cs="Arial" w:eastAsia="Arial" w:hAnsi="Arial"/>
          <w:sz w:val="16"/>
          <w:szCs w:val="16"/>
          <w:color w:val="auto"/>
        </w:rPr>
        <w:t>is our President and one of our directors. Mr. Chetrit is a real estate veteran with a background in architecture and electrical engineering.</w:t>
      </w:r>
      <w:r>
        <w:rPr>
          <w:rFonts w:ascii="Arial" w:cs="Arial" w:eastAsia="Arial" w:hAnsi="Arial"/>
          <w:sz w:val="16"/>
          <w:szCs w:val="16"/>
          <w:b w:val="1"/>
          <w:bCs w:val="1"/>
          <w:color w:val="auto"/>
        </w:rPr>
        <w:t xml:space="preserve"> </w:t>
      </w:r>
      <w:r>
        <w:rPr>
          <w:rFonts w:ascii="Arial" w:cs="Arial" w:eastAsia="Arial" w:hAnsi="Arial"/>
          <w:sz w:val="16"/>
          <w:szCs w:val="16"/>
          <w:color w:val="auto"/>
        </w:rPr>
        <w:t>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3" w:name="page94"/>
    <w:bookmarkEnd w:id="93"/>
    <w:p>
      <w:pPr>
        <w:ind w:right="80" w:firstLine="324"/>
        <w:spacing w:after="0" w:line="273" w:lineRule="auto"/>
        <w:rPr>
          <w:sz w:val="20"/>
          <w:szCs w:val="20"/>
          <w:color w:val="auto"/>
        </w:rPr>
      </w:pPr>
      <w:r>
        <w:rPr>
          <w:rFonts w:ascii="Arial" w:cs="Arial" w:eastAsia="Arial" w:hAnsi="Arial"/>
          <w:sz w:val="17"/>
          <w:szCs w:val="17"/>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spacing w:after="0" w:line="17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b w:val="1"/>
          <w:bCs w:val="1"/>
          <w:color w:val="auto"/>
        </w:rPr>
        <w:t xml:space="preserve">Payel Farasat </w:t>
      </w:r>
      <w:r>
        <w:rPr>
          <w:rFonts w:ascii="Arial" w:cs="Arial" w:eastAsia="Arial" w:hAnsi="Arial"/>
          <w:sz w:val="18"/>
          <w:szCs w:val="18"/>
          <w:color w:val="auto"/>
        </w:rPr>
        <w:t>is our Chief Investment Officer. Since December 2020, Ms. Farasat has been the Chief Investment Officer (CIO) of Burkhan World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19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4" w:name="page95"/>
    <w:bookmarkEnd w:id="94"/>
    <w:p>
      <w:pPr>
        <w:ind w:right="80" w:firstLine="324"/>
        <w:spacing w:after="0" w:line="289" w:lineRule="auto"/>
        <w:rPr>
          <w:sz w:val="20"/>
          <w:szCs w:val="20"/>
          <w:color w:val="auto"/>
        </w:rPr>
      </w:pPr>
      <w:r>
        <w:rPr>
          <w:rFonts w:ascii="Arial" w:cs="Arial" w:eastAsia="Arial" w:hAnsi="Arial"/>
          <w:sz w:val="16"/>
          <w:szCs w:val="16"/>
          <w:b w:val="1"/>
          <w:bCs w:val="1"/>
          <w:color w:val="auto"/>
        </w:rPr>
        <w:t xml:space="preserve">Christopher Schroeder </w:t>
      </w:r>
      <w:r>
        <w:rPr>
          <w:rFonts w:ascii="Arial" w:cs="Arial" w:eastAsia="Arial" w:hAnsi="Arial"/>
          <w:sz w:val="16"/>
          <w:szCs w:val="16"/>
          <w:color w:val="auto"/>
        </w:rPr>
        <w:t>is our Chief Marketing Officer. Over the last 30 years, Mr. Schroeder has also been an interactive media resort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color w:val="auto"/>
        </w:rPr>
        <w:t xml:space="preserve">Leon Golden </w:t>
      </w:r>
      <w:r>
        <w:rPr>
          <w:rFonts w:ascii="Arial" w:cs="Arial" w:eastAsia="Arial" w:hAnsi="Arial"/>
          <w:sz w:val="16"/>
          <w:szCs w:val="16"/>
          <w:color w:val="auto"/>
        </w:rPr>
        <w:t>is one of our director nominees. Mr. Golden is a chartered public accountant and has worked as an accountant at ARG Associates, Inc.</w:t>
      </w:r>
      <w:r>
        <w:rPr>
          <w:rFonts w:ascii="Arial" w:cs="Arial" w:eastAsia="Arial" w:hAnsi="Arial"/>
          <w:sz w:val="16"/>
          <w:szCs w:val="16"/>
          <w:b w:val="1"/>
          <w:bCs w:val="1"/>
          <w:color w:val="auto"/>
        </w:rPr>
        <w:t xml:space="preserve"> </w:t>
      </w:r>
      <w:r>
        <w:rPr>
          <w:rFonts w:ascii="Arial" w:cs="Arial" w:eastAsia="Arial" w:hAnsi="Arial"/>
          <w:sz w:val="16"/>
          <w:szCs w:val="16"/>
          <w:color w:val="auto"/>
        </w:rPr>
        <w:t>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spacing w:after="0" w:line="15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b w:val="1"/>
          <w:bCs w:val="1"/>
          <w:color w:val="auto"/>
        </w:rPr>
        <w:t xml:space="preserve">Scott Young </w:t>
      </w:r>
      <w:r>
        <w:rPr>
          <w:rFonts w:ascii="Arial" w:cs="Arial" w:eastAsia="Arial" w:hAnsi="Arial"/>
          <w:sz w:val="17"/>
          <w:szCs w:val="17"/>
          <w:color w:val="auto"/>
        </w:rPr>
        <w:t>is one of our director nominees. Since January 2010, Mr. Young has served as a Senior Advisor and director of Dial Partners LLP, And</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of 2003 and is currently a member of its Nominating and Corporate Governance Committee.</w:t>
      </w:r>
    </w:p>
    <w:p>
      <w:pPr>
        <w:spacing w:after="0" w:line="17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Joseph A. Porrello </w:t>
      </w:r>
      <w:r>
        <w:rPr>
          <w:rFonts w:ascii="Arial" w:cs="Arial" w:eastAsia="Arial" w:hAnsi="Arial"/>
          <w:sz w:val="17"/>
          <w:szCs w:val="17"/>
          <w:color w:val="auto"/>
        </w:rPr>
        <w:t>is one of our director nominees. Mr. Porrello has been practicing law in South Florida for over twenty four years, representing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 of Arts degree from the University of Florida, a Juris Doctor degree from the University of Denver and a Master of Laws degree in taxation from the University of Florida.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6" w:name="page97"/>
    <w:bookmarkEnd w:id="96"/>
    <w:p>
      <w:pPr>
        <w:ind w:left="340"/>
        <w:spacing w:after="0"/>
        <w:rPr>
          <w:sz w:val="20"/>
          <w:szCs w:val="20"/>
          <w:color w:val="auto"/>
        </w:rPr>
      </w:pPr>
      <w:r>
        <w:rPr>
          <w:rFonts w:ascii="Arial" w:cs="Arial" w:eastAsia="Arial" w:hAnsi="Arial"/>
          <w:sz w:val="18"/>
          <w:szCs w:val="18"/>
          <w:b w:val="1"/>
          <w:bCs w:val="1"/>
          <w:color w:val="auto"/>
        </w:rPr>
        <w:t>Our Advisors</w:t>
      </w:r>
    </w:p>
    <w:p>
      <w:pPr>
        <w:spacing w:after="0" w:line="22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His Highness Sheikh Ahmed Dalmook Al Maktoum </w:t>
      </w:r>
      <w:r>
        <w:rPr>
          <w:rFonts w:ascii="Arial" w:cs="Arial" w:eastAsia="Arial" w:hAnsi="Arial"/>
          <w:sz w:val="18"/>
          <w:szCs w:val="18"/>
          <w:color w:val="auto"/>
        </w:rPr>
        <w:t>is one of our advisors. HH Sheikh Maktoum is a member of the Ruling Royal Family of Dubai,</w:t>
      </w:r>
      <w:r>
        <w:rPr>
          <w:rFonts w:ascii="Arial" w:cs="Arial" w:eastAsia="Arial" w:hAnsi="Arial"/>
          <w:sz w:val="18"/>
          <w:szCs w:val="18"/>
          <w:b w:val="1"/>
          <w:bCs w:val="1"/>
          <w:color w:val="auto"/>
        </w:rPr>
        <w:t xml:space="preserve"> </w:t>
      </w:r>
      <w:r>
        <w:rPr>
          <w:rFonts w:ascii="Arial" w:cs="Arial" w:eastAsia="Arial" w:hAnsi="Arial"/>
          <w:sz w:val="18"/>
          <w:szCs w:val="18"/>
          <w:color w:val="auto"/>
        </w:rPr>
        <w:t>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education and agriculture projects operated throughout Africa, South Asia, Russia and the Middle East.</w:t>
      </w:r>
    </w:p>
    <w:p>
      <w:pPr>
        <w:spacing w:after="0" w:line="18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Mohammad Shaikh </w:t>
      </w:r>
      <w:r>
        <w:rPr>
          <w:rFonts w:ascii="Arial" w:cs="Arial" w:eastAsia="Arial" w:hAnsi="Arial"/>
          <w:sz w:val="16"/>
          <w:szCs w:val="16"/>
          <w:color w:val="auto"/>
        </w:rPr>
        <w:t>is one of our advisors. Mr. Shaikh is the Head of Blockchain Strategic Partnerships for Facebook, responsible for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and strategy. Mr. Shaikh has over a decade of multi-national financial services and blockchain/crypto experience. Previously, Mr. Shaikh was the Founder and CEO of Meridio, a blockchain-based company backed by ConsenSys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Currencies (CBDCs). He is an active angel investor and serves on the board of two logistics companies. Mr. Shaikh holds a Bachelor’s degree from Hunter College and an MBA from the University of Rochester.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7" w:name="page98"/>
    <w:bookmarkEnd w:id="97"/>
    <w:p>
      <w:pPr>
        <w:ind w:firstLine="324"/>
        <w:spacing w:after="0" w:line="273" w:lineRule="auto"/>
        <w:rPr>
          <w:sz w:val="20"/>
          <w:szCs w:val="20"/>
          <w:color w:val="auto"/>
        </w:rPr>
      </w:pPr>
      <w:r>
        <w:rPr>
          <w:rFonts w:ascii="Arial" w:cs="Arial" w:eastAsia="Arial" w:hAnsi="Arial"/>
          <w:sz w:val="17"/>
          <w:szCs w:val="17"/>
          <w:b w:val="1"/>
          <w:bCs w:val="1"/>
          <w:color w:val="auto"/>
        </w:rPr>
        <w:t xml:space="preserve">Alexis Johnson </w:t>
      </w:r>
      <w:r>
        <w:rPr>
          <w:rFonts w:ascii="Arial" w:cs="Arial" w:eastAsia="Arial" w:hAnsi="Arial"/>
          <w:sz w:val="17"/>
          <w:szCs w:val="17"/>
          <w:color w:val="auto"/>
        </w:rPr>
        <w:t>is one of our advisors. Ms. Johnson has over five years of experience in real estate development and construction management ranging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high-end residential to commercial and healthcare.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A recipient of the Little Rock 9 Scholarship, Ms. Johnson holds a bachelor’s degree in Civil Engineering from Johns Hopkins University's Whiting School of Engineering.</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Patrick Orlando </w:t>
      </w:r>
      <w:r>
        <w:rPr>
          <w:rFonts w:ascii="Arial" w:cs="Arial" w:eastAsia="Arial" w:hAnsi="Arial"/>
          <w:sz w:val="18"/>
          <w:szCs w:val="18"/>
          <w:color w:val="auto"/>
        </w:rPr>
        <w:t>is one of our advisors. Mr. Orlando leverages decades of experience and contacts within industries including SPACs,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commodities, and derivatives in an effort to create significant value for stakeholders. Having held leadership roles at Digital World Acquisition Corp, (Nasdaq: DWAC) Benessere Capital Acquisition Corp, (Nasdaq: BENE) and Maquia Capital Acquisition Corp. (Nasdaq: MAQC), Deutsche Bank, JP Morgan, BT Capital Markets, Sucro Can, and Pure Biofuels Corporation, Mr. Orlando has developed an extensive network and his knowledge and exposure will enable us to locate and attract attractive potential targets, potentially negotiate favorable deals, and potentially attract significant financing on a global scale. Mr. Orlando received his B.S. in Mechanical Engineering and his B.S. in Management Science from the Sloan School of Management at the Massachusetts Institute of Technology (MIT).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Affiliated SPACS.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2021, BurTech LP LLC, our Sponsor, founded GSD Quantum AI Acquisition Corp., which changed its name to BurTech Acquisition Corp.</w:t>
      </w:r>
    </w:p>
    <w:p>
      <w:pPr>
        <w:spacing w:after="0" w:line="46" w:lineRule="exact"/>
        <w:rPr>
          <w:sz w:val="20"/>
          <w:szCs w:val="20"/>
          <w:color w:val="auto"/>
        </w:rPr>
      </w:pPr>
    </w:p>
    <w:p>
      <w:pPr>
        <w:ind w:right="60" w:firstLine="8"/>
        <w:spacing w:after="0" w:line="284" w:lineRule="auto"/>
        <w:tabs>
          <w:tab w:leader="none" w:pos="1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October 5, 2021 (“BurTech II”), a blank check company incorporated for the purposes of effecting a business combination. BurTech II is expected to complete its initial public offering either before or after this offering. In March 2021, our Sponsor founded Bridge Media Acquisition Corp. (“Bridge”) a blank check company incorporated for the purposes of effecting a business combination. Bridge is expected to complete its initial public offering after this offering. Certain of our executive officers also serve as executive officers for BurTech II and Bridge. Our officers and directors may have conflicts of interest with other entities to which they owe fiduciary or contractual obligations with respect to initial business combination opportunities, including for our officers with respect to BurTech II and Bridge, collectively which we refer to as the “Affiliated SPACs”. None of our officers or directors, our sponsor, nor any of its respective officers, directors, employees, or affiliates, have had management experience with blank check companies or special purpose acquisition corporations in the past. In order to minimize potential conflicts of interest which may arise from multiple affiliations, our officers who are also officers of any of the Affiliated SPACs may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 Although conflicts of interest in pursuing an acquisition target may arise among the Affiliated SPACS, we do not believe that any potential conflicts would materially affect our ability to complete our initial business combination.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strategy is to utilize our management team’s investing and operating experience to identify and acquire a business within our sectors of interest. Upon a successful business combination, we intend to have a hands-on approach towards growing the business organically and through acquisitions, improve operations, raise capital and optimize the business’ capital structure. Our investing style is deep-rooted in disciplined fundamental analysis, taking a long-term view towards shareholder value creation and improving the business’ operating performance. We currently expect that we will leverage our management team’s knowledge, experience and longstanding relationships within various industries towards identifying business combination opportunities. Furthermore, we intend to source initial business combination opportunities through our management team’s network of investors, operating partners, financial firms, brokers and lenders. Upon completion of this offering, members of our management team will communicate with their networks our target acquisition criteria and business strategy to begin the process of pursuing and reviewing potentially interesting ideas.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Thesis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are seeing emerging trends of industry crossovers and overlapping technologies and policies across the infrastructure, property, and fintech spaces. The convergence of information, transactions, and management is enabling the rapid growth of the infratech, proptech, and fintech industries - from smart homes to construction/property management/business tech.</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Technology prices and risks are falling while big data and artificial intelligence are rapidly growing. It is no longer enough to just capture data, we have to make sense of it and create new opportunities for people and businesses with it. We also have to streamline services like automated valuations. Connectivity is increasingly crucial for tomorrow's modern life, and with work life shifting due to the pandemic - work, home, and leisure is merging more and more.</w:t>
      </w:r>
    </w:p>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Social housing needs are rapidly increasing within our changing demographics, and we expect these needs to keep growing. Whether it be micro-housing in high density urban areas or it be multi-generational housing, co-living or community-living, we are seeing these important evolutionary trends across retirees as well as young millennials. Blurring of the use of properties and converting them into multi-function spaces is the next frontier of helping the world increase productivity, comfort, and fun - through spaces where work, rest, and play meet seamlessly.</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rise of the "digital nomad” is also giving rise to a brand new property demand: global properties with lightning fast broadband, print facilities, luxurious bedding, and group dinners that promote intermingling with peers and brainstorming on new ventures and ideas … all before ‘nomading' off to another part of the world for the next few months.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evolution in how we live, play, and work is making the industry rethink how we use space wisely. The sharing economy has emerged, and we are the leading experts in bringing to the world meaningful, sustainable, energy-efficient, and timely changes in how we use properties in the future and also how their economic models need to evolve over time. We believe that our capabilities in technology developments across infrastructure, real estate, fintech, and blockchain will give us unparalleled advantages in bringing viable and diverse options for the entire spectrum of investors, businesses, travelers, renters, and owners. Our reputation and experience along with our acute abilities to leverage, source, value, perform due-diligence, and execute provides us a significant pipeline of opportunities from which we evaluate and select businesses that will benefit from our expertise with regards to their profitability and productivity.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we will not be limited to a particular industry or geographic region, given the experience of our management team, we expect to focus on acquiring a business that participates within the consumer, financial services, lifestyle, infrastructure, technology or real estate markets and gain the benefit of our team’s deep knowledge in cloud connectivity and services that can be leveraged in those markets We believe that significant opportunity exists in bringing scale, increased market penetration and cloud connected technology solutions to businesses that benefit from strong core offerings and have access to large addressable markets. Our management team will look to identify business combination targets that are in need of strategic growth capital, will benefit from becoming a publicly listed company or will benefit from our management team’s experience and relationships towards scaling existing platforms.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will seek to identify companies that have compelling growth potential and a combination of the following characteristics. We will use these criteria and guidelines in evaluating acquisition opportunities, but we may decide to enter our initial business combination with a target business that does not meet these criteria and guidelines. We intend to acquire companies or assets that we believe have the following attributes:</w:t>
      </w:r>
    </w:p>
    <w:p>
      <w:pPr>
        <w:spacing w:after="0" w:line="165" w:lineRule="exact"/>
        <w:rPr>
          <w:sz w:val="20"/>
          <w:szCs w:val="20"/>
          <w:color w:val="auto"/>
        </w:rPr>
      </w:pPr>
    </w:p>
    <w:p>
      <w:pPr>
        <w:ind w:left="660" w:right="380" w:hanging="328"/>
        <w:spacing w:after="0" w:line="31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Scalability and large addressable markets. </w:t>
      </w:r>
      <w:r>
        <w:rPr>
          <w:rFonts w:ascii="Arial" w:cs="Arial" w:eastAsia="Arial" w:hAnsi="Arial"/>
          <w:sz w:val="16"/>
          <w:szCs w:val="16"/>
          <w:color w:val="auto"/>
        </w:rPr>
        <w:t>We intend to seek candidates that operate in large markets where small increases in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penetration can translate into rapid and significant financial benefits. We intend to evaluate each market based on several factors, including competitive dynamics, demand drivers, macroeconomic trends, and the potential to build a sustainable competitive edge.</w:t>
      </w:r>
    </w:p>
    <w:p>
      <w:pPr>
        <w:spacing w:after="0" w:line="148" w:lineRule="exact"/>
        <w:rPr>
          <w:rFonts w:ascii="Arial" w:cs="Arial" w:eastAsia="Arial" w:hAnsi="Arial"/>
          <w:sz w:val="16"/>
          <w:szCs w:val="16"/>
          <w:color w:val="auto"/>
        </w:rPr>
      </w:pPr>
    </w:p>
    <w:p>
      <w:pPr>
        <w:jc w:val="both"/>
        <w:ind w:left="660" w:right="18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Attractive customer demographics. </w:t>
      </w:r>
      <w:r>
        <w:rPr>
          <w:rFonts w:ascii="Arial" w:cs="Arial" w:eastAsia="Arial" w:hAnsi="Arial"/>
          <w:sz w:val="18"/>
          <w:szCs w:val="18"/>
          <w:color w:val="auto"/>
        </w:rPr>
        <w:t>Our management team has deep insights into the consumer and enterprise customer’s behavior and buying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in a range of global markets. We expect to capitalize on shifting demographic trends to build a sustainable business enterprise with clear understandings of global market trends.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Brands serving high growth markets. </w:t>
      </w:r>
      <w:r>
        <w:rPr>
          <w:rFonts w:ascii="Arial" w:cs="Arial" w:eastAsia="Arial" w:hAnsi="Arial"/>
          <w:sz w:val="18"/>
          <w:szCs w:val="18"/>
          <w:color w:val="auto"/>
        </w:rPr>
        <w:t>We intend to seek candidates where we believe that customer connection with the business’ brands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matters and will continue to matter. We believe that building global brand recognition with an awareness of the ultimate brand value in the markets we will serve is a significant driver of shareholder value.</w:t>
      </w:r>
    </w:p>
    <w:p>
      <w:pPr>
        <w:spacing w:after="0" w:line="183" w:lineRule="exact"/>
        <w:rPr>
          <w:rFonts w:ascii="Arial" w:cs="Arial" w:eastAsia="Arial" w:hAnsi="Arial"/>
          <w:sz w:val="18"/>
          <w:szCs w:val="18"/>
          <w:color w:val="auto"/>
        </w:rPr>
      </w:pPr>
    </w:p>
    <w:p>
      <w:pPr>
        <w:ind w:left="660" w:right="140" w:hanging="328"/>
        <w:spacing w:after="0" w:line="30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Ecosystem-oriented and technology-centric. </w:t>
      </w:r>
      <w:r>
        <w:rPr>
          <w:rFonts w:ascii="Arial" w:cs="Arial" w:eastAsia="Arial" w:hAnsi="Arial"/>
          <w:sz w:val="16"/>
          <w:szCs w:val="16"/>
          <w:color w:val="auto"/>
        </w:rPr>
        <w:t>We intend to seek candidates that have a potential to provide the business’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benefits within a cloud connected ecosystem. Our management team has expertise in identifying and investing in scalable growth businesses. The team has experience in using partnerships to drive value creation, scale and entry into new global markets. Furthermore, our management team has experience deploying capital into companies to propel growth and physical presence across global markets.</w:t>
      </w:r>
    </w:p>
    <w:p>
      <w:pPr>
        <w:spacing w:after="0" w:line="157" w:lineRule="exact"/>
        <w:rPr>
          <w:rFonts w:ascii="Arial" w:cs="Arial" w:eastAsia="Arial" w:hAnsi="Arial"/>
          <w:sz w:val="16"/>
          <w:szCs w:val="16"/>
          <w:color w:val="auto"/>
        </w:rPr>
      </w:pPr>
    </w:p>
    <w:p>
      <w:pPr>
        <w:ind w:left="660" w:right="80" w:hanging="328"/>
        <w:spacing w:after="0" w:line="279"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Sustainable Development Goal (SDG) measurements. </w:t>
      </w:r>
      <w:r>
        <w:rPr>
          <w:rFonts w:ascii="Arial" w:cs="Arial" w:eastAsia="Arial" w:hAnsi="Arial"/>
          <w:sz w:val="17"/>
          <w:szCs w:val="17"/>
          <w:color w:val="auto"/>
        </w:rPr>
        <w:t>We intend to seek candidates that have business models and solutions that have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as measured against the United Nations Sustainable Development Goals and that showcase good stewardship of the planet. Our management team is uniquely qualified in this area and has been involved in global advocacy of the SDGs as well as part of enterprises with clear metrics and measurements to show how companies can be measured for their positive impact on the SDGs.</w:t>
      </w:r>
    </w:p>
    <w:p>
      <w:pPr>
        <w:spacing w:after="0" w:line="171" w:lineRule="exact"/>
        <w:rPr>
          <w:rFonts w:ascii="Arial" w:cs="Arial" w:eastAsia="Arial" w:hAnsi="Arial"/>
          <w:sz w:val="17"/>
          <w:szCs w:val="17"/>
          <w:color w:val="auto"/>
        </w:rPr>
      </w:pPr>
    </w:p>
    <w:p>
      <w:pPr>
        <w:ind w:left="660" w:right="200" w:hanging="328"/>
        <w:spacing w:after="0" w:line="31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Strong target management teams. </w:t>
      </w:r>
      <w:r>
        <w:rPr>
          <w:rFonts w:ascii="Arial" w:cs="Arial" w:eastAsia="Arial" w:hAnsi="Arial"/>
          <w:sz w:val="16"/>
          <w:szCs w:val="16"/>
          <w:color w:val="auto"/>
        </w:rPr>
        <w:t>We intend to seek candidates that have strong management teams with a track record of driving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enhancing profitability and generating strong free cash flow. We will spend significant time assessing a target company’s leadership and personnel across the organization and evaluating how we can build a stronger team with requisite skill sets to execute on business strategy.</w:t>
      </w:r>
    </w:p>
    <w:p>
      <w:pPr>
        <w:spacing w:after="0" w:line="148" w:lineRule="exact"/>
        <w:rPr>
          <w:rFonts w:ascii="Arial" w:cs="Arial" w:eastAsia="Arial" w:hAnsi="Arial"/>
          <w:sz w:val="16"/>
          <w:szCs w:val="16"/>
          <w:color w:val="auto"/>
        </w:rPr>
      </w:pPr>
    </w:p>
    <w:p>
      <w:pPr>
        <w:ind w:left="660" w:right="14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benefit from our management team’s expertise. </w:t>
      </w:r>
      <w:r>
        <w:rPr>
          <w:rFonts w:ascii="Arial" w:cs="Arial" w:eastAsia="Arial" w:hAnsi="Arial"/>
          <w:sz w:val="18"/>
          <w:szCs w:val="18"/>
          <w:color w:val="auto"/>
        </w:rPr>
        <w:t>We intend to seek candidates whose performance can be augmented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investing, operating expertise, and global enterprise networks. Our management team has actively recruited and retained key operational human capital into companies.</w:t>
      </w:r>
    </w:p>
    <w:p>
      <w:pPr>
        <w:spacing w:after="0" w:line="183" w:lineRule="exact"/>
        <w:rPr>
          <w:rFonts w:ascii="Arial" w:cs="Arial" w:eastAsia="Arial" w:hAnsi="Arial"/>
          <w:sz w:val="18"/>
          <w:szCs w:val="18"/>
          <w:color w:val="auto"/>
        </w:rPr>
      </w:pPr>
    </w:p>
    <w:p>
      <w:pPr>
        <w:ind w:left="660" w:right="82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Opportunity for operational improvements. </w:t>
      </w:r>
      <w:r>
        <w:rPr>
          <w:rFonts w:ascii="Arial" w:cs="Arial" w:eastAsia="Arial" w:hAnsi="Arial"/>
          <w:sz w:val="17"/>
          <w:szCs w:val="17"/>
          <w:color w:val="auto"/>
        </w:rPr>
        <w:t>We will seek to identify businesses that we believe would benefit from our ability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the target company’s revenue models, cost structure, brand awareness and product offerings.</w:t>
      </w:r>
    </w:p>
    <w:p>
      <w:pPr>
        <w:spacing w:after="0" w:line="146" w:lineRule="exact"/>
        <w:rPr>
          <w:rFonts w:ascii="Arial" w:cs="Arial" w:eastAsia="Arial" w:hAnsi="Arial"/>
          <w:sz w:val="17"/>
          <w:szCs w:val="17"/>
          <w:color w:val="auto"/>
        </w:rPr>
      </w:pPr>
    </w:p>
    <w:p>
      <w:pPr>
        <w:ind w:left="660" w:right="3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Growth opportunities through capital investment. </w:t>
      </w:r>
      <w:r>
        <w:rPr>
          <w:rFonts w:ascii="Arial" w:cs="Arial" w:eastAsia="Arial" w:hAnsi="Arial"/>
          <w:sz w:val="18"/>
          <w:szCs w:val="18"/>
          <w:color w:val="auto"/>
        </w:rPr>
        <w:t>We intend to seek candidates that will benefit from additional capital investment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and technology enhancing solutions. These opportunities may include investment in existing and new facilities to drive growth.</w:t>
      </w:r>
    </w:p>
    <w:p>
      <w:pPr>
        <w:spacing w:after="0" w:line="183"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Opportunities for add-on acquisitions. </w:t>
      </w:r>
      <w:r>
        <w:rPr>
          <w:rFonts w:ascii="Arial" w:cs="Arial" w:eastAsia="Arial" w:hAnsi="Arial"/>
          <w:sz w:val="18"/>
          <w:szCs w:val="18"/>
          <w:color w:val="auto"/>
        </w:rPr>
        <w:t>We will seek to acquire one or more businesses or assets that we can grow both organically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we believe that our ability to source proprietary opportunities will be valuable as we continue to build upon a robust public company platform post initial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right="6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Appropriate valuations. </w:t>
      </w:r>
      <w:r>
        <w:rPr>
          <w:rFonts w:ascii="Arial" w:cs="Arial" w:eastAsia="Arial" w:hAnsi="Arial"/>
          <w:sz w:val="18"/>
          <w:szCs w:val="18"/>
          <w:color w:val="auto"/>
        </w:rPr>
        <w:t>We will seek to be disciplined and bring our fundamental investing approach towards valuing potential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targets.</w:t>
      </w:r>
    </w:p>
    <w:p>
      <w:pPr>
        <w:spacing w:after="0" w:line="17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some or all of the above criteria and guidelines, we will disclose that the target business does not meet such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 with Diverse Deal Sourcing Network</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management team’s contacts and relationships are extensive across the targeted industries, providing superior access to private companies. With regard to real estate, infrastructure, financial services, lifestyle brands, our network includes private equity, venture capital, technology entrepreneurs, and individual owners and founders of space-as-a-service operators, clean energy, cloud services, real estate technology companies, hotels, retailers, and restaurant groups. This network extends beyond the United States into Europe, Asia, the Middle East, South America, and Sub-Saharan Africa. We intend to leverage this network to gain exclusive access to and identify attractive target businesses which have the opportunity to scale up, transition services and customers, and grow.</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real estate market participants, private equity and venture capital groups, investment banking firms, consultants, legal and accounting firms and large business enterprises. Upon completion of this offering, members of our management team will communicate actively with their networks of relationships to articulate parameters for a potential business combination target.</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of our management team is not a guarantee either (i) of success with respect to any business combination we may consummate or</w:t>
      </w:r>
    </w:p>
    <w:p>
      <w:pPr>
        <w:spacing w:after="0" w:line="46" w:lineRule="exact"/>
        <w:rPr>
          <w:sz w:val="20"/>
          <w:szCs w:val="20"/>
          <w:color w:val="auto"/>
        </w:rPr>
      </w:pPr>
    </w:p>
    <w:p>
      <w:pPr>
        <w:ind w:right="40" w:firstLine="8"/>
        <w:spacing w:after="0" w:line="251"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and non-compete agreements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and understandings of Governmental policy and work with Universities on Innovation programs.</w:t>
      </w:r>
    </w:p>
    <w:p>
      <w:pPr>
        <w:spacing w:after="0" w:line="225"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management team brings significant experience working with Governmental groups and organizations on policy and programs to enhance the reach of U.S. companies in developing markets in areas of technology and infrastructure. Our management team also works closely with leading Universities in the United States on programs to enhance the opportunity and access of technology and innovation for new markets both in the United States and in Developing Markets. This understanding and experience with the role of Governmental policies and strong University programs play in opening and enhancing global market opportunities for our businesses we feel is a unique competitive strength of our management team.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340"/>
        <w:spacing w:after="0"/>
        <w:rPr>
          <w:sz w:val="20"/>
          <w:szCs w:val="20"/>
          <w:color w:val="auto"/>
        </w:rPr>
      </w:pPr>
      <w:r>
        <w:rPr>
          <w:rFonts w:ascii="Arial" w:cs="Arial" w:eastAsia="Arial" w:hAnsi="Arial"/>
          <w:sz w:val="18"/>
          <w:szCs w:val="18"/>
          <w:i w:val="1"/>
          <w:iCs w:val="1"/>
          <w:color w:val="auto"/>
        </w:rPr>
        <w:t>Management Experience Identifying and Investing in Scalable Businesses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management team brings recent experience in working with rapidly scaling businesses. The complementary skillset of our management team is well suited to working with companies and brands that can grow rapidly with the addition of, or access to capital. Helping companies grow physical presence by utilizing our management team’s knowledge of global real estate markets, real estate operations, and the capital markets is a core competitive strength.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16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will have until 15 months from the closing of this offering to consummate an initial business combination. Up to $1,500,000 of the loans made by our sponsor, our officers and directors, or our or their affiliates to us prior to or in connection with our initial business combination (including loans made to extend our time period for consummating a business combination) may be convertible into units at a price of $10.00 per unit at the option of the lender.</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the business combination involves more than one target business, the 80% fair market value test will be based on the aggregate value of all of the target businesses and we will treat the target businesses together as our initial business combination for purposes of a tender offer or for seeking stockholder approval, as applicable.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sponsor, officers, directors,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the expertise of our management team in analyzing companies and evaluating operating projections, financial projections and determining the appropriate return expectations given the risk profile of the target business.</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Members of our management team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 We have not selected any specific business combination target and we have not, nor has anyone on our behalf, initiated any substantive discussions, directly or indirectly, with any business combination target.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right="20" w:firstLine="324"/>
        <w:spacing w:after="0" w:line="291" w:lineRule="auto"/>
        <w:rPr>
          <w:sz w:val="20"/>
          <w:szCs w:val="20"/>
          <w:color w:val="auto"/>
        </w:rPr>
      </w:pPr>
      <w:r>
        <w:rPr>
          <w:rFonts w:ascii="Arial" w:cs="Arial" w:eastAsia="Arial" w:hAnsi="Arial"/>
          <w:sz w:val="16"/>
          <w:szCs w:val="16"/>
          <w:color w:val="auto"/>
        </w:rPr>
        <w:t>Some of our officers and directors presently have,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and that our obligations are to entities that are not themselves in the business of engaging in business combinations.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 public company, we offer a target business an alternative to the traditional initial public offering through a merger or other business combination with us. Following an initial business combination, we believe the target business would have greater access to capital and additional means of creating management incentives that are better aligned with stockholders’ interests than it would as a private company. A target business can further benefit by augmenting its profile among potential new customers and vendors and aid in attracting talented employees. In a business combination transaction with us, the owners of the target business may, for example, exchange their shares of stock in the target business for our shares of Class A common stock (or shares of a new holding company) or for a combination of our shares of Class A common stock and cash, allowing us to tailor the consideration to the specific needs of the sellers.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4" w:name="page105"/>
    <w:bookmarkEnd w:id="104"/>
    <w:p>
      <w:pPr>
        <w:ind w:right="420" w:firstLine="324"/>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8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7"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w:t>
      </w:r>
    </w:p>
    <w:p>
      <w:pPr>
        <w:spacing w:after="0" w:line="209" w:lineRule="auto"/>
        <w:rPr>
          <w:sz w:val="20"/>
          <w:szCs w:val="20"/>
          <w:color w:val="auto"/>
        </w:rPr>
      </w:pPr>
      <w:r>
        <w:rPr>
          <w:rFonts w:ascii="Arial" w:cs="Arial" w:eastAsia="Arial" w:hAnsi="Arial"/>
          <w:sz w:val="18"/>
          <w:szCs w:val="18"/>
          <w:color w:val="auto"/>
        </w:rPr>
        <w:t>which means the market value of our Class A common stock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20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w:t>
      </w:r>
    </w:p>
    <w:p>
      <w:pPr>
        <w:spacing w:after="0" w:line="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million as of the end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or (2) our annual revenues equaled or exceeded $100 million during such completed fiscal year and the market value of our common stock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With funds available from the public offering (excluding any proceeds from the private placement) for an initial business combination initially in the amount of $241,250,000, after payment of $8,750,000 of deferred underwriting fees (or $277,437,500 after payment of $10,062,500 of deferred underwriting fees if the underwriters’ over-allotment option is exercised in full), in each case before fees and expenses associated with our initial business combination (other than deferred underwriting fees),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In addition, we intend to focus our search for an initial business combination in a single industry. By completing our initial business combination with only a single entity, our lack of diversification may:</w:t>
      </w:r>
    </w:p>
    <w:p>
      <w:pPr>
        <w:spacing w:after="0" w:line="188" w:lineRule="exact"/>
        <w:rPr>
          <w:sz w:val="20"/>
          <w:szCs w:val="20"/>
          <w:color w:val="auto"/>
        </w:rPr>
      </w:pPr>
    </w:p>
    <w:p>
      <w:pPr>
        <w:ind w:left="980" w:right="14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applicable law or applicable stock exchange listing requirements,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Whether</w:t>
            </w:r>
          </w:p>
        </w:tc>
      </w:t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Stockholder</w:t>
            </w:r>
          </w:p>
        </w:tc>
      </w:t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Approval is</w:t>
            </w:r>
          </w:p>
        </w:tc>
      </w:tr>
      <w:tr>
        <w:trPr>
          <w:trHeight w:val="234"/>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Transaction</w:t>
            </w:r>
          </w:p>
        </w:tc>
        <w:tc>
          <w:tcPr>
            <w:tcW w:w="4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Required</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6"/>
              </w:rPr>
              <w:t>Purchase of stock of target not involving a merger with the company</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Merger of the company with a target</w:t>
            </w: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634"/>
        </w:trPr>
        <w:tc>
          <w:tcPr>
            <w:tcW w:w="52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jc w:val="right"/>
              <w:ind w:right="405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25" w:lineRule="exact"/>
        <w:rPr>
          <w:sz w:val="20"/>
          <w:szCs w:val="20"/>
          <w:color w:val="auto"/>
        </w:rPr>
      </w:pPr>
    </w:p>
    <w:p>
      <w:pPr>
        <w:ind w:left="640" w:right="20" w:hanging="324"/>
        <w:spacing w:after="0" w:line="277"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 (other than in a public offering);</w:t>
      </w:r>
    </w:p>
    <w:p>
      <w:pPr>
        <w:spacing w:after="0" w:line="170" w:lineRule="exact"/>
        <w:rPr>
          <w:rFonts w:ascii="Arial" w:cs="Arial" w:eastAsia="Arial" w:hAnsi="Arial"/>
          <w:sz w:val="18"/>
          <w:szCs w:val="18"/>
          <w:color w:val="auto"/>
        </w:rPr>
      </w:pPr>
    </w:p>
    <w:p>
      <w:pPr>
        <w:ind w:left="640" w:hanging="324"/>
        <w:spacing w:after="0" w:line="311"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stock or voting power of 5% or more; or</w:t>
      </w:r>
    </w:p>
    <w:p>
      <w:pPr>
        <w:spacing w:after="0" w:line="148" w:lineRule="exact"/>
        <w:rPr>
          <w:rFonts w:ascii="Arial" w:cs="Arial" w:eastAsia="Arial" w:hAnsi="Arial"/>
          <w:sz w:val="16"/>
          <w:szCs w:val="16"/>
          <w:color w:val="auto"/>
        </w:rPr>
      </w:pPr>
    </w:p>
    <w:p>
      <w:pPr>
        <w:ind w:left="640" w:hanging="324"/>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908"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6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Our sponsor, officers, directors and/or their affiliates anticipate that they may identify the stockholders with whom our sponsor, officers, directors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or their affiliates will only purchase public shares if such purchases comply with Regulation M under the Exchange Act and the other federal securities laws.</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 We expect that any such purchases will be reported pursuant to Section 13 and Section 16 of the Exchange Act to the extent such purchases are subject to such reporting requirements.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225" w:lineRule="exact"/>
        <w:rPr>
          <w:sz w:val="20"/>
          <w:szCs w:val="20"/>
          <w:color w:val="auto"/>
        </w:rPr>
      </w:pPr>
    </w:p>
    <w:p>
      <w:pPr>
        <w:ind w:right="380" w:firstLine="324"/>
        <w:spacing w:after="0" w:line="291"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of Class A common stock upon the completion of our initial business combination either (i) in connection with a stockholder meeting called to approve the initial business combination or</w:t>
      </w:r>
    </w:p>
    <w:p>
      <w:pPr>
        <w:ind w:right="20" w:firstLine="8"/>
        <w:spacing w:after="0" w:line="268" w:lineRule="auto"/>
        <w:tabs>
          <w:tab w:leader="none" w:pos="265"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such rules.</w:t>
      </w:r>
    </w:p>
    <w:p>
      <w:pPr>
        <w:spacing w:after="0" w:line="1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980" w:right="56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outstanding shares of common stock present and entitled to vote at the meeting to approve the initial business combination when a quorum is present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officers and directors have agreed to vote any founder shares and placement shares held by them and any public shares acquired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and placement shares, we would need no additional public shares of the 25,000,000 public shares sold in this offering to be voted in favor of an initial business combination (assuming only the minimum number of shares representing a quorum are voted) in order to have our initial business combination approved (assuming the over-allotment option is not exercised,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right="540" w:firstLine="324"/>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the public announcement of our initial business combination, we or our sponsor will terminate any plan established in accordance with</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Rule 10b5-1 to purchase shares of our Class A common stock in the open market if we elect to redeem our public shares through a tender offer, to comply with Rule 14e-5 under the Exchange Act.</w:t>
      </w:r>
    </w:p>
    <w:p>
      <w:pPr>
        <w:spacing w:after="0" w:line="18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we will not redeem any public shares unless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9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not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Stock Certificates in Connection with Redemption Rights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 Given the relatively short exercise period, it is advisable for stockholders to use electronic delivery of their public shares.</w:t>
      </w:r>
    </w:p>
    <w:p>
      <w:pPr>
        <w:spacing w:after="0" w:line="17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5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foregoing is different from the procedures used by many special purpose acquisition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Any request to redeem such shares, once made, may be withdrawn at any time up to the date of the stockholder meeting.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right="100" w:firstLine="324"/>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15 months from the closing of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will provide that we will have only 15 months from the closing of this offering to complete our initial business combination. If we are unable to complete our initial business combination within such allotted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6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and placement shares held by them if we fail to complete our initial business combination within 15 months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15 months from the closing of this offering.</w:t>
      </w:r>
    </w:p>
    <w:p>
      <w:pPr>
        <w:spacing w:after="0" w:line="18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unless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$1,150,000 of proceeds held outside the trust account, although we cannot assure you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2" w:name="page113"/>
    <w:bookmarkEnd w:id="112"/>
    <w:p>
      <w:pPr>
        <w:ind w:firstLine="324"/>
        <w:spacing w:after="0" w:line="271" w:lineRule="auto"/>
        <w:rPr>
          <w:sz w:val="20"/>
          <w:szCs w:val="20"/>
          <w:color w:val="auto"/>
        </w:rPr>
      </w:pPr>
      <w:r>
        <w:rPr>
          <w:rFonts w:ascii="Arial" w:cs="Arial" w:eastAsia="Arial" w:hAnsi="Arial"/>
          <w:sz w:val="17"/>
          <w:szCs w:val="17"/>
          <w:color w:val="auto"/>
        </w:rPr>
        <w:t>If we were to expend all of the net proceeds of this offering and the sale of the placement units, other than the proceeds deposited in the trust account, and without taking into account interest, if any, earned on the trust account, the per-share redemption amount received by stockholders upon our dissolution would be approximately $10.15.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$10.15.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7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Although we will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LLP, our independent registered public accounting firm, and the underwriters of the offering, will not execute agreements with us waiving such claims to the monies held in the trust account.</w:t>
      </w:r>
    </w:p>
    <w:p>
      <w:pPr>
        <w:spacing w:after="0" w:line="16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$10.15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$10.15 per public share.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3" w:name="page114"/>
    <w:bookmarkEnd w:id="113"/>
    <w:p>
      <w:pPr>
        <w:ind w:firstLine="324"/>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$1,150,000 from the proceeds of this offering and the sale of the placement units with which to pay any such potential claims (in addition to the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$645,000,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$645,000, the amount of funds we intend to be held outside the trust account would increase by a corresponding amount.</w:t>
      </w:r>
    </w:p>
    <w:p>
      <w:pPr>
        <w:spacing w:after="0" w:line="18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15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6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our public shares in the event we do not complete our initial business combination within 15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15 months from the closing of this offering, we will: (i) cease all operations except for the purpose of winding up,</w:t>
      </w:r>
    </w:p>
    <w:p>
      <w:pPr>
        <w:spacing w:after="0" w:line="4" w:lineRule="exact"/>
        <w:rPr>
          <w:sz w:val="20"/>
          <w:szCs w:val="20"/>
          <w:color w:val="auto"/>
        </w:rPr>
      </w:pPr>
    </w:p>
    <w:p>
      <w:pPr>
        <w:ind w:firstLine="8"/>
        <w:spacing w:after="0" w:line="281" w:lineRule="auto"/>
        <w:tabs>
          <w:tab w:leader="none" w:pos="2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Accordingly, it is our intention to redeem our public shares as soon as reasonably possible</w:t>
      </w:r>
    </w:p>
    <w:p>
      <w:pPr>
        <w:spacing w:after="0" w:line="4" w:lineRule="exact"/>
        <w:rPr>
          <w:sz w:val="20"/>
          <w:szCs w:val="20"/>
          <w:color w:val="auto"/>
        </w:rPr>
      </w:pPr>
    </w:p>
    <w:p>
      <w:pPr>
        <w:jc w:val="both"/>
        <w:ind w:right="160"/>
        <w:spacing w:after="0" w:line="221" w:lineRule="auto"/>
        <w:rPr>
          <w:sz w:val="20"/>
          <w:szCs w:val="20"/>
          <w:color w:val="auto"/>
        </w:rPr>
      </w:pPr>
      <w:r>
        <w:rPr>
          <w:rFonts w:ascii="Arial" w:cs="Arial" w:eastAsia="Arial" w:hAnsi="Arial"/>
          <w:sz w:val="18"/>
          <w:szCs w:val="18"/>
          <w:color w:val="auto"/>
        </w:rPr>
        <w:t xml:space="preserve">following our 15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4" w:name="page115"/>
    <w:bookmarkEnd w:id="114"/>
    <w:p>
      <w:pPr>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$10.15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8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$10.15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all of our public shares if we are unable to complete our business combination within 15 months from the closing of this offering, subject to applicable law.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w:t>
      </w:r>
    </w:p>
    <w:p>
      <w:pPr>
        <w:spacing w:after="0" w:line="1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Comparison of Redemption or Purchase Prices in Connection with Our Initial Business Combination and if We Fail to Complete Our Initial Business Combination</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15 months from the closing of this offering.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700" w:type="dxa"/>
            <w:vAlign w:val="bottom"/>
          </w:tcPr>
          <w:p>
            <w:pPr>
              <w:ind w:left="740"/>
              <w:spacing w:after="0"/>
              <w:rPr>
                <w:sz w:val="20"/>
                <w:szCs w:val="20"/>
                <w:color w:val="auto"/>
              </w:rPr>
            </w:pPr>
            <w:r>
              <w:rPr>
                <w:rFonts w:ascii="Arial" w:cs="Arial" w:eastAsia="Arial" w:hAnsi="Arial"/>
                <w:sz w:val="18"/>
                <w:szCs w:val="18"/>
                <w:b w:val="1"/>
                <w:bCs w:val="1"/>
                <w:color w:val="auto"/>
              </w:rPr>
              <w:t>Redemptions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ind w:left="880"/>
              <w:spacing w:after="0"/>
              <w:rPr>
                <w:sz w:val="20"/>
                <w:szCs w:val="20"/>
                <w:color w:val="auto"/>
              </w:rPr>
            </w:pPr>
            <w:r>
              <w:rPr>
                <w:rFonts w:ascii="Arial" w:cs="Arial" w:eastAsia="Arial" w:hAnsi="Arial"/>
                <w:sz w:val="18"/>
                <w:szCs w:val="18"/>
                <w:b w:val="1"/>
                <w:bCs w:val="1"/>
                <w:color w:val="auto"/>
              </w:rPr>
              <w:t>Connection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ind w:left="380"/>
              <w:spacing w:after="0"/>
              <w:rPr>
                <w:sz w:val="20"/>
                <w:szCs w:val="20"/>
                <w:color w:val="auto"/>
              </w:rPr>
            </w:pPr>
            <w:r>
              <w:rPr>
                <w:rFonts w:ascii="Arial" w:cs="Arial" w:eastAsia="Arial" w:hAnsi="Arial"/>
                <w:sz w:val="18"/>
                <w:szCs w:val="18"/>
                <w:b w:val="1"/>
                <w:bCs w:val="1"/>
                <w:color w:val="auto"/>
              </w:rPr>
              <w:t>with our Initial Business</w:t>
            </w:r>
          </w:p>
        </w:tc>
        <w:tc>
          <w:tcPr>
            <w:tcW w:w="0" w:type="dxa"/>
            <w:vAlign w:val="bottom"/>
          </w:tcPr>
          <w:p>
            <w:pPr>
              <w:spacing w:after="0"/>
              <w:rPr>
                <w:sz w:val="1"/>
                <w:szCs w:val="1"/>
                <w:color w:val="auto"/>
              </w:rPr>
            </w:pPr>
          </w:p>
        </w:tc>
      </w:tr>
      <w:tr>
        <w:trPr>
          <w:trHeight w:val="234"/>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 redemption price</w:t>
            </w:r>
          </w:p>
        </w:tc>
        <w:tc>
          <w:tcPr>
            <w:tcW w:w="27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Combination</w:t>
            </w: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w w:val="91"/>
              </w:rPr>
              <w:t>Redemptions at the time of our initial</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business combination may be made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pursuant to a tender offer or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5"/>
              </w:rPr>
              <w:t>connection with a stockholder vote.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The redemption price will be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same whether we conduct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redemptions pursuant to a tender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stockholder vote. In either case, our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public stockholders may redeem</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their public shares for cash equal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8"/>
              </w:rPr>
              <w:t>the aggregate amount then on deposit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 the trust account as of two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business days prior to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consummation of the initial business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combination (which is initially</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7"/>
              </w:rPr>
              <w:t>anticipated to be $10.15 per public</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share), including interest earned 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the funds held in the trust account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and not previously released to us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pay our taxes divided by the number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of then outstanding public shares,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subject to the limitation that no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8"/>
              </w:rPr>
              <w:t>redemptions will take place if all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0"/>
              </w:rPr>
              <w:t>the redemptions would cause our net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tangible assets to be less than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8"/>
              </w:rPr>
              <w:t>$5,000,001 as described elsewhere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7"/>
              </w:rPr>
              <w:t>this prospectus and any limitations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(including but not limited to cash</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requirements) agreed to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connection with the negotiation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terms of a proposed initial business</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combination.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-4533900</wp:posOffset>
            </wp:positionV>
            <wp:extent cx="7132320" cy="45345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Arial" w:cs="Arial" w:eastAsia="Arial" w:hAnsi="Arial"/>
          <w:sz w:val="18"/>
          <w:szCs w:val="18"/>
          <w:b w:val="1"/>
          <w:bCs w:val="1"/>
          <w:color w:val="auto"/>
        </w:rPr>
        <w:t>Other Permitted</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Purchases of</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Public Shares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by us or our Affiliates</w:t>
      </w:r>
    </w:p>
    <w:p>
      <w:pPr>
        <w:spacing w:after="0" w:line="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we seek stockholder approval of our initial business combination, our sponsor, directors, officers or their affiliates may purchase shares in privately negotiated transactions or in the open market prior to or following completion of our initial business combination. There is no limit to the prices that our sponsor, directors, officers or their affiliates may pay in these transactions.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Redemptions if we fail to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Complete an Initial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Business Combination</w:t>
      </w:r>
    </w:p>
    <w:p>
      <w:pPr>
        <w:spacing w:after="0" w:line="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we are unable to complete our initial business combination within 15 months from the closing of this offering, we will redeem all public shares at a per-share price, payable in cash, equal to the aggregate amount, then on deposit in the trust account (which is initially anticipated to be $10.15 per public share) including interest earned on the funds held in the trust account and not previously released to us to pay our taxes (less up to $100,000 of interest to pay dissolution expenses), divided by the number of then outstanding public shares.</w:t>
      </w:r>
    </w:p>
    <w:p>
      <w:pPr>
        <w:spacing w:after="0" w:line="3845" w:lineRule="exact"/>
        <w:rPr>
          <w:sz w:val="20"/>
          <w:szCs w:val="20"/>
          <w:color w:val="auto"/>
        </w:rPr>
      </w:pPr>
    </w:p>
    <w:p>
      <w:pPr>
        <w:sectPr>
          <w:pgSz w:w="11900" w:h="16838" w:orient="portrait"/>
          <w:cols w:equalWidth="0" w:num="3">
            <w:col w:w="5660" w:space="100"/>
            <w:col w:w="2640" w:space="160"/>
            <w:col w:w="2680"/>
          </w:cols>
          <w:pgMar w:left="320" w:top="904" w:right="3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Impact to remaining stockholders</w:t>
            </w: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The redemptions in connection with</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2"/>
              </w:rPr>
              <w:t>If the permitted purchases described</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The redemption of our public shares</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our initial business combination will</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6"/>
              </w:rPr>
              <w:t>above are made there would be no</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if we fail to complete our initial</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reduce the book value per share for</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impact to our remaining</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business combination will reduce the</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our remaining stockholders, who will</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stockholders because the purchase</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book value per share for the shares</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bear the burden of the deferred</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price would not be paid by us.</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held by our initial stockholders, who</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underwriting commissions and taxes</w:t>
            </w:r>
          </w:p>
        </w:tc>
        <w:tc>
          <w:tcPr>
            <w:tcW w:w="270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will be our only remaining</w:t>
            </w:r>
          </w:p>
        </w:tc>
      </w:tr>
      <w:tr>
        <w:trPr>
          <w:trHeight w:val="230"/>
        </w:trPr>
        <w:tc>
          <w:tcPr>
            <w:tcW w:w="2780" w:type="dxa"/>
            <w:vAlign w:val="bottom"/>
            <w:shd w:val="clear" w:color="auto" w:fill="CCEEFF"/>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2700" w:type="dxa"/>
            <w:vAlign w:val="bottom"/>
            <w:shd w:val="clear" w:color="auto" w:fill="CCEEFF"/>
          </w:tcPr>
          <w:p>
            <w:pPr>
              <w:spacing w:after="0"/>
              <w:rPr>
                <w:sz w:val="20"/>
                <w:szCs w:val="20"/>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stockholders after such redemptions.</w:t>
            </w:r>
          </w:p>
        </w:tc>
      </w:tr>
      <w:tr>
        <w:trPr>
          <w:trHeight w:val="648"/>
        </w:trPr>
        <w:tc>
          <w:tcPr>
            <w:tcW w:w="27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ind w:left="2720"/>
              <w:spacing w:after="0"/>
              <w:rPr>
                <w:sz w:val="20"/>
                <w:szCs w:val="20"/>
                <w:color w:val="auto"/>
              </w:rPr>
            </w:pPr>
            <w:r>
              <w:rPr>
                <w:rFonts w:ascii="Arial" w:cs="Arial" w:eastAsia="Arial" w:hAnsi="Arial"/>
                <w:sz w:val="18"/>
                <w:szCs w:val="18"/>
                <w:color w:val="auto"/>
                <w:w w:val="79"/>
              </w:rPr>
              <w:t>110</w:t>
            </w:r>
          </w:p>
        </w:tc>
        <w:tc>
          <w:tcPr>
            <w:tcW w:w="2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22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800" w:type="dxa"/>
            <w:vAlign w:val="bottom"/>
            <w:gridSpan w:val="2"/>
          </w:tcPr>
          <w:p>
            <w:pPr>
              <w:ind w:left="980"/>
              <w:spacing w:after="0"/>
              <w:rPr>
                <w:sz w:val="20"/>
                <w:szCs w:val="20"/>
                <w:color w:val="auto"/>
              </w:rPr>
            </w:pPr>
            <w:r>
              <w:rPr>
                <w:rFonts w:ascii="Arial" w:cs="Arial" w:eastAsia="Arial" w:hAnsi="Arial"/>
                <w:sz w:val="18"/>
                <w:szCs w:val="18"/>
                <w:b w:val="1"/>
                <w:bCs w:val="1"/>
                <w:color w:val="auto"/>
              </w:rPr>
              <w:t>Terms of Our Offering</w:t>
            </w:r>
          </w:p>
        </w:tc>
        <w:tc>
          <w:tcPr>
            <w:tcW w:w="3600" w:type="dxa"/>
            <w:vAlign w:val="bottom"/>
          </w:tcPr>
          <w:p>
            <w:pPr>
              <w:ind w:left="520"/>
              <w:spacing w:after="0"/>
              <w:rPr>
                <w:sz w:val="20"/>
                <w:szCs w:val="20"/>
                <w:color w:val="auto"/>
              </w:rPr>
            </w:pPr>
            <w:r>
              <w:rPr>
                <w:rFonts w:ascii="Arial" w:cs="Arial" w:eastAsia="Arial" w:hAnsi="Arial"/>
                <w:sz w:val="18"/>
                <w:szCs w:val="18"/>
                <w:b w:val="1"/>
                <w:bCs w:val="1"/>
                <w:color w:val="auto"/>
              </w:rPr>
              <w:t>Terms Under a Rule 419 Offering</w:t>
            </w:r>
          </w:p>
        </w:tc>
      </w:tr>
      <w:tr>
        <w:trPr>
          <w:trHeight w:val="195"/>
        </w:trPr>
        <w:tc>
          <w:tcPr>
            <w:tcW w:w="38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Escrow of offering proceeds</w:t>
            </w:r>
          </w:p>
        </w:tc>
        <w:tc>
          <w:tcPr>
            <w:tcW w:w="3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$253,750,000 of the net proceeds of this offering</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Approximately $220,500,000 of the offering</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the sale of the placement units will be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proceeds would be deposited into either an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deposited into a trust account in the United States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escrow account with an insured depositary</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with Continental Stock Transfer &amp; Trust Company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institution or in a separate bank account</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acting as trustee and J.P. Morgan Securities LLC</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established by a broker-dealer in which the</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acting as investment manager.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broker-dealer acts as trustee for persons having</w:t>
            </w:r>
          </w:p>
        </w:tc>
      </w:tr>
      <w:tr>
        <w:trPr>
          <w:trHeight w:val="230"/>
        </w:trPr>
        <w:tc>
          <w:tcPr>
            <w:tcW w:w="38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the beneficial interests in the account.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Investment of net proceeds</w:t>
            </w: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$253,750,000 of the net offering proceeds and the</w:t>
            </w: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could be invested only in specified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the placement units held in trust will be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securities such as a money market fund meeting</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invested only in U.S. government treasury bills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4"/>
              </w:rPr>
              <w:t>conditions of the Investment Company Act or in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a maturity of 185 days or less or in money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securities that are direct obligations of, or</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funds meeting certain conditions under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guaranteed as to principal or interest</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Rule 2a-7 under the Investment Company Act</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by, the United States.</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which invest only in direct U.S. government</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obligations.</w:t>
            </w:r>
          </w:p>
        </w:tc>
        <w:tc>
          <w:tcPr>
            <w:tcW w:w="36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Receipt of interest on escrowed funds</w:t>
            </w: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Interest on proceeds from the trust account to be</w:t>
            </w: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Interest on funds in escrow account would be</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to stockholders is reduced by (i) any taxes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held for the sole benefit of investors, unless and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or payable, and (ii) in the event of our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1"/>
              </w:rPr>
              <w:t>only after the funds held in escrow were released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liquidation for failure to complete our initial</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 us in connection with our completion of a</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business combination within the allotted time, up</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 $100,000 of net interest that may be released to</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should we have no or insufficient working</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to fund the costs and expenses of our</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dissolution and liquidation.</w:t>
            </w:r>
          </w:p>
        </w:tc>
        <w:tc>
          <w:tcPr>
            <w:tcW w:w="36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Limitation on fair value or net assets of target</w:t>
            </w:r>
          </w:p>
        </w:tc>
        <w:tc>
          <w:tcPr>
            <w:tcW w:w="3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2"/>
              </w:rPr>
              <w:t>Nasdaq rules require that we must complete one or</w:t>
            </w:r>
          </w:p>
        </w:tc>
        <w:tc>
          <w:tcPr>
            <w:tcW w:w="3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4"/>
              </w:rPr>
              <w:t>The fair value or net assets of a target business</w:t>
            </w:r>
          </w:p>
        </w:tc>
      </w:tr>
      <w:tr>
        <w:trPr>
          <w:trHeight w:val="22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business</w:t>
            </w: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more business combinations having an aggregate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must represent at least 80% of the maximum</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of at least 80% of the value of</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offering proceeds.</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assets held in the trust account (excluding the</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 and taxes</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payable on the income earned on the trust account)</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at the time of the agreement to enter into the initial</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w:t>
            </w:r>
          </w:p>
        </w:tc>
        <w:tc>
          <w:tcPr>
            <w:tcW w:w="3600" w:type="dxa"/>
            <w:vAlign w:val="bottom"/>
            <w:shd w:val="clear" w:color="auto" w:fill="CCEEFF"/>
          </w:tcPr>
          <w:p>
            <w:pPr>
              <w:spacing w:after="0"/>
              <w:rPr>
                <w:sz w:val="20"/>
                <w:szCs w:val="20"/>
                <w:color w:val="auto"/>
              </w:rPr>
            </w:pPr>
          </w:p>
        </w:tc>
      </w:tr>
      <w:tr>
        <w:trPr>
          <w:trHeight w:val="648"/>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Trading of securities issued</w:t>
            </w:r>
          </w:p>
        </w:tc>
        <w:tc>
          <w:tcPr>
            <w:tcW w:w="3720" w:type="dxa"/>
            <w:vAlign w:val="bottom"/>
            <w:gridSpan w:val="2"/>
          </w:tcPr>
          <w:p>
            <w:pPr>
              <w:ind w:left="980"/>
              <w:spacing w:after="0"/>
              <w:rPr>
                <w:sz w:val="20"/>
                <w:szCs w:val="20"/>
                <w:color w:val="auto"/>
              </w:rPr>
            </w:pPr>
            <w:r>
              <w:rPr>
                <w:rFonts w:ascii="Arial" w:cs="Arial" w:eastAsia="Arial" w:hAnsi="Arial"/>
                <w:sz w:val="18"/>
                <w:szCs w:val="18"/>
                <w:b w:val="1"/>
                <w:bCs w:val="1"/>
                <w:color w:val="auto"/>
              </w:rPr>
              <w:t>Terms of Our Offering</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 expect the units will begin trading on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promptly after the date of this prospectus. The</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6"/>
              </w:rPr>
              <w:t>Class A common stock and warrants comprising</w:t>
            </w:r>
          </w:p>
        </w:tc>
        <w:tc>
          <w:tcPr>
            <w:tcW w:w="0" w:type="dxa"/>
            <w:vAlign w:val="bottom"/>
          </w:tcPr>
          <w:p>
            <w:pPr>
              <w:spacing w:after="0"/>
              <w:rPr>
                <w:sz w:val="1"/>
                <w:szCs w:val="1"/>
                <w:color w:val="auto"/>
              </w:rPr>
            </w:pPr>
          </w:p>
        </w:tc>
      </w:tr>
      <w:tr>
        <w:trPr>
          <w:trHeight w:val="253"/>
        </w:trPr>
        <w:tc>
          <w:tcPr>
            <w:tcW w:w="3840" w:type="dxa"/>
            <w:vAlign w:val="bottom"/>
          </w:tcPr>
          <w:p>
            <w:pPr>
              <w:spacing w:after="0"/>
              <w:rPr>
                <w:sz w:val="21"/>
                <w:szCs w:val="21"/>
                <w:color w:val="auto"/>
              </w:rPr>
            </w:pPr>
          </w:p>
        </w:tc>
        <w:tc>
          <w:tcPr>
            <w:tcW w:w="3720" w:type="dxa"/>
            <w:vAlign w:val="bottom"/>
            <w:gridSpan w:val="2"/>
          </w:tcPr>
          <w:p>
            <w:pPr>
              <w:spacing w:after="0" w:line="252" w:lineRule="exact"/>
              <w:rPr>
                <w:sz w:val="20"/>
                <w:szCs w:val="20"/>
                <w:color w:val="auto"/>
              </w:rPr>
            </w:pPr>
            <w:r>
              <w:rPr>
                <w:rFonts w:ascii="Arial" w:cs="Arial" w:eastAsia="Arial" w:hAnsi="Arial"/>
                <w:sz w:val="18"/>
                <w:szCs w:val="18"/>
                <w:color w:val="auto"/>
                <w:w w:val="96"/>
              </w:rPr>
              <w:t>the units will begin separate trading on the 52</w:t>
            </w:r>
            <w:r>
              <w:rPr>
                <w:rFonts w:ascii="Arial" w:cs="Arial" w:eastAsia="Arial" w:hAnsi="Arial"/>
                <w:sz w:val="29"/>
                <w:szCs w:val="29"/>
                <w:color w:val="auto"/>
                <w:w w:val="96"/>
                <w:vertAlign w:val="superscript"/>
              </w:rPr>
              <w:t>nd</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0"/>
              </w:rPr>
              <w:t>day following the date of this prospectus unless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6"/>
              </w:rPr>
              <w:t>representative informs us of its decision to allow</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earlier separate trading, subject to our having filed</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5"/>
              </w:rPr>
              <w:t>the Current Report on Form 8-K described below</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88"/>
              </w:rPr>
              <w:t>and having issued a press release announcing when</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8"/>
              </w:rPr>
              <w:t>such separate trading will begin. We will file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Current Report on Form 8-K promptly after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closing of this offering, which is anticipated to take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9"/>
              </w:rPr>
              <w:t>place three business days from the date of this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prospectus. If the over-allotment option is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exercised following the initial filing of such</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Current Report on Form 8-K, an additional Current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Report on Form 8-K will be filed to provide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updated financial information to reflect the</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exercise of the over-allotment 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26403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No trading of the units or the underlying Class A common stock and warrants would be permitted until the completion of a business combination.</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During this period, the securities would be held in the escrow or trust account.</w:t>
      </w:r>
    </w:p>
    <w:p>
      <w:pPr>
        <w:spacing w:after="0" w:line="3248" w:lineRule="exact"/>
        <w:rPr>
          <w:sz w:val="20"/>
          <w:szCs w:val="20"/>
          <w:color w:val="auto"/>
        </w:rPr>
      </w:pPr>
    </w:p>
    <w:p>
      <w:pPr>
        <w:sectPr>
          <w:pgSz w:w="11900" w:h="16838" w:orient="portrait"/>
          <w:cols w:equalWidth="0" w:num="2">
            <w:col w:w="7540" w:space="100"/>
            <w:col w:w="3600"/>
          </w:cols>
          <w:pgMar w:left="320" w:top="918" w:right="339" w:bottom="653"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of the warrants</w:t>
            </w: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2"/>
              </w:rPr>
              <w:t>The warrants cannot be exercised until the later of</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warrants could be exercised prior to the</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 30 days after the completion of our initial</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completion of a business combination, but</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7"/>
              </w:rPr>
              <w:t>business combination or (ii) 12 months from the</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securities received and cash paid in connection</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closing of this public offering.</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the exercise would be deposited in the</w:t>
            </w:r>
          </w:p>
        </w:tc>
      </w:tr>
      <w:tr>
        <w:trPr>
          <w:trHeight w:val="230"/>
        </w:trPr>
        <w:tc>
          <w:tcPr>
            <w:tcW w:w="286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escrow or trust account.</w:t>
            </w:r>
          </w:p>
        </w:tc>
      </w:tr>
    </w:tbl>
    <w:p>
      <w:pPr>
        <w:spacing w:after="0" w:line="198" w:lineRule="exact"/>
        <w:rPr>
          <w:sz w:val="20"/>
          <w:szCs w:val="20"/>
          <w:color w:val="auto"/>
        </w:rPr>
      </w:pPr>
    </w:p>
    <w:p>
      <w:pPr>
        <w:sectPr>
          <w:pgSz w:w="11900" w:h="16838" w:orient="portrait"/>
          <w:cols w:equalWidth="0" w:num="1">
            <w:col w:w="11240"/>
          </w:cols>
          <w:pgMar w:left="320" w:top="918" w:right="339" w:bottom="653"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stockholders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212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opportunity to redeem their public shares for cash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equal to their pro rata share of the aggregate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amount then on deposit in the trust account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two business days prior to the consummation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our initial business combination, including interest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earned on the funds held in the trust account and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not previously released to us to pay our taxes, upon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completion of our initial business combination,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subject to the limitations described herein. We may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not be required by applicable law or stock</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exchange listing requirements to hold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vote. We intend to give approximately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30 days (but not less than 10 days nor more than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60 days) prior written notice of any such meeting,</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if required, at which a vote shall be taken to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approve our initial business combination. If we are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required by applicable law or stock exchange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listing requirements and do not otherwise decide to</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hold a stockholder vote, we will, pursuant to our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amended and restated certificate of incorporation,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conduct the redemptions pursuant to the tender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offer rules of the SEC and file tender offer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documents with the SEC which will contain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substantially the same financial and other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information about the initial business combination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and the redemption rights as is required under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SEC’s proxy rules. In the event we conduct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redemptions pursuant to the tender offer rules, our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offer to redeem will remain open for at least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20 business days, in accordance with Rule 14e-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1(a) under the Exchange Act, and we will not be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permitted to complete our initial business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combination until the expiration of the tender offer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period. If, however, we hold a stockholder vote,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we will, like many blank check companies, offer to</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redeem shares in conjunction with a proxy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solicitation pursuant to the proxy rules.</w:t>
      </w:r>
    </w:p>
    <w:p>
      <w:pPr>
        <w:spacing w:after="0" w:line="20" w:lineRule="exact"/>
        <w:rPr>
          <w:sz w:val="20"/>
          <w:szCs w:val="20"/>
          <w:color w:val="auto"/>
        </w:rPr>
      </w:pPr>
      <w:r>
        <w:rPr>
          <w:sz w:val="20"/>
          <w:szCs w:val="20"/>
          <w:color w:val="auto"/>
        </w:rPr>
        <w:br w:type="column"/>
      </w:r>
    </w:p>
    <w:p>
      <w:pPr>
        <w:ind w:right="80"/>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w:t>
      </w:r>
    </w:p>
    <w:p>
      <w:pPr>
        <w:spacing w:after="0" w:line="4"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45 business days from the effective date of a post-effective amendment to the company’s registration statement, to decide if it elects to remain a stockholder of the company or require the return of its investment. If the company has not received the notification by the end of the</w:t>
      </w:r>
    </w:p>
    <w:p>
      <w:pPr>
        <w:spacing w:after="0" w:line="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45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4039" w:lineRule="exact"/>
        <w:rPr>
          <w:sz w:val="20"/>
          <w:szCs w:val="20"/>
          <w:color w:val="auto"/>
        </w:rPr>
      </w:pPr>
    </w:p>
    <w:p>
      <w:pPr>
        <w:sectPr>
          <w:pgSz w:w="11900" w:h="16838" w:orient="portrait"/>
          <w:cols w:equalWidth="0" w:num="2">
            <w:col w:w="7540" w:space="100"/>
            <w:col w:w="3600"/>
          </w:cols>
          <w:pgMar w:left="320" w:top="918" w:right="339" w:bottom="653"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653"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7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Terms of Our Offering</w:t>
            </w:r>
          </w:p>
        </w:tc>
      </w:tr>
      <w:tr>
        <w:trPr>
          <w:trHeight w:val="195"/>
        </w:trPr>
        <w:tc>
          <w:tcPr>
            <w:tcW w:w="384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w w:val="93"/>
              </w:rPr>
              <w:t>If we seek stockholder approval, we will complete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our initial business combination only if a majority</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of the outstanding shares of common stock voted</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are voted in favor of the initial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combination. Additionally, each public stockholder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may elect to redeem their public shares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irrespective of whether they vote for or against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proposed transaction. A quorum for such meeting</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will consist of the holders present in person or by</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proxy of shares of outstanding capital stock of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company representing a majority of the voting</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power of all outstanding shares of capital stock of</w:t>
            </w: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company entitled to vote at such meeting.</w:t>
            </w:r>
          </w:p>
        </w:tc>
      </w:tr>
      <w:tr>
        <w:trPr>
          <w:trHeight w:val="418"/>
        </w:trPr>
        <w:tc>
          <w:tcPr>
            <w:tcW w:w="384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3700" w:type="dxa"/>
            <w:vAlign w:val="bottom"/>
          </w:tcPr>
          <w:p>
            <w:pPr>
              <w:spacing w:after="0"/>
              <w:rPr>
                <w:sz w:val="20"/>
                <w:szCs w:val="20"/>
                <w:color w:val="auto"/>
              </w:rPr>
            </w:pPr>
            <w:r>
              <w:rPr>
                <w:rFonts w:ascii="Arial" w:cs="Arial" w:eastAsia="Arial" w:hAnsi="Arial"/>
                <w:sz w:val="18"/>
                <w:szCs w:val="18"/>
                <w:color w:val="auto"/>
                <w:w w:val="98"/>
              </w:rPr>
              <w:t>If we are unable to complete an initial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combination within 15 months from the closing of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this offering, we will (i) cease all operations except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for the purpose of winding up, (ii) as promptly as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89"/>
              </w:rPr>
              <w:t>reasonably possible but not more than ten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days thereafter, redeem 100% of the public shares,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at a per-share price, payable in cash, equal to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aggregate amount then on deposit in the trust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account including interest earned on the funds held</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in the trust account and not previously released to</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us to pay our taxes (less up to $100,000 of interest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 pay dissolution expenses), divided by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number of then outstanding public shares, which</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redemption will completely extinguish public</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stockholders’ rights as stockholders (including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right to receive further liquidating distributions, if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any), subject to applicable law, and (iii) as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promptly as reasonably possible following such</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redemption, subject to the approval of our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remaining stockholders and our board of directors,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dissolve and liquidate, subject in the case of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clauses (ii) and (iii) above to our obligations under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Delaware law to provide for claims of creditors</w:t>
            </w: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and the requirements of other applicable law.</w:t>
            </w:r>
          </w:p>
        </w:tc>
      </w:tr>
      <w:tr>
        <w:trPr>
          <w:trHeight w:val="648"/>
        </w:trPr>
        <w:tc>
          <w:tcPr>
            <w:tcW w:w="3840" w:type="dxa"/>
            <w:vAlign w:val="bottom"/>
          </w:tcPr>
          <w:p>
            <w:pPr>
              <w:spacing w:after="0"/>
              <w:rPr>
                <w:sz w:val="24"/>
                <w:szCs w:val="24"/>
                <w:color w:val="auto"/>
              </w:rPr>
            </w:pPr>
          </w:p>
        </w:tc>
        <w:tc>
          <w:tcPr>
            <w:tcW w:w="3700" w:type="dxa"/>
            <w:vAlign w:val="bottom"/>
          </w:tcPr>
          <w:p>
            <w:pPr>
              <w:ind w:left="166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-5631180</wp:posOffset>
            </wp:positionV>
            <wp:extent cx="7132320" cy="5640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5640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business combination has not been completed within 18 months after the effective date of the company’s registration statement, funds held in the trust or escrow account are returned to investors.</w:t>
      </w:r>
    </w:p>
    <w:p>
      <w:pPr>
        <w:sectPr>
          <w:pgSz w:w="11900" w:h="16838" w:orient="portrait"/>
          <w:cols w:equalWidth="0" w:num="2">
            <w:col w:w="7540" w:space="100"/>
            <w:col w:w="3600"/>
          </w:cols>
          <w:pgMar w:left="320" w:top="918" w:right="339" w:bottom="1440" w:gutter="0" w:footer="0" w:header="0"/>
        </w:sectPr>
      </w:pPr>
    </w:p>
    <w:bookmarkStart w:id="119" w:name="page120"/>
    <w:bookmarkEnd w:id="119"/>
    <w:p>
      <w:pPr>
        <w:spacing w:after="0" w:line="21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17145</wp:posOffset>
            </wp:positionV>
            <wp:extent cx="7132320" cy="2614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14295"/>
                    </a:xfrm>
                    <a:prstGeom prst="rect">
                      <a:avLst/>
                    </a:prstGeom>
                    <a:noFill/>
                  </pic:spPr>
                </pic:pic>
              </a:graphicData>
            </a:graphic>
          </wp:anchor>
        </w:drawing>
      </w:r>
    </w:p>
    <w:p>
      <w:pPr>
        <w:spacing w:after="0" w:line="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pacing w:after="0" w:line="3180" w:lineRule="exact"/>
        <w:rPr>
          <w:sz w:val="20"/>
          <w:szCs w:val="20"/>
          <w:color w:val="auto"/>
        </w:rPr>
      </w:pPr>
    </w:p>
    <w:p>
      <w:pPr>
        <w:sectPr>
          <w:pgSz w:w="11900" w:h="16838" w:orient="portrait"/>
          <w:cols w:equalWidth="0" w:num="3">
            <w:col w:w="3720" w:space="120"/>
            <w:col w:w="3680" w:space="120"/>
            <w:col w:w="3480"/>
          </w:cols>
          <w:pgMar w:left="320" w:top="918" w:right="459" w:bottom="1440" w:gutter="0" w:footer="0" w:header="0"/>
        </w:sectPr>
      </w:pPr>
    </w:p>
    <w:p>
      <w:pPr>
        <w:spacing w:after="0" w:line="282" w:lineRule="auto"/>
        <w:rPr>
          <w:sz w:val="20"/>
          <w:szCs w:val="20"/>
          <w:color w:val="auto"/>
        </w:rPr>
      </w:pPr>
      <w:r>
        <w:rPr>
          <w:rFonts w:ascii="Arial" w:cs="Arial" w:eastAsia="Arial" w:hAnsi="Arial"/>
          <w:sz w:val="18"/>
          <w:szCs w:val="18"/>
          <w:b w:val="1"/>
          <w:bCs w:val="1"/>
          <w:color w:val="auto"/>
        </w:rPr>
        <w:t>Tendering stock certificates in connection with redemption rights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-2487295</wp:posOffset>
            </wp:positionV>
            <wp:extent cx="7132320" cy="2468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1941" w:lineRule="exact"/>
        <w:rPr>
          <w:sz w:val="20"/>
          <w:szCs w:val="20"/>
          <w:color w:val="auto"/>
        </w:rPr>
      </w:pPr>
    </w:p>
    <w:p>
      <w:pPr>
        <w:sectPr>
          <w:pgSz w:w="11900" w:h="16838" w:orient="portrait"/>
          <w:cols w:equalWidth="0" w:num="3">
            <w:col w:w="3580" w:space="260"/>
            <w:col w:w="3660" w:space="140"/>
            <w:col w:w="3480"/>
          </w:cols>
          <w:pgMar w:left="320" w:top="918" w:right="459" w:bottom="1440" w:gutter="0" w:footer="0" w:header="0"/>
          <w:type w:val="continuous"/>
        </w:sectPr>
      </w:pP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18" w:right="459" w:bottom="1440" w:gutter="0" w:footer="0" w:header="0"/>
          <w:type w:val="continuous"/>
        </w:sectPr>
      </w:pPr>
    </w:p>
    <w:bookmarkStart w:id="120" w:name="page121"/>
    <w:bookmarkEnd w:id="120"/>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17145</wp:posOffset>
            </wp:positionV>
            <wp:extent cx="7132320" cy="5357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spacing w:after="0" w:line="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and up to $100,000 of interest that may be used for our dissolution expenses, the proceeds held in the trust account will not be released until the earliest to occur of:</w:t>
      </w:r>
    </w:p>
    <w:p>
      <w:pPr>
        <w:spacing w:after="0" w:line="3" w:lineRule="exact"/>
        <w:rPr>
          <w:sz w:val="20"/>
          <w:szCs w:val="20"/>
          <w:color w:val="auto"/>
        </w:rPr>
      </w:pPr>
    </w:p>
    <w:p>
      <w:pPr>
        <w:ind w:firstLine="2"/>
        <w:spacing w:after="0" w:line="283" w:lineRule="auto"/>
        <w:tabs>
          <w:tab w:leader="none" w:pos="2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pre-business combination activity and (iii) the redemption of 100% of our public shares if we are unable to complete an initial business combination within the required time frame (subject to the requirements of applicable law). On the completion of our initial business combination, all amounts held in the trust account will be released to us, less amounts released to a separate account controlled by the trustee for disbursal to redeeming stockholders. We will use these funds to pay amounts due to any public stockholders who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or the failure to effect a business combination within the allotted time.</w:t>
      </w:r>
    </w:p>
    <w:p>
      <w:pPr>
        <w:spacing w:after="0" w:line="8119" w:lineRule="exact"/>
        <w:rPr>
          <w:sz w:val="20"/>
          <w:szCs w:val="20"/>
          <w:color w:val="auto"/>
        </w:rPr>
      </w:pPr>
    </w:p>
    <w:p>
      <w:pPr>
        <w:sectPr>
          <w:pgSz w:w="11900" w:h="16838" w:orient="portrait"/>
          <w:cols w:equalWidth="0" w:num="3">
            <w:col w:w="3120" w:space="720"/>
            <w:col w:w="3700" w:space="100"/>
            <w:col w:w="3600"/>
          </w:cols>
          <w:pgMar w:left="320" w:top="918" w:right="339" w:bottom="443" w:gutter="0" w:footer="0" w:header="0"/>
        </w:sectPr>
      </w:pPr>
    </w:p>
    <w:p>
      <w:pPr>
        <w:spacing w:after="0" w:line="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color w:val="auto"/>
        </w:rPr>
        <w:t xml:space="preserve">Our executive offices are located at 1300 Pennsylvania Ave NW, Suite 700, Washington, DC 20004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202) 600-5757 Our executive offices are provided to us by BurTech LP LLC. Commencing on the date of this prospectus, we have agreed to pay our sponsor a total of $10,000 per month for office space, utilities and secretarial and administrative support. We consider our current office space adequate for our current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currently have four officers. These individuals are not obligated to devote any specific number of hours to our matters but they intend to devote as much of their time as they deem necessary, in the exercise of their respective business judgement,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full-time employees prior to the completion of our initial business combination. We do not have an employment agreement with any member of our management team.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443"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8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20" w:firstLine="324"/>
        <w:spacing w:after="0" w:line="253"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w:t>
      </w:r>
    </w:p>
    <w:p>
      <w:pPr>
        <w:spacing w:after="0" w:line="1" w:lineRule="exact"/>
        <w:rPr>
          <w:sz w:val="20"/>
          <w:szCs w:val="20"/>
          <w:color w:val="auto"/>
        </w:rPr>
      </w:pPr>
    </w:p>
    <w:p>
      <w:pPr>
        <w:ind w:right="300" w:firstLine="8"/>
        <w:spacing w:after="0" w:line="258"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References herein to “emerging growth company” will have the meaning associated with it in the JOBS Act.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22" w:name="page123"/>
    <w:bookmarkEnd w:id="122"/>
    <w:p>
      <w:pPr>
        <w:ind w:firstLine="324"/>
        <w:spacing w:after="0" w:line="296"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exceeds $700 million as of the end of that year’s second fiscal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160" w:type="dxa"/>
            <w:vAlign w:val="bottom"/>
            <w:gridSpan w:val="2"/>
          </w:tcPr>
          <w:p>
            <w:pPr>
              <w:ind w:left="326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Shahal Khan</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Chairman of the Board of Directors and Chief Executive Officer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Isaac Chetrit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President, Director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 Livson</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Payel Farasat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Chief Investment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Schroeder</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Marketing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Leon Golden</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Young</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63</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Joseph A. Porrello</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0"/>
                <w:szCs w:val="20"/>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2"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b w:val="1"/>
          <w:bCs w:val="1"/>
          <w:color w:val="auto"/>
        </w:rPr>
        <w:t xml:space="preserve">Shahal M. Khan </w:t>
      </w:r>
      <w:r>
        <w:rPr>
          <w:rFonts w:ascii="Arial" w:cs="Arial" w:eastAsia="Arial" w:hAnsi="Arial"/>
          <w:sz w:val="18"/>
          <w:szCs w:val="18"/>
          <w:color w:val="auto"/>
        </w:rPr>
        <w:t>is our Chairman of the Board of Directors and Chief Executive Officer. Mr. Khan’s career as an investor, entrepreneur and social</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firstLine="324"/>
        <w:spacing w:after="0" w:line="270" w:lineRule="auto"/>
        <w:rPr>
          <w:sz w:val="20"/>
          <w:szCs w:val="20"/>
          <w:color w:val="auto"/>
        </w:rPr>
      </w:pPr>
      <w:r>
        <w:rPr>
          <w:rFonts w:ascii="Arial" w:cs="Arial" w:eastAsia="Arial" w:hAnsi="Arial"/>
          <w:sz w:val="17"/>
          <w:szCs w:val="17"/>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 We believe that Mr. Khan is well qualified to be our chief executive officer due to his over 22 years of experience in investing in the real estate, energy, natural resources, technology industries.</w:t>
      </w:r>
    </w:p>
    <w:p>
      <w:pPr>
        <w:spacing w:after="0" w:line="18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color w:val="auto"/>
        </w:rPr>
        <w:t xml:space="preserve">Isaac Chetrit </w:t>
      </w:r>
      <w:r>
        <w:rPr>
          <w:rFonts w:ascii="Arial" w:cs="Arial" w:eastAsia="Arial" w:hAnsi="Arial"/>
          <w:sz w:val="16"/>
          <w:szCs w:val="16"/>
          <w:color w:val="auto"/>
        </w:rPr>
        <w:t>is our President and one of our directors. Mr. Chetrit is a real estate veteran with a background in architecture and electrical engineering.</w:t>
      </w:r>
      <w:r>
        <w:rPr>
          <w:rFonts w:ascii="Arial" w:cs="Arial" w:eastAsia="Arial" w:hAnsi="Arial"/>
          <w:sz w:val="16"/>
          <w:szCs w:val="16"/>
          <w:b w:val="1"/>
          <w:bCs w:val="1"/>
          <w:color w:val="auto"/>
        </w:rPr>
        <w:t xml:space="preserve"> </w:t>
      </w:r>
      <w:r>
        <w:rPr>
          <w:rFonts w:ascii="Arial" w:cs="Arial" w:eastAsia="Arial" w:hAnsi="Arial"/>
          <w:sz w:val="16"/>
          <w:szCs w:val="16"/>
          <w:color w:val="auto"/>
        </w:rPr>
        <w:t>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5" w:name="page126"/>
    <w:bookmarkEnd w:id="125"/>
    <w:p>
      <w:pPr>
        <w:ind w:right="160" w:firstLine="324"/>
        <w:spacing w:after="0" w:line="291" w:lineRule="auto"/>
        <w:rPr>
          <w:sz w:val="20"/>
          <w:szCs w:val="20"/>
          <w:color w:val="auto"/>
        </w:rPr>
      </w:pPr>
      <w:r>
        <w:rPr>
          <w:rFonts w:ascii="Arial" w:cs="Arial" w:eastAsia="Arial" w:hAnsi="Arial"/>
          <w:sz w:val="16"/>
          <w:szCs w:val="16"/>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couple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 We believe that Mr. Chetrit is well qualified to be our president due to his extensive experience as a senior officer and director of some of the largest companies in their respective industries.</w:t>
      </w:r>
    </w:p>
    <w:p>
      <w:pPr>
        <w:spacing w:after="0" w:line="1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 We believe that Mr. Livson is well qualified to be our chief financial officer due to his extensive experience in the financial markets and as a seasoned financial officer.</w:t>
      </w:r>
    </w:p>
    <w:p>
      <w:pPr>
        <w:spacing w:after="0" w:line="17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b w:val="1"/>
          <w:bCs w:val="1"/>
          <w:color w:val="auto"/>
        </w:rPr>
        <w:t xml:space="preserve">Payel Farasat </w:t>
      </w:r>
      <w:r>
        <w:rPr>
          <w:rFonts w:ascii="Arial" w:cs="Arial" w:eastAsia="Arial" w:hAnsi="Arial"/>
          <w:sz w:val="18"/>
          <w:szCs w:val="18"/>
          <w:color w:val="auto"/>
        </w:rPr>
        <w:t>is our Chief Investment Officer. Since December 2020, Ms. Farasat has been the Chief Investment Officer (CIO) of Burkhan World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6" w:name="page127"/>
    <w:bookmarkEnd w:id="126"/>
    <w:p>
      <w:pPr>
        <w:ind w:right="40" w:firstLine="324"/>
        <w:spacing w:after="0" w:line="286"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 We believe that Ms. Farasat is well qualified to be our chief investment officer due to her many years of experience as a financial investor and advisor.</w:t>
      </w:r>
    </w:p>
    <w:p>
      <w:pPr>
        <w:spacing w:after="0" w:line="163"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b w:val="1"/>
          <w:bCs w:val="1"/>
          <w:color w:val="auto"/>
        </w:rPr>
        <w:t xml:space="preserve">Christopher Schroeder </w:t>
      </w:r>
      <w:r>
        <w:rPr>
          <w:rFonts w:ascii="Arial" w:cs="Arial" w:eastAsia="Arial" w:hAnsi="Arial"/>
          <w:sz w:val="16"/>
          <w:szCs w:val="16"/>
          <w:color w:val="auto"/>
        </w:rPr>
        <w:t>is our Chief Marketing Officer. Over the last 30 years, Mr. Schroeder has also been an interactive media resort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7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Mr. Schroeder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 We believe that Mr. Schroeder is well qualified to be our chief marketing officer due to his extraordinary experience in marketing and building brands at some the world’s leading companies.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Leon Golden </w:t>
      </w:r>
      <w:r>
        <w:rPr>
          <w:rFonts w:ascii="Arial" w:cs="Arial" w:eastAsia="Arial" w:hAnsi="Arial"/>
          <w:sz w:val="18"/>
          <w:szCs w:val="18"/>
          <w:color w:val="auto"/>
        </w:rPr>
        <w:t>is one of our director nominees. Mr. Golden is a chartered public accountant and has worked as an accountant at ARG Associates, Inc.</w:t>
      </w:r>
      <w:r>
        <w:rPr>
          <w:rFonts w:ascii="Arial" w:cs="Arial" w:eastAsia="Arial" w:hAnsi="Arial"/>
          <w:sz w:val="18"/>
          <w:szCs w:val="18"/>
          <w:b w:val="1"/>
          <w:bCs w:val="1"/>
          <w:color w:val="auto"/>
        </w:rPr>
        <w:t xml:space="preserve"> </w:t>
      </w:r>
      <w:r>
        <w:rPr>
          <w:rFonts w:ascii="Arial" w:cs="Arial" w:eastAsia="Arial" w:hAnsi="Arial"/>
          <w:sz w:val="18"/>
          <w:szCs w:val="18"/>
          <w:color w:val="auto"/>
        </w:rPr>
        <w:t>an accounting firm in Brooklyn, New York since 1996. Mr. Golden has also been serving as a director for ARG Associates, Inc. since 1996. Mr. Golden has spent the past 25 years representing public and private companies in all areas of accounting practices. We believe his expertise as a financial accountant, and his experience working with publicly traded companies, qualifies Mr. Golden to act as our financial expert. Mr. Golden is a certified public accountant (CPA) and has a bachelor’s degree from Brooklyn College.</w:t>
      </w:r>
    </w:p>
    <w:p>
      <w:pPr>
        <w:spacing w:after="0" w:line="18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b w:val="1"/>
          <w:bCs w:val="1"/>
          <w:color w:val="auto"/>
        </w:rPr>
        <w:t xml:space="preserve">Scott Young </w:t>
      </w:r>
      <w:r>
        <w:rPr>
          <w:rFonts w:ascii="Arial" w:cs="Arial" w:eastAsia="Arial" w:hAnsi="Arial"/>
          <w:sz w:val="17"/>
          <w:szCs w:val="17"/>
          <w:color w:val="auto"/>
        </w:rPr>
        <w:t>is one of our director nominees. Since January 2010, Mr. Young has served as a Senior Advisor and director of Dial Partners LLP, And</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of 2003 and is currently a member of its Nominating and Corporate Governance Committee.</w:t>
      </w:r>
    </w:p>
    <w:p>
      <w:pPr>
        <w:spacing w:after="0" w:line="17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 We believe that Mr. Young is well qualified to be a nominee to our board of directors due to his substantial expertise in finance and technology.</w:t>
      </w:r>
    </w:p>
    <w:p>
      <w:pPr>
        <w:spacing w:after="0" w:line="18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Joseph A. Porrello </w:t>
      </w:r>
      <w:r>
        <w:rPr>
          <w:rFonts w:ascii="Arial" w:cs="Arial" w:eastAsia="Arial" w:hAnsi="Arial"/>
          <w:sz w:val="17"/>
          <w:szCs w:val="17"/>
          <w:color w:val="auto"/>
        </w:rPr>
        <w:t>is one of our director nominees. Mr. Porrello has been practicing law in South Florida for over twenty four years, representing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 We believe that Mr. Porrello is well qualified to be a nominee to our board of directors due to his financial planning experience and being a practicing attorney.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will have 5 directors upon completion of this offering. Our board of directors will be divided into two classes with only one class of directors being elected in each year and each class (except for those directors appointed prior to our first annual meeting of stockholders) serving a two-year term. In accordance with Nasdaq corporate governance requirements, we are not required to hold an annual meeting until one year after our first fiscal year end following our listing on Nasdaq. The term of office of the first class of directors, consisting of Joseph Porrello and Isaac Chetrit, will expire at our first annual meeting of stockholders. The term of office of the second class of directors, consisting of Shahal Khan, Scott Young and Leon Golden will expire at the second annual meeting of stockholders.</w:t>
      </w:r>
    </w:p>
    <w:p>
      <w:pPr>
        <w:spacing w:after="0" w:line="192"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Chief Investment Officer, Chief Operating Officer, President, Vice Presidents, Secretary, Treasurer, Assistant Secretaries and such other offices as may be determined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expect that our board of directors will determine that Scott Young, Joseph Porrello and Leon Golden and are “independent directors” as defined in the Nasdaq listing standards and applicable SEC rules. Our independent directors will have regularly scheduled meetings at which only independent directors are present.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None of our officers has received any cash compensation for services rendered to us. 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right="20" w:firstLine="324"/>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board of directors will have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Prior to the consummation of this offering, we will establish an audit committee of the board of directors. Leon Golden, Scott Young and Joseph Porrello will serve as members of our audit committee, and Leon Golden will chair the audit committee. Under the Nasdaq listing standards and applicable SEC rules, we are required to have at least three members of the audit committee, all of whom must be independent. Each of Leon Golden, Scott Young and Josph Porrello meet the independent director standard under Nasdaq listing standards and under Rule 10-A-3(b)(1) of the Exchange Act.</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Leon Golden qualifies as an “audit committee financial expert” as defined in applicable SEC rules.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left="660" w:right="4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660" w:right="120" w:hanging="328"/>
        <w:spacing w:after="0" w:line="29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161"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rules promulgated by the Financial Accounting Standards Board, the SEC or other regulatory authorities.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Prior to the consummation of this offering, we will establish a compensation committee of the board of directors. Leon Golden and Scott Young will serve as members of our compensation committee. Under the Nasdaq listing standards and applicable SEC rules, we are required to have at least two members of the compensation committee, all of whom must be independent. Leon Golden and Scott Young are independent and Scott Young will chair the compensation committee.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ind w:left="660" w:right="1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31" w:name="page132"/>
    <w:bookmarkEnd w:id="131"/>
    <w:p>
      <w:pPr>
        <w:ind w:right="20" w:firstLine="324"/>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Leon Golden, Scott Young and Joseph Porrello. In accordance with Rule 5605 of the Nasdaq rules, all such directors are independent. As there is no standing nominating committee, we do not have a nominating committee charter in place.</w:t>
      </w:r>
    </w:p>
    <w:p>
      <w:pPr>
        <w:spacing w:after="0" w:line="164"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6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Ethics will be provided without charge upon request from us. We intend to disclose any amendments to or waivers of certain provisions of our Code of Ethics in a Current Report on Form 8-K. See the section of this prospectus entitled “Where You Can Find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Some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Subject to pre-existing fiduciary or contractual duties as described below, our officers and directors have agreed to present any business opportunities presented to them in their capacity as a director or officer of our company to us. Certain of our officers and directors presently have fiduciary or contractual obligations to other entities pursuant to which such officer or director is or will be required to present a business combination opportunity, including an Affiliated SPAC.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6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officers and directors may become officers or directors of another special purpose acquisition company with a class of securities intended to be registered under the Exchange Act, even prior to us entering into a definitive agreement for our initial business combination.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25" w:lineRule="exact"/>
        <w:rPr>
          <w:sz w:val="20"/>
          <w:szCs w:val="20"/>
          <w:color w:val="auto"/>
        </w:rPr>
      </w:pPr>
    </w:p>
    <w:p>
      <w:pPr>
        <w:ind w:left="660" w:right="68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70"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8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placement shares and any public shares held by them in connection with the consummation of our initial business combination. Additionally, our initial stockholders have agreed to waive their redemption rights with respect to any founder shares and placement shares held by them if we fail to consummate our initial business combination within 15 months after the closing of this offering. If we do not complete our initial business combination within such applicable time period, the proceeds of the sale of the placement units held in the trust account will be used to fund the redemption of our public shares, and the placement securities will expire worthless. With certain limited exceptions, the founder shares will not be transferable, assignable by our sponsor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With certain limited exceptions, the placement units, placement shares and placement warrants and the Class A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66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and we may also obtain loans from our sponsor or its affiliates to extend the time period for consummating an initial business combination. Up to $1,500,000 of the loans made by our sponsor, our officers and directors, or our or their affiliates to us (including loans made to extend our time period for consummating a business combination) may be convertible into units, at a price of $10.00 per unit at the option of the lender, upon consummation of our initial business combination. The units would be identical to the placement units. If our initial business combination is not consummated, we will not repay loans made by our sponsor or its affiliates and will only repay loans made for working capital purposes or financing transaction costs with funds held outside of our trust account.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firstLine="324"/>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directors and director nominees currently have fiduciary duties or contractual obligations: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r>
              <w:rPr>
                <w:rFonts w:ascii="Arial" w:cs="Arial" w:eastAsia="Arial" w:hAnsi="Arial"/>
                <w:sz w:val="29"/>
                <w:szCs w:val="29"/>
                <w:b w:val="1"/>
                <w:bCs w:val="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Entity</w:t>
            </w:r>
            <w:r>
              <w:rPr>
                <w:rFonts w:ascii="Arial" w:cs="Arial" w:eastAsia="Arial" w:hAnsi="Arial"/>
                <w:sz w:val="29"/>
                <w:szCs w:val="29"/>
                <w:b w:val="1"/>
                <w:bCs w:val="1"/>
                <w:color w:val="auto"/>
                <w:w w:val="89"/>
                <w:vertAlign w:val="superscript"/>
              </w:rPr>
              <w:t>(2)</w:t>
            </w:r>
          </w:p>
        </w:tc>
        <w:tc>
          <w:tcPr>
            <w:tcW w:w="12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Entity’s Business</w:t>
            </w:r>
          </w:p>
        </w:tc>
        <w:tc>
          <w:tcPr>
            <w:tcW w:w="12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Affiliation</w:t>
            </w: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Shahal Khan</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Burkhan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Investment Fund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Trinity Hospitality Group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Real Estate Development</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Roman Livson</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4"/>
              </w:rPr>
              <w:t>BurTech Acquisition Corp. II</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1"/>
              </w:rPr>
              <w:t>Special Purpose Acquisition Company</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4"/>
              </w:rPr>
              <w:t>Chief Financial Officer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Bridge Media Acquisition Corp.</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Special Purpose Acquisition Company</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Katalyst Securities LLC</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Investment Banking Firm</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Payel Farasat</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Burkhan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Investment Fund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Investment Officer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BurTech Acquisition Corp. II</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Special Purpose Acquisition Company</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Investment Officer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Farasat Capital &amp; Consulting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Consulting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Managing Principal</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Project Me Coaching</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Coaching/Mentor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Founder, Master Coach</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V4 Capital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Impact Investing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Managing Director/Founder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Centre for Responsible Leadership</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Non-Profit Organization</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Isaac Chetrit</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4"/>
              </w:rPr>
              <w:t>Monti Consulting Services LLC</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89"/>
              </w:rPr>
              <w:t>Real Estate Consulting</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Trinity Hospitality Group LLC</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Real Estate Development</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President and Director</w:t>
            </w: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Christopher Schroeder</w:t>
            </w: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Experiential Ventures Hospitality, LLC</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Hospitality and Entertainment</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Company</w:t>
            </w: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Dakia Entertainment &amp; Hospitality,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Entertainment Company</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Co-Founder</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Joseph A. Porrello</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89"/>
              </w:rPr>
              <w:t>Joseph A. Porrello, P.A.</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7"/>
              </w:rPr>
              <w:t>Law Firm</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88"/>
              </w:rPr>
              <w:t>Partner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Benessere Capital Acquisition Corp.</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Director – Audit Committee Member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Special Purpose Acquisition Company</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and Compensation Committee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Member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Compass East, LLC</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8"/>
              </w:rPr>
              <w:t>Advisory Firm</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Scott Young</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Dial LLP</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Financial Advisory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Senior Advisor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Omnicyte,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Life Science Research</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Advisor</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Leon Golden</w:t>
            </w: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ARG Associates Inc.</w:t>
            </w:r>
          </w:p>
        </w:tc>
        <w:tc>
          <w:tcPr>
            <w:tcW w:w="120" w:type="dxa"/>
            <w:vAlign w:val="bottom"/>
          </w:tcPr>
          <w:p>
            <w:pPr>
              <w:spacing w:after="0"/>
              <w:rPr>
                <w:sz w:val="20"/>
                <w:szCs w:val="20"/>
                <w:color w:val="auto"/>
              </w:rPr>
            </w:pPr>
          </w:p>
        </w:tc>
        <w:tc>
          <w:tcPr>
            <w:tcW w:w="2800" w:type="dxa"/>
            <w:vAlign w:val="bottom"/>
          </w:tcPr>
          <w:p>
            <w:pPr>
              <w:ind w:left="740"/>
              <w:spacing w:after="0"/>
              <w:rPr>
                <w:sz w:val="20"/>
                <w:szCs w:val="20"/>
                <w:color w:val="auto"/>
              </w:rPr>
            </w:pPr>
            <w:r>
              <w:rPr>
                <w:rFonts w:ascii="Arial" w:cs="Arial" w:eastAsia="Arial" w:hAnsi="Arial"/>
                <w:sz w:val="18"/>
                <w:szCs w:val="18"/>
                <w:color w:val="auto"/>
              </w:rPr>
              <w:t>Accounting Firm</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187"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has a fiduciary duty with respect to the listed entities next to their respective names.</w:t>
      </w:r>
    </w:p>
    <w:p>
      <w:pPr>
        <w:spacing w:after="0" w:line="22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entities listed in this table has priority and preference relative to our company with respect to the performance by each individual listed in this table of his obligations and the presentation by each such individual of business opportunities.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right="380" w:firstLine="324"/>
        <w:spacing w:after="0" w:line="311" w:lineRule="auto"/>
        <w:rPr>
          <w:sz w:val="20"/>
          <w:szCs w:val="20"/>
          <w:color w:val="auto"/>
        </w:rPr>
      </w:pPr>
      <w:r>
        <w:rPr>
          <w:rFonts w:ascii="Arial" w:cs="Arial" w:eastAsia="Arial" w:hAnsi="Arial"/>
          <w:sz w:val="16"/>
          <w:szCs w:val="16"/>
          <w:color w:val="auto"/>
        </w:rPr>
        <w:t>Accordingly, if any of the above executive officers, directors or director nominees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w:t>
      </w:r>
    </w:p>
    <w:p>
      <w:pPr>
        <w:spacing w:after="0" w:line="14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that such an initial business combination is fair to our company from a financial point of view.</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pursuant to the letter agreement, our sponsor, officers and directors have agreed to vote any founder shares or placement shares held by them and any public shares purchased during or after the offering (including in open market and privately negotiated transactions) in favor of our initial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6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PRINCIPAL STOCKHOLDERS</w:t>
      </w:r>
      <w:r>
        <w:rPr>
          <w:rFonts w:ascii="Arial" w:cs="Arial" w:eastAsia="Arial" w:hAnsi="Arial"/>
          <w:sz w:val="29"/>
          <w:szCs w:val="29"/>
          <w:b w:val="1"/>
          <w:bCs w:val="1"/>
          <w:color w:val="auto"/>
          <w:vertAlign w:val="superscript"/>
        </w:rPr>
        <w:t>3</w:t>
      </w:r>
    </w:p>
    <w:p>
      <w:pPr>
        <w:spacing w:after="0" w:line="13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12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placement warrants as these warrants are not exercisable within 60 days of the date of this prospectus.</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In addition, our sponsor has committed, pursuant to a written agreement, to purchase an aggregate of 804,500 placement units for a purchase price of $10.00 per unit in a private placement that will occur simultaneously with the closing of this offering (assuming the underwriters do not exercise their over-allotment option). The following table presents the number of shares and percentage of our common stock beneficially owned as of the filing date, before and after this offering, by each person, or group of persons, known to us who beneficially owns more than 5% of our capital stock, each named executive officer, each of our directors and all directors and executive officers as a group. The post-offering numbers and percentages presented assume that the underwriters do not exercise their over-allotment option, that our sponsor forfeits 1,237,500 founder shares on a pro rata basis, and that there are 34,429,500 shares of our common stock issued and outstanding after this offering, consisting of (i) 25,804,500 shares of our Class A common stock (including 25,000,000 public shares, 804,500 placement shares, 375,000 shares of Class A common stock comprising the representative shares) and (ii) 8,250,000 shares of our Class B common, issued and outstanding after this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Before Offering</w:t>
            </w:r>
          </w:p>
        </w:tc>
        <w:tc>
          <w:tcPr>
            <w:tcW w:w="28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2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3"/>
              </w:rPr>
              <w:t>Number of</w:t>
            </w:r>
          </w:p>
        </w:tc>
        <w:tc>
          <w:tcPr>
            <w:tcW w:w="150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93"/>
              </w:rPr>
              <w:t>of</w:t>
            </w:r>
          </w:p>
        </w:tc>
        <w:tc>
          <w:tcPr>
            <w:tcW w:w="1440" w:type="dxa"/>
            <w:vAlign w:val="bottom"/>
            <w:gridSpan w:val="2"/>
            <w:vMerge w:val="continue"/>
          </w:tcPr>
          <w:p>
            <w:pPr>
              <w:spacing w:after="0"/>
              <w:rPr>
                <w:sz w:val="15"/>
                <w:szCs w:val="15"/>
                <w:color w:val="auto"/>
              </w:rPr>
            </w:pP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Common</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auto"/>
            </w:tcBorders>
            <w:gridSpan w:val="2"/>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29"/>
                <w:szCs w:val="29"/>
                <w:b w:val="1"/>
                <w:bCs w:val="1"/>
                <w:color w:val="auto"/>
                <w:w w:val="86"/>
                <w:vertAlign w:val="superscript"/>
              </w:rPr>
              <w:t>(3)</w:t>
            </w:r>
          </w:p>
        </w:tc>
        <w:tc>
          <w:tcPr>
            <w:tcW w:w="2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BurTech LP LLC</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Shahal Khan</w:t>
            </w:r>
            <w:r>
              <w:rPr>
                <w:rFonts w:ascii="Arial" w:cs="Arial" w:eastAsia="Arial" w:hAnsi="Arial"/>
                <w:sz w:val="29"/>
                <w:szCs w:val="29"/>
                <w:color w:val="auto"/>
                <w:vertAlign w:val="superscript"/>
              </w:rPr>
              <w:t>(2)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6"/>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Roman Livson</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Patrick Orlando</w:t>
            </w:r>
            <w:r>
              <w:rPr>
                <w:rFonts w:ascii="Arial" w:cs="Arial" w:eastAsia="Arial" w:hAnsi="Arial"/>
                <w:sz w:val="29"/>
                <w:szCs w:val="29"/>
                <w:color w:val="auto"/>
                <w:vertAlign w:val="superscript"/>
              </w:rPr>
              <w:t>(2)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6"/>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Isaac Chetrit</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Payel Farasat</w:t>
            </w:r>
            <w:r>
              <w:rPr>
                <w:rFonts w:ascii="Arial" w:cs="Arial" w:eastAsia="Arial" w:hAnsi="Arial"/>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Christopher Schroeder</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All executive officers and directors as a group (nine individuals)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Less than 1%</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 w:hanging="512"/>
        <w:spacing w:after="0" w:line="258"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these individuals is c/o BurTech Acquisition Corp., 1300 Pennsylvania Ave NW, Suite 700, Washington, DC 20004.</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 w:lineRule="exact"/>
        <w:rPr>
          <w:rFonts w:ascii="Arial" w:cs="Arial" w:eastAsia="Arial" w:hAnsi="Arial"/>
          <w:sz w:val="18"/>
          <w:szCs w:val="18"/>
          <w:color w:val="auto"/>
        </w:rPr>
      </w:pPr>
    </w:p>
    <w:p>
      <w:pPr>
        <w:ind w:left="520" w:right="200" w:hanging="512"/>
        <w:spacing w:after="0" w:line="250"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shares of Class B common stock, as well as placement shares after this offering (assumes the underwriters’ over-allotment option has not been exercised, and an aggregate of 1,237,500 founder shares have been forfeited by our sponsor). Founder shares are convertible into shares of Class A common stock on a one-for-one basis, subject to adjustment, as described in the section of this prospectus entitled “Description of Securities.”</w:t>
      </w:r>
    </w:p>
    <w:p>
      <w:pPr>
        <w:spacing w:after="0" w:line="1" w:lineRule="exact"/>
        <w:rPr>
          <w:rFonts w:ascii="Arial" w:cs="Arial" w:eastAsia="Arial" w:hAnsi="Arial"/>
          <w:sz w:val="18"/>
          <w:szCs w:val="18"/>
          <w:color w:val="auto"/>
        </w:rPr>
      </w:pPr>
    </w:p>
    <w:p>
      <w:pPr>
        <w:ind w:left="520" w:right="160" w:hanging="512"/>
        <w:spacing w:after="0" w:line="323" w:lineRule="auto"/>
        <w:tabs>
          <w:tab w:leader="none" w:pos="5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firstLine="324"/>
        <w:spacing w:after="0" w:line="287" w:lineRule="auto"/>
        <w:rPr>
          <w:sz w:val="20"/>
          <w:szCs w:val="20"/>
          <w:color w:val="auto"/>
        </w:rPr>
      </w:pPr>
      <w:r>
        <w:rPr>
          <w:rFonts w:ascii="Arial" w:cs="Arial" w:eastAsia="Arial" w:hAnsi="Arial"/>
          <w:sz w:val="16"/>
          <w:szCs w:val="16"/>
          <w:color w:val="auto"/>
        </w:rPr>
        <w:t>After giving effect to the issuance of founder shares and the sale of the placement units, our sponsor will own approximately 26.6% of the outstanding common stock following the offering (including the placement shares to be issued to the sponsor, excluding representative shares and assuming they do not purchase any units in this offering or the public market). Because of this ownership block, our initial stockholders and the holders of placement shares will have significant influence over the outcome of all matters requiring approval by our stockholders, including the election of directors, amendments to our amended and restated certificate of incorporation and approval of significant corporate transactions other than approval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The initial stockholders have agreed (A) to vote any shares owned by them in favor of any proposed initial business combination and (B) not to redeem any shares in connection with a stockholder vote to approve a proposed initial business combination.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sponsor, executive officers and directors are deemed to be our “promoters” as such term is defined under the federal securities laws.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Placement Units</w:t>
      </w:r>
    </w:p>
    <w:p>
      <w:pPr>
        <w:spacing w:after="0" w:line="22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founder shares, and placement units, and securities contained therein, are each subject to transfer restrictions pursuant to lock-up provisions in a letter agreement with us to be entered into by our sponsor, officers and directors. Those lock-up provisions provide that such securities are not transferable or salable (i) in the case of the founder shares (or shares of common stock issuable upon conversion thereof),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In the case of the placement units, including the component securities therein,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one of the members of the individual’s immediate family or to a trust, the beneficiary of which is a member of one of the individual’s immediate family, an affiliate of such person or to a charitable organization; (c) in the case of an individual, by virtue of laws of descent and distribution upon death of any of our officers, our directors, the initial stockholders or members of our sponsor; (d) in the case of an individual, pursuant to a qualified domestic relations order; (e) by private sales or transfers made in connection with the consummation of an initial business combination at prices no greater than the price at which the securities were originally purchased; (f) in the event of our liquidation prior to the completion of our initial business combination; (g) by virtue of the laws of Delaware or our sponsor’s limited liability company agreement upon dissolution of our sponsor; or (h) in the event of our liquidation, merger, capital stock exchange, reorganization or other similar transaction which results in all of our stockholders having the right to exchange their shares of common stock for cash, securities or other property subsequent to our completion of our initial business combination;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our sponsor with respect to such securities (including provisions relating to voting, the trust account and liquidating distributions described elsewhere in this prospectus).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holders of the founder shares, the representative shares, the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39" w:name="page140"/>
    <w:bookmarkEnd w:id="139"/>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Up to 1,237,500 founder shares held by our sponsor are subject to forfeiture by our sponsor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74" w:lineRule="exact"/>
        <w:rPr>
          <w:sz w:val="20"/>
          <w:szCs w:val="20"/>
          <w:color w:val="auto"/>
        </w:rPr>
      </w:pPr>
    </w:p>
    <w:p>
      <w:pPr>
        <w:ind w:right="660" w:firstLine="324"/>
        <w:spacing w:after="0" w:line="291" w:lineRule="auto"/>
        <w:rPr>
          <w:sz w:val="20"/>
          <w:szCs w:val="20"/>
          <w:color w:val="auto"/>
        </w:rPr>
      </w:pPr>
      <w:r>
        <w:rPr>
          <w:rFonts w:ascii="Arial" w:cs="Arial" w:eastAsia="Arial" w:hAnsi="Arial"/>
          <w:sz w:val="16"/>
          <w:szCs w:val="16"/>
          <w:color w:val="auto"/>
        </w:rPr>
        <w:t>Our sponsor has agreed to purchase an aggregate of 804,500 placement units at a price of $10.00 per unit for an aggregate purchase price of $8,045,000. If the over-allotment option is exercised in full, the amount of placement units sold will be 898,250 for an aggregate purchase price of</w:t>
      </w:r>
    </w:p>
    <w:p>
      <w:pPr>
        <w:ind w:right="200"/>
        <w:spacing w:after="0" w:line="323" w:lineRule="auto"/>
        <w:rPr>
          <w:sz w:val="20"/>
          <w:szCs w:val="20"/>
          <w:color w:val="auto"/>
        </w:rPr>
      </w:pPr>
      <w:r>
        <w:rPr>
          <w:rFonts w:ascii="Arial" w:cs="Arial" w:eastAsia="Arial" w:hAnsi="Arial"/>
          <w:sz w:val="16"/>
          <w:szCs w:val="16"/>
          <w:color w:val="auto"/>
        </w:rPr>
        <w:t>$8,982,500. There will be no redemption rights or liquidating distributions from the trust account with respect to the founder shares, placement shares or placement warrants, which will expire worthless if we do not consummate a business combination within 15 months from the closing of this offering.</w:t>
      </w:r>
    </w:p>
    <w:p>
      <w:pPr>
        <w:spacing w:after="0" w:line="13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6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As of September 30, 2021 and May 21, 2021, the Company had borrowed $100,091 and $100 under the promissory note. These loans are non-interest bearing, unsecured and are due at the earlier of December 31, 2021 or the closing of this offering. The loan will be repaid upon the closing of this offering out of the estimated $645,000 of offering proceeds that has been allocated to the payment of offering expenses (other than underwriting commissions). The value of our sponsor’s interest in this transaction corresponds to the principal amount outstanding under any such loan.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0" w:name="page141"/>
    <w:bookmarkEnd w:id="140"/>
    <w:p>
      <w:pPr>
        <w:ind w:right="100" w:firstLine="324"/>
        <w:spacing w:after="0" w:line="257"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w:t>
      </w:r>
    </w:p>
    <w:p>
      <w:pPr>
        <w:spacing w:after="0" w:line="18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sponsor, our officers and directors or their affiliates, if any, have not been determined and no written agreements exist with respect to such loans.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holders of the founder shares, the representative shares, placement units, and units that may be issued upon conversion of working capital loans (and in each case holders of their component securities, as applicable) will have registration rights to require us to register a sale of any of our securities held by them pursuant to a registration rights agreement to be signed prior to or on the effective date of this offering. These 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w:t>
      </w:r>
    </w:p>
    <w:p>
      <w:pPr>
        <w:spacing w:after="0" w:line="17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17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executive officers to complete a directors’ and officers’ questionnaire that elicits information about related party transactions.</w:t>
      </w:r>
    </w:p>
    <w:p>
      <w:pPr>
        <w:spacing w:after="0" w:line="17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1" w:name="page142"/>
    <w:bookmarkEnd w:id="141"/>
    <w:p>
      <w:pPr>
        <w:ind w:firstLine="324"/>
        <w:spacing w:after="0" w:line="290"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officers or directors prior to,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this offering held in the trust account prior to the completion of our initial business combination:</w:t>
      </w:r>
    </w:p>
    <w:p>
      <w:pPr>
        <w:spacing w:after="0" w:line="16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Repayment of up to an aggregate of $300,000 in loans made to us by our sponsor to cover offering-related and organizational expenses;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36" w:lineRule="exact"/>
        <w:rPr>
          <w:rFonts w:ascii="Arial" w:cs="Arial" w:eastAsia="Arial" w:hAnsi="Arial"/>
          <w:sz w:val="17"/>
          <w:szCs w:val="17"/>
          <w:color w:val="auto"/>
        </w:rPr>
      </w:pPr>
    </w:p>
    <w:p>
      <w:pPr>
        <w:ind w:left="660" w:hanging="328"/>
        <w:spacing w:after="0" w:line="25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Repayment of non-interest bearing loans which may be made by our sponsor or an affiliate of our sponsor or certain of our officers and directors to finance transaction costs in connection with an intended initial business combination and repayment of non-interest bearing loans which may be made by our sponsor or its affiliates to extend our time period for consummating a business combination, the terms of which (other than as described above) have not been determined nor have any written agreements been executed with respect thereto.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audit committee will review on a quarterly basis all payments that were made to our sponsor, officers, directors or our or their affiliates.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our amended and restated certificate of incorporation, our authorized capital stock consists of 280,000,000 shares of Class A common stock, $0.0001 par value per share, 20,000,000 shares of Class B common stock, $0.0001 par value per share, and 1,000,000 shares of undesignated preferred stock, $0.0001 par value per share. The following description summarizes the material terms of our capital stock. Because it is only a summary, it may not contain all the information that is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Each unit has an offering price of $10.00 and consists of one share of Class A common stock and one redeemable warrant. Each warrant entitles the holder to purchase one share of common stock. Pursuant to the warrant agreement, a warrant holder may exercise his, her or its warrants only for a whole number of shares of common stock. No fractional warrants will be issued upon separation of the units and only whole warrants will trade.</w:t>
      </w:r>
    </w:p>
    <w:p>
      <w:pPr>
        <w:spacing w:after="0" w:line="152"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We expect the Class A common stock and warrants comprising the units will begin separate trading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w:t>
      </w:r>
    </w:p>
    <w:p>
      <w:pPr>
        <w:spacing w:after="0" w:line="181"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In no event will the Class A common stock and warrants be traded separately until we have filed with the SEC a Current Report on Form 8-K which includes an audited balance sheet reflecting our receipt of the gross proceeds at the closing of this offering. We will file a Current Report on Form 8-K which includes this audited balance sheet upon the completion of this offering, which is anticipated to take place four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Units</w:t>
      </w:r>
    </w:p>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placement units are identical to the units sold in this offering except that the placement units and their component securities will not be transferable, assignable or salable until 30 days after the consummation of our initial business combination except to permitted transferees, and will be entitled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Upon the closing of this offering, 34,429,500 shares of our common stock will be outstanding (assuming no exercise of the underwriters’ over-allotment option and the corresponding forfeiture of 1,237,500 founder shares by our sponsor), consisting of:</w:t>
      </w:r>
    </w:p>
    <w:p>
      <w:pPr>
        <w:spacing w:after="0" w:line="17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25,804,500 shares of our Class A common stock underlying the units being offered in this offering and the private placement;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375,000 shares of Class A common stock issued to the Representative;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8,250,000 shares of Class B common stock held by our initial stockholders.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3" w:name="page144"/>
    <w:bookmarkEnd w:id="143"/>
    <w:p>
      <w:pPr>
        <w:ind w:left="340"/>
        <w:spacing w:after="0"/>
        <w:rPr>
          <w:sz w:val="20"/>
          <w:szCs w:val="20"/>
          <w:color w:val="auto"/>
        </w:rPr>
      </w:pPr>
      <w:r>
        <w:rPr>
          <w:rFonts w:ascii="Arial" w:cs="Arial" w:eastAsia="Arial" w:hAnsi="Arial"/>
          <w:sz w:val="17"/>
          <w:szCs w:val="17"/>
          <w:color w:val="auto"/>
        </w:rPr>
        <w:t>Our sponsor has agreed to purchase an aggregate of 804,500 placement units at a price of $10.00 per unit, for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$8,045,000. The initial stockholders will hold an aggregate of approximately 26.6% of the issued and outstanding common stock following the offering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expiration of the underwriters’ over-allotment option (including the placement shares to be issued to the sponsor, excluding representative shares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assuming they do not purchase any units in this offering or the public market). If we increase or decrease the size of the offering we will effect a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 or a share contribution back to capital or other appropriate mechanism, as applicable, with respect to our Class B common stock immediately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consummation of the offering in such amount as to maintain the ownership of our initial stockholders at 24.81% of the issued and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(excluding the shares of Class A common stock to be issued to the representative or its designees upon consummation of this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placement units and underlying securities of the foregoing and assuming they do not purchase any units in this offering) upon the consummation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1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7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Because our amended and restated certificate of incorporation authorizes the issuance of up to 280,000,000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stockholders vote on the initial business combination to the extent we seek stockholder approval in connection with our initial business combination.</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ind w:firstLine="324"/>
        <w:spacing w:after="0" w:line="283"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will enter into a letter agreement with us, pursuant to which they will agree to waive their redemption rights with respect to any founder shares and placement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requirements,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requirements,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The underwriters will have the same redemption rights as a public stockholder with respect to any public shares it acquires. The representative has informed us that it has no current commitments, plans or intentions to acquire any public shares for its own account; however, if they do acquire public shares, it will do so in the ordinary course of business or in the types of transaction described in the first paragraph under “Proposed Business — Effecting our Initial Business Combination — Permitted purchases of our securities.” The underwriters will not make any such purchases when in possession of any material nonpublic information not disclosed to the seller, during a restricted period under Regulation M under the Exchange Act, in transactions that would violate Section 9(a)(2) or Rule 10(b)-5 under the Exchange Act, or if prohibited by applicable state securities laws or broker-dealer regulations. To the extent our initial stockholders or purchasers of placement units transfer any of these securities to certain permitted transferees, such permitted transferees will agree, as a condition to such transfer, to waive these same redemption rights. Also, our sponsor has committed to purchase 804,500 placement units (or up to 898,250 placement units if the over-allotment option is exercised in full) at the price of $10.00 per unit in a private placement that will occur simultaneously with the completion of this offering. If we submit our initial business combination to our public stockholders for a vote, our sponsor, the other initial stockholders, our officers and our directors have agreed to vote their respective founder shares, placement shares and any public shares held by them in favor of our initial business combination.</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participation of our sponsor, officers, directors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19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If we seek stockholder approval in connection with our initial business combination, pursuant to the letter agreement our sponsor, officers and directors have agreed to vote any founder shares and placement shares held by them and any public shares they may acquire during or after this offering (including in open market and privately negotiated transactions) in favor of our initial business combination. As a result, in addition to our initial stockholders’ founder shares and placement shares, we would need no additional public shares sold in this offering to be voted in favor of an initial business combination (assuming only the minimum number of shares representing a quorum are voted) in order to have our initial business combination approved (assuming the over-allotment option is not exercised and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Additionally, each public stockholder may elect to redeem its public shares irrespective of whether they vote for or against the proposed transaction (subject to the limitation described in the preceding paragraph).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firstLine="324"/>
        <w:spacing w:after="0" w:line="268"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15 months from the closing of this offering,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Our sponsor, officers and directors will enter into a letter agreement with us, pursuant to which they will agree to waive their rights to liquidating distributions from the trust account with respect to any founder shares and placement shares held by them if we fail to complete our initial business combination within 15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8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 and Placement Shares</w:t>
      </w:r>
    </w:p>
    <w:p>
      <w:pPr>
        <w:spacing w:after="0" w:line="22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founder shares and placement shares are identical to the shares of Class A common stock included in the units being sold in this offering, and holders of founder shares and placement shares have the same stockholder rights as public stockholders, except that (i) the founder shares and placement shares are subject to certain transfer restrictions, as described in more detail below, (ii) our sponsor, officers and directors have entered into a letter agreement with us, pursuant to which they have agreed (A) to waive their redemption rights with respect to any founder shares and placement shares and any public shares held by them in connection with the completion of our initial business combination, (B) to waive their redemption rights with respect to their founder shares and placement shares and any public shares in connection with a stockholder vote to approve an amendment to our amended and restated certificate of incorporation (x)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15 months from the closing of this offering,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the consummation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and placement shares held by them and any public shares purchased during or after this offering (including in open market and privately negotiated transactions) in favor of our initial business combination. The placement shares will not be transferable, assignable or saleable until 30 days after the consummation of our initial business combination except to permitted transferees.</w:t>
      </w:r>
    </w:p>
    <w:p>
      <w:pPr>
        <w:spacing w:after="0" w:line="171"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24.81% of the sum of the total number of all shares of common stock outstanding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offering)plus all shares of Class A common stock and equity-linked securities issued or deemed issued in connection with the initial business combination (excluding any shares or equity-linked securities issued, or to be issued, to any seller in the initial business combination, any private placement-equivalent units and their underlying securities issued to our sponsor or its affiliates upon conversion of loans made to us). We cannot determine at this time whether a majority of the holders of our Class B common stock at the time of any future issuance would 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w:t>
      </w:r>
    </w:p>
    <w:p>
      <w:pPr>
        <w:ind w:right="160" w:firstLine="8"/>
        <w:spacing w:after="0" w:line="269" w:lineRule="auto"/>
        <w:tabs>
          <w:tab w:leader="none" w:pos="3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issues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8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ectPr>
          <w:pgSz w:w="11900" w:h="16838" w:orient="portrait"/>
          <w:cols w:equalWidth="0" w:num="1">
            <w:col w:w="11240"/>
          </w:cols>
          <w:pgMar w:left="320" w:top="908" w:right="339" w:bottom="0" w:gutter="0" w:footer="0" w:header="0"/>
        </w:sectPr>
      </w:pPr>
    </w:p>
    <w:bookmarkStart w:id="146" w:name="page147"/>
    <w:bookmarkEnd w:id="146"/>
    <w:p>
      <w:pPr>
        <w:ind w:firstLine="324"/>
        <w:spacing w:after="0" w:line="271" w:lineRule="auto"/>
        <w:rPr>
          <w:sz w:val="20"/>
          <w:szCs w:val="20"/>
          <w:color w:val="auto"/>
        </w:rPr>
      </w:pPr>
      <w:r>
        <w:rPr>
          <w:rFonts w:ascii="Arial" w:cs="Arial" w:eastAsia="Arial" w:hAnsi="Arial"/>
          <w:sz w:val="17"/>
          <w:szCs w:val="17"/>
          <w:color w:val="auto"/>
        </w:rPr>
        <w:t>Our amended and restated certificate of incorporation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Each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w:t>
      </w:r>
    </w:p>
    <w:p>
      <w:pPr>
        <w:spacing w:after="0" w:line="18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warrants will expire five years after the completion of our initial business combination, at 5:00 p.m., New York City time, or earlier upon redemption or liquidation.</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registration statement covering the shares of Class A common stock 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placement warrants, as well as any warrants underlying additional units we issue to our sponsor, officers, directors, initial stockholders or their affiliates in payment of working capital loans made to us, will be identical to the warrants underlying the units being offered by this prospectus, except that they will not be transferable, assignable or saleable until 30 days after the consummation of the initial business combination.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8" w:name="page149"/>
    <w:bookmarkEnd w:id="148"/>
    <w:p>
      <w:pPr>
        <w:ind w:left="660" w:right="220" w:hanging="328"/>
        <w:spacing w:after="0" w:line="286"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 and’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Class A common stock underlying such warrants.</w:t>
      </w:r>
    </w:p>
    <w:p>
      <w:pPr>
        <w:spacing w:after="0" w:line="2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Class A common stock for the 5 trading days ending on the third trading day prior to the date on which the notice of redemption is sent to the holders of warrants.</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this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written consent or vote, of the holders of at least 50% of the then outstanding public warrants in order to make any change that adversely affects the interests of the registered holders.</w:t>
      </w:r>
    </w:p>
    <w:p>
      <w:pPr>
        <w:spacing w:after="0" w:line="166" w:lineRule="exact"/>
        <w:rPr>
          <w:sz w:val="20"/>
          <w:szCs w:val="20"/>
          <w:color w:val="auto"/>
        </w:rPr>
      </w:pPr>
    </w:p>
    <w:p>
      <w:pPr>
        <w:jc w:val="both"/>
        <w:ind w:right="440" w:firstLine="324"/>
        <w:spacing w:after="0" w:line="311" w:lineRule="auto"/>
        <w:rPr>
          <w:sz w:val="20"/>
          <w:szCs w:val="20"/>
          <w:color w:val="auto"/>
        </w:rPr>
      </w:pPr>
      <w:r>
        <w:rPr>
          <w:rFonts w:ascii="Arial" w:cs="Arial" w:eastAsia="Arial" w:hAnsi="Arial"/>
          <w:sz w:val="16"/>
          <w:szCs w:val="16"/>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4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then the exercise price of the warrants will be adjusted (to the nearest cent) to be equal to 115% of the greater of (i) the Market Value or (ii) the Newly Issued Price, and the $18.00 per share redemption trigger price of the warrants will be adjusted (to the nearest cent) to be equal to 180% of the greater of (i) the Market Value or (ii) the Newly Issued Price.</w:t>
      </w:r>
    </w:p>
    <w:p>
      <w:pPr>
        <w:spacing w:after="0" w:line="19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24"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47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Placement warrants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placement warrants have terms and provisions that are identical to those of the warrants being sold as part of the units in this offering, including as to exercise price, exercisability and exercise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holders of our placement warrants are entitled to certain registration rights.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sponsor has agreed not to transfer, assign or sell any of the placement warrants (including the Class A common stock issuable upon exercise of any of these warrants) until the date that is 30 days after the date we complete our initial business combination, except among other limited exceptions as described under the section of this prospectus entitled “Principal Stockholders — Restrictions on Transfers of Founder Shares and Placement Warrants” made to our officers and directors and other persons or entities affiliated with our sponsor.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the securities underlying the placement units and assuming they do not purchase any units in this offering) upon the consummation of this offering. Further, if we incur any indebtedness,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65% of our common stock. Our initial stockholders, who will collectively beneficially own approximately 26.6%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78" w:lineRule="exact"/>
        <w:rPr>
          <w:sz w:val="20"/>
          <w:szCs w:val="20"/>
          <w:color w:val="auto"/>
        </w:rPr>
      </w:pPr>
    </w:p>
    <w:p>
      <w:pPr>
        <w:ind w:left="660" w:right="20" w:hanging="328"/>
        <w:spacing w:after="0" w:line="270"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15 months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entity that commonly renders valuation opinions that such an initial business combination is fair to our company from a financial point of view;</w:t>
      </w:r>
    </w:p>
    <w:p>
      <w:pPr>
        <w:spacing w:after="0" w:line="186" w:lineRule="exact"/>
        <w:rPr>
          <w:rFonts w:ascii="Arial" w:cs="Arial" w:eastAsia="Arial" w:hAnsi="Arial"/>
          <w:sz w:val="18"/>
          <w:szCs w:val="18"/>
          <w:color w:val="auto"/>
        </w:rPr>
      </w:pPr>
    </w:p>
    <w:p>
      <w:pPr>
        <w:ind w:left="660" w:right="20" w:hanging="328"/>
        <w:spacing w:after="0" w:line="273"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ind w:left="660" w:right="380" w:hanging="328"/>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ind w:left="660" w:hanging="328"/>
        <w:spacing w:after="0" w:line="272"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pre-business combination activity, we will provide our public stockholders with the opportunity to redeem all or a portion of their shares of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and</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3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under no circumstances will we redeem our public shares unless our net tangible assets are at least $5,000,001 either immediately prior to or upon consummation of our initial business combination and after payment of underwriters’ fees and commissions.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7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 “business combination” includes a merger or sale of more than 10% of our assets. However, the above provisions of Section 203 do not apply if:</w:t>
      </w:r>
    </w:p>
    <w:p>
      <w:pPr>
        <w:spacing w:after="0" w:line="237"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236" w:lineRule="exact"/>
        <w:rPr>
          <w:rFonts w:ascii="Arial" w:cs="Arial" w:eastAsia="Arial" w:hAnsi="Arial"/>
          <w:sz w:val="17"/>
          <w:szCs w:val="17"/>
          <w:color w:val="auto"/>
        </w:rPr>
      </w:pPr>
    </w:p>
    <w:p>
      <w:pPr>
        <w:ind w:left="660" w:right="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152" w:name="page153"/>
    <w:bookmarkEnd w:id="152"/>
    <w:p>
      <w:pPr>
        <w:jc w:val="both"/>
        <w:ind w:right="340" w:firstLine="324"/>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w:t>
      </w:r>
    </w:p>
    <w:p>
      <w:pPr>
        <w:spacing w:after="0" w:line="2" w:lineRule="exact"/>
        <w:rPr>
          <w:sz w:val="20"/>
          <w:szCs w:val="20"/>
          <w:color w:val="auto"/>
        </w:rPr>
      </w:pPr>
    </w:p>
    <w:p>
      <w:pPr>
        <w:ind w:right="20" w:firstLine="8"/>
        <w:spacing w:after="0" w:line="273" w:lineRule="auto"/>
        <w:tabs>
          <w:tab w:leader="none" w:pos="285"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7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right="220" w:firstLine="324"/>
        <w:spacing w:after="0" w:line="253"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nor earlier than the opening of</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board of directors will initially be divided into two classes, Class I and Class 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Immediately after the consummation of this offering (assuming no exercise of the underwriters’ over-allotment option) we will have 34,429,500 (or 39,567,000 if the underwriters’ over-allotment option is exercised in full) shares of common stock outstanding. Of these shares, the 25,000,000 shares (or 28,750,000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8,250,000 (or 9,487,500 if the underwriters’ over-allotment option is exercised in full) founder shares, all 804,500 placement units (or 898,250 if the underwriter’s over-allotment option is exercised in full, including component securities contained therein) and all 375,000 representative shares of Class A common stock (or 431,250 representative shares if the underwriters’ over-allotment option is exercised in full are restricted securities under Rule 144, in that they were issued in private transactions not involving a public offering, and the shares of Class B common stock, the placement units (including component securities contained therein) and the shares of Class A common stock partially comprising the representative shares issued upon consummation of this offering are subject to transfer restrictions as set forth elsewhere in this prospectus. These restricted securities will be entitled to registration rights as more fully described below under “— Registration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Pursuant to Rule 144, a person who has beneficially owned restricted shares of our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ind w:firstLine="324"/>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4" w:lineRule="exact"/>
        <w:rPr>
          <w:sz w:val="20"/>
          <w:szCs w:val="20"/>
          <w:color w:val="auto"/>
        </w:rPr>
      </w:pPr>
    </w:p>
    <w:p>
      <w:pPr>
        <w:ind w:left="660" w:right="14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 of the total number of shares of Class A and Class B common stock then outstanding, which will equal 344,295 shares immediately after this offering (or 395,670) if the underwriters exercise their over-allotment option in full); or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a result, our initial stockholders will be able to sell their founder shares and placement units (including component securities contained therein), as applicable, pursuant to Rule 144 without registration one year after we have completed our initial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 We will bear the expenses incurred in connection with the filing of any such registration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applied to list our units, Class A common stock and warrants on Nasdaq under the symbols “BRKHU,” “BRKH” and “BRKHW,” respectively. We expect that our units will be listed on Nasdaq on or promptly after the effective date of the registration statement. Following the date the shares of our Class A common stock and warrants are eligible to trade separately, we anticipate that the shares of our Class A common stock and warrants will be listed separately and as a unit on Nasdaq. We cannot guarantee that our securities will be approved for listing on Nasdaq.</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following discussion summarizes certain U.S. federal income tax considerations generally applicable to the acquisition, ownership and disposition of our units (each consisting of one share of our Class A common stock and one redeemable warrant to acquire one share of our Class A common stock)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share of our Class A common stock and the one warrant components of the unit. As a result, the discussion below with respect to holders of shares of our Class A common stock and warrants should also apply to holders of units (as the deemed owners of the underlying common stock and warrants that constitute the units).</w:t>
      </w:r>
    </w:p>
    <w:p>
      <w:pPr>
        <w:spacing w:after="0" w:line="1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a unit pursuant to this offering and hold the unit and each component of the unit as capital assets within the meaning of Section 1221(a) of the U.S. Internal Revenue Code of 1986, as amended (the “Code”) (generally, property held for investment). This discussion assumes that the shares of our Class A common stock and warrants will trade separately and that any distributions made (or deemed made) by us on the shares of our Class A common stock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or that is subject to special rules under the U.S. federal income tax laws, including, but not limited to:</w:t>
      </w:r>
    </w:p>
    <w:p>
      <w:pPr>
        <w:spacing w:after="0" w:line="178"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sponsor, officers, directors or other holders of our Class B common stock or private placement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banks and other 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taxpayers that are subject to the mark-to-market tax accounting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S-corporations, partnerships or other flow-through entities and investors therein;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qualified foreign pension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7" w:name="page158"/>
    <w:bookmarkEnd w:id="157"/>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 of the Code;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discussion below is based upon current provisions of the Code, applicable U.S. Treasury regulations promulgated under the Code (“Treasury Regulations”), judicial decisions and administrative rulings of the IRS, all as in effect on the date hereof, and all of which are subject to differing interpretations or change, possibly on a retroactive basis. Any such differing interpretations or change could alter the U.S. federal income tax consequences discussed below. Furthermore, this discussion does not address any aspect of U.S. federal non-income tax laws, such as gift, estate or Medicare contribution tax laws, or state, local or non-U.S. tax laws.</w:t>
      </w:r>
    </w:p>
    <w:p>
      <w:pPr>
        <w:spacing w:after="0" w:line="18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6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As used herein, the term “U.S. Holder” means a beneficial owner of units, shares of our Class A common stock or warrants that is for U.S. federal income tax purposes: (i) an individual who is a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under Treasury Regulations to be treated as a United States person.</w:t>
      </w:r>
    </w:p>
    <w:p>
      <w:pPr>
        <w:spacing w:after="0" w:line="19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This discussion does not consider the tax treatment of partnerships or other pass-through entities (including branches)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or a partnership holding our securities, we urge you to consult your own tax advisor.</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UNITS. EACH PROSPECTIVE INVESTOR IN OUR UNITS IS URGED TO CONSULT ITS OWN TAX ADVISOR WITH RESPECT TO THE PARTICULAR TAX CONSEQUENCES TO SUCH INVESTOR OF THE ACQUISITION, OWNERSHIP AND DISPOSITION OF OUR UNITS, INCLUDING THE APPLICABILITY AND EFFECT OF ANY STATE, LOCAL, AND NON-UNITED STATES TAX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i w:val="1"/>
          <w:iCs w:val="1"/>
          <w:color w:val="auto"/>
        </w:rPr>
        <w:t>Personal Holding Company Status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could be subject to a second level of U.S. federal income tax on a portion of our income if we are determined to be a personal holding company (a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common stock and one warrant, with each warrant exercisable to acquire one share of our Class A common stock, and we intend to treat the acquisition of a unit in this manner. For U.S. federal income tax purposes, each holder of a unit must allocate the purchase price paid by such holder for such unit among the one share of our Class A common stock and the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our Class A common stock and one warrant should constitute the holder’s initial tax basis in such share and one warrant, respectively. Any disposition of a unit should be treated for U.S. federal income tax purposes as a disposition of the share of our Class A common stock and one warrant comprising the unit, and the amount realized on the disposition should be allocated among the share of our Class A common stock and one warrant based on their respective relative fair market values at the time of disposition. Neither the separation of the share of our Class A common stock and the one warrant constituting a unit nor the combination of halves of warrants into a single warrant should be a taxable event for U.S. federal income tax purposes.</w:t>
      </w:r>
    </w:p>
    <w:p>
      <w:pPr>
        <w:spacing w:after="0" w:line="18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foregoing treatment of the shares of our Class A common stock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to U.S. Holders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shares of our Class A common stock. Any remaining excess will be treated as gain realized on the sale or other disposition of the shares of our Class A common stock and will be treated as described under “U.S. Holders — Gain or Loss on Sale, Taxable Exchange or Other Taxable Disposition of Our Class A Common Stock and Warrants” below.</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firstLine="324"/>
        <w:spacing w:after="0" w:line="253" w:lineRule="auto"/>
        <w:rPr>
          <w:sz w:val="20"/>
          <w:szCs w:val="20"/>
          <w:color w:val="auto"/>
        </w:rPr>
      </w:pPr>
      <w:r>
        <w:rPr>
          <w:rFonts w:ascii="Arial" w:cs="Arial" w:eastAsia="Arial" w:hAnsi="Arial"/>
          <w:sz w:val="18"/>
          <w:szCs w:val="18"/>
          <w:color w:val="auto"/>
        </w:rPr>
        <w:t>Dividends we pay to a corporate U.S. Holder generally will qualify for the dividends received deduction if certain holding period requirements are met. With certain exceptions (including, but not limited to, dividends treated as investment income for purposes of investment interest deduction limitations), and provided certain holding period requirements are met, dividends we pay to a non-corporate U.S. Holder will generally be taxed as qualified dividend income at the preferential tax rate for long-term capital gains. It is unclear whether the redemption rights with respect to the shares of our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met,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Our Securities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 U.S. Holder generally will recognize capital gain or loss on a sale or other taxable disposition of our shares of Class A common stock or warrants (including on our dissolution and liquidation if we do not complete an initial business combination within the required time period). Any such capital gain or loss generally will be long-term capital gain or loss if the U.S. Holder’s holding period for such shares of our Class A common stock or warrants exceeds one year. Long-term capital gains recognized by a non-corporate U.S. Holder are currently eligible to be taxed preferential rates. It is unclear, however, whether certain redemption rights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The deductibility of capital losses is subject to limitations.</w:t>
      </w:r>
    </w:p>
    <w:p>
      <w:pPr>
        <w:spacing w:after="0" w:line="16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shares of our Class A common stock or warrants are held as part of units at the time of the disposition, the portion of the amount realized on such disposition that is allocated to the shares of our Class A common stock or warrants based upon the then relative fair market values of the shares of our Class A common stock and the warrants included in the units) and (ii) the U.S. Holder’s adjusted tax basis in its shares of our Class A common stock or warrants so disposed of. A U.S. Holder’s adjusted tax basis in its shares of our Class A common stock and warrants generally will equal the U.S. Holder’s acquisition cost (that is, the portion of the purchase price of a unit allocated to a share of our Class A common stock or one warrant, as described above under “— Allocation of Purchase Price and Characterization of a Unit”) reduced, in the case of a share of our Class A common stock, by any prior distributions treated as a return of capital. See “U.S. Holders — Exercise, Lapse or Redemption of a Warrant” below for a discussion regarding a U.S. Holder’s tax basis in a share of our Class A common stock acquired pursuant to the exercise of a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In the event that a U.S. Holder’s shares of our Class A common stock are redeemed pursuant to the redemption provisions described in this prospectus under “Description of Securities — Common Stock” or if we purchase a U.S. Holder’s shares of our Class A common stock in an open market transaction (each referred to herein as a “redemption”), the treatment of the redemption for U.S. federal income tax purposes will depend on whether it qualifies as a sale or exchange of the shares of our Class A common stock under Section 302 of the Code. If the redemption qualifies as a sale or exchange of the shares of our Class A common stock under the tests described below, the U.S. Holder will be treated as described under “U.S. Holders — Gain or Loss on Sale, Taxable Exchange or Other Taxable Disposition of Our Class A Common Stock and Warrants” above. If the redemption does not qualify as a sale or exchange of the shares of our Class A common stock, the U.S. Holder will be treated as receiving a corporate distribution with the tax consequences described above under “U.S. Holders — Taxation of Distributions.” Whether a redemption qualifies for sale or exchange treatment will depend largely on the total number of our shares treated as held by the U.S. Holder (including any shares constructively owned by the U.S. Holder as described in the following paragraph) relative to all of our shares outstanding both before and after such redemption. The redemption of our Class A common stock generally will be treated as a sale or exchange of the shares of our Class A common stock (rather than as a corporate distribution) if, within the meaning of Section 302 of the Code, such redemption (i) is “substantially disproportionate” with respect to the U.S. Holder, (ii) results in a “complete termination” of the U.S. Holder’s interest in us or (iii) is “not essentially equivalent to a dividend” with respect to the U.S. Holder.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firstLine="324"/>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must take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shares of our Class A common stock which could be acquired pursuant to the exercise of the warrants. In order to meet the “substantially disproportionate” test, the percentage of our outstanding voting shares actually and constructively owned by the U.S. Holder immediately following the redemption of shares of our Class A common stock must, among other requirements, be less than 80% of the percentage of our outstanding voting stock actually and constructively owned by the U.S. Holder immediately before the redemption. Prior to our initial business combination, the shares of our Class A common stock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 stock. The redemption of the shares of our Class A common stock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A U.S. Holder should consult with its own tax advisors as to the tax consequences of a redemption.</w:t>
      </w:r>
    </w:p>
    <w:p>
      <w:pPr>
        <w:spacing w:after="0" w:line="174"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“U.S. Holders — Taxation of Distributions” above. After the application of those rules, any remaining tax basis of the U.S. Holder in the redeemed shares of our Class A common stock will be added to the U.S. Holder’s adjusted tax basis in its remaining shares, or, if it has none, to the U.S. Holder’s adjusted tax basis in its warrants or possibly in other stock constructively owned by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Except as discussed below with respect to the cashless exercise of a warrant, a U.S. Holder generally will not recognize gain or loss upon the acquisition of a share of our Class A common stock on the exercise of a warrant for cash. A U.S. Holder’s initial tax basis in a share of our Class A common stock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of such warrant. It is unclear whether a U.S. Holder’s holding period for the share of our Class A common stock received upon exercise of the warrants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tax consequences of a cashless exercise of a warrant are not clear under current law. A cashless exercise may not be taxable, either because the exercise is not a realization event or because the exercise is treated as a “recapitalization” for U.S. federal income tax purposes. In either situation, a U.S. Holder’s tax basis in the shares of our Class A common stock received generally would equal the U.S. Holder’s tax basis in the warrants exercised therefor. If the cashless exercise were not a realization event, it is unclear whether a U.S. Holder’s holding period for the shares of our Class A common stock will commence on the date of exercise of the warrant or the day following the date of exercise of the warrant. If the cashless exercise were treated as a recapitalization, the holding period of the shares of our Class A common stock would include the holding period of the warrants exercised therefor.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1" w:name="page162"/>
    <w:bookmarkEnd w:id="161"/>
    <w:p>
      <w:pPr>
        <w:ind w:right="40" w:firstLine="324"/>
        <w:spacing w:after="0" w:line="269" w:lineRule="auto"/>
        <w:rPr>
          <w:sz w:val="20"/>
          <w:szCs w:val="20"/>
          <w:color w:val="auto"/>
        </w:rPr>
      </w:pPr>
      <w:r>
        <w:rPr>
          <w:rFonts w:ascii="Arial" w:cs="Arial" w:eastAsia="Arial" w:hAnsi="Arial"/>
          <w:sz w:val="17"/>
          <w:szCs w:val="17"/>
          <w:color w:val="auto"/>
        </w:rPr>
        <w:t>It is also possible that a cashless exercise could be treated in whole or in part as a taxable exchange in which gain or loss would be recognized. In such event, a U.S. Holder could be deemed to have surrendered a number of warrants having an aggregate value (as measured by the excess of the fair market value of our Class A common stock over the exercise price of the warrants) equal to the exercise price for the total number of warrants to be exercised (</w:t>
      </w:r>
      <w:r>
        <w:rPr>
          <w:rFonts w:ascii="Arial" w:cs="Arial" w:eastAsia="Arial" w:hAnsi="Arial"/>
          <w:sz w:val="17"/>
          <w:szCs w:val="17"/>
          <w:i w:val="1"/>
          <w:iCs w:val="1"/>
          <w:color w:val="auto"/>
        </w:rPr>
        <w:t>i.e.</w:t>
      </w:r>
      <w:r>
        <w:rPr>
          <w:rFonts w:ascii="Arial" w:cs="Arial" w:eastAsia="Arial" w:hAnsi="Arial"/>
          <w:sz w:val="17"/>
          <w:szCs w:val="17"/>
          <w:color w:val="auto"/>
        </w:rPr>
        <w:t>, the warrants underlying the number of shares of our Class A common stock actually received by the U.S. Holder pursuant to the cashless exercise). The U.S. Holder would recognize capital gain or loss in an amount equal to the difference between the value of the warrants deemed surrendered and the U.S. Holder’s tax basis in such warrants. Such gain or loss would be long-term or short-term, depending on the U.S. Holder’s holding period in the warrants deemed surrendered. In this case, a U.S. Holder’s tax basis in the Class A common stock received would equal the sum of the U.S. Holder’s tax basis in the warrants exercised and the exercise price of such warrants.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Alternative characterizations are also possible (including as a taxable exchange of all of the warrants surrendered by the U.S. Holder for shares of our Class A common stock received upon exercise). 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Our Class A Common Stock and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subject to tax as described under “U.S. Holders — Taxation of Distributions” above in the same manner as if the 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section applies to “Non-U.S. Holders.” As used herein, the term “Non-U.S. Holder” means a beneficial owner of our units, Class A common stock or warrants that is not a U.S. Holder and is not a partnership or other entity classified as a partnership for U.S. federal income tax purposes, but such term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Provided such dividends are not effectively connected with the Non-U.S. Holder’s conduct of a trade or business within the United States (or, if required pursuant to an applicable income tax treaty, are not attributable to a permanent establishment of fixed base maintained by the Non-U.S. Holder 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shares of our Class A common stock, which will be treated as described under “Non-U.S. Holders — Gain on Sale, Taxable Exchange or Other Taxable Disposition of Our Securities” below. In addition, if we determine that we are or are likely to be classified as a “United States real property holding corporation” (see “Non-U.S. Holders — Gain on Sale, Taxable Exchange or Other Taxable Disposition of Our Securities” below), we will withhold 15% of any distribution that exceeds our current and accumulated earnings and profits, including a distribution in redemption of shares of our Class A common stock. See also “Non-U.S. Holders — Possible Constructive Distributions” for potential U.S. federal tax consequences with respect to constructive distributions.</w:t>
      </w:r>
    </w:p>
    <w:p>
      <w:pPr>
        <w:spacing w:after="0" w:line="176" w:lineRule="exact"/>
        <w:rPr>
          <w:sz w:val="20"/>
          <w:szCs w:val="20"/>
          <w:color w:val="auto"/>
        </w:rPr>
      </w:pPr>
    </w:p>
    <w:p>
      <w:pPr>
        <w:ind w:right="400" w:firstLine="324"/>
        <w:spacing w:after="0" w:line="291" w:lineRule="auto"/>
        <w:rPr>
          <w:sz w:val="20"/>
          <w:szCs w:val="20"/>
          <w:color w:val="auto"/>
        </w:rPr>
      </w:pPr>
      <w:r>
        <w:rPr>
          <w:rFonts w:ascii="Arial" w:cs="Arial" w:eastAsia="Arial" w:hAnsi="Arial"/>
          <w:sz w:val="16"/>
          <w:szCs w:val="16"/>
          <w:color w:val="auto"/>
        </w:rPr>
        <w:t>Dividends that we pay to a Non-U.S. Holder that are effectively connected with such Non-U.S. Holder’s conduct of a trade or business within the United States (and, if a tax treaty applies, are attributable to a permanent establishment or fixed base maintained by the Non-U.S. Holder in the</w:t>
      </w:r>
    </w:p>
    <w:p>
      <w:pPr>
        <w:ind w:right="100"/>
        <w:spacing w:after="0" w:line="295" w:lineRule="auto"/>
        <w:rPr>
          <w:sz w:val="20"/>
          <w:szCs w:val="20"/>
          <w:color w:val="auto"/>
        </w:rPr>
      </w:pPr>
      <w:r>
        <w:rPr>
          <w:rFonts w:ascii="Arial" w:cs="Arial" w:eastAsia="Arial" w:hAnsi="Arial"/>
          <w:sz w:val="16"/>
          <w:szCs w:val="16"/>
          <w:color w:val="auto"/>
        </w:rPr>
        <w:t>United States) will not be subject to U.S. withholding tax, provided such Non-U.S. Holder complies with certain certification and disclosure requirements (usually by providing an IRS Form W-8ECI). Instead, the effectively connected dividends will be subject to regular U.S. federal income tax as if the Non-U.S. Holder were a U.S. resident, unless an applicable income tax treaty provides otherwise. A Non-U.S. Holder that is a foreign corporation receiving effectively connected dividends may also be subject to an additional “branch profits tax” imposed at a rate of 30% (or a lower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a U.S. Holder, as described under “U.S. Holders — Exercise, Lapse or Redemption of a Warrant” above, although to the extent a cashless exercise results in a taxable exchange, the consequences would be similar to those described below under “Non-U.S. Holders — Gain on Sale, Taxable Exchange or Other Taxable Disposition of Our Securities.” The U.S. federal income tax treatment for a Non-U.S. Holder of a redemption of warrants for cash (or if we purchase warrants in an open market transaction) would be similar to that described below in “Non-U.S. Holders — Gain on Sale, Taxable Exchange or Other Taxable Disposition of Our Securities.”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i w:val="1"/>
          <w:iCs w:val="1"/>
          <w:color w:val="auto"/>
        </w:rPr>
        <w:t>Gain on Sale, Taxable Exchange or Other Taxable Disposition of Our Securities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shares of our Class A common stock (including upon a dissolution and liquidation if we do not complete an initial business combination within the required time period) or warrants (including an expiration or redemption of our warrants), in each case without regard to whether such securities were held as part of a unit, unless:</w:t>
      </w:r>
    </w:p>
    <w:p>
      <w:pPr>
        <w:spacing w:after="0" w:line="171" w:lineRule="exact"/>
        <w:rPr>
          <w:sz w:val="20"/>
          <w:szCs w:val="20"/>
          <w:color w:val="auto"/>
        </w:rPr>
      </w:pPr>
    </w:p>
    <w:p>
      <w:pPr>
        <w:ind w:left="660" w:right="480" w:hanging="328"/>
        <w:spacing w:after="0" w:line="34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or</w:t>
      </w:r>
    </w:p>
    <w:p>
      <w:pPr>
        <w:spacing w:after="0" w:line="123" w:lineRule="exact"/>
        <w:rPr>
          <w:rFonts w:ascii="Arial" w:cs="Arial" w:eastAsia="Arial" w:hAnsi="Arial"/>
          <w:sz w:val="16"/>
          <w:szCs w:val="16"/>
          <w:color w:val="auto"/>
        </w:rPr>
      </w:pPr>
    </w:p>
    <w:p>
      <w:pPr>
        <w:ind w:left="660" w:right="40" w:hanging="328"/>
        <w:spacing w:after="0" w:line="271"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 These rules may be modified for Non-U.S. Holders of warrants. If we are or have been a “United States real property holding corporation” and you own warrants, you are urged to consult your own tax advisor regarding the application of these rules.</w:t>
      </w:r>
    </w:p>
    <w:p>
      <w:pPr>
        <w:spacing w:after="0" w:line="17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generally be subject to tax at the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disposition of our Class A common stock or warrants will generally be subject to tax at applicable U.S. federal income tax rates as if the Non-U.S. Holder were a U.S. resident.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In general, 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225"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auto"/>
        </w:rPr>
        <w:t>The characterization for U.S. federal income tax purposes of the redemption of a Non-U.S. Holder’s shares of our Class A common stock pursuant to the redemption provisions described in the section of this prospectus entitled “Description of Securities — Common Stock” will generally correspond to the U.S. federal income tax characterization of such a redemption of a U.S. Holder’s shares of our Class A common stock, as described under “U.S.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 Redemption of Our Class A Common Stock” above, and the consequences of the redemption to the Non-U.S. Holder will be as described above under “Non-U.S. Holders — Taxation of Distributions” and “Non-U.S. Holders — Gain on Sale, Taxable Exchange or Other Taxable Disposition of Our Securities,” as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Non-U.S.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taxed as described under “Non-U.S. Holders — Taxation of Distributions” above, in the same manner as if the Non-U.S. Holders of the warrants received a cash distribution from us equal to the fair market value of such increased interest resulting from the adjustment.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Dividend payments (including constructive dividends) with respect to our Class A common stock and proceeds from the sale, exchange or redemption of shares of our Class A common stock or warrants may be subject to information reporting to the IRS and possible United States backup withholding. Backup withholding will not apply, however, to payments made to a U.S. Holder who furnishes a correct taxpayer identification number and makes other required certifications, or who is otherwise exempt from backup withholding and establishes such exempt status. Payments made to a Non-U.S. Holder generally will not be subject to backup withholding if the Non-U.S. Holder provides certification of its foreign status, under penalties of perjury, on a duly executed applicable IRS Form W-8 or by otherwise establishing an exemption.</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credited against a holder’s U.S. federal income tax liability, and a holder generally may obtain a refund of any excess amounts withheld by timely filing the appropriate claim for refund with the IRS and furnishing any required information. All holders should consult their tax advisors regarding the application of information reporting and backup withholding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Taxes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to as the “Foreign Account Tax Compliance Act” or “FATCA”) generally impose withholding of 30% in certain circumstances on payments of dividends (including constructive dividends) and, subject to the proposed Treasury Regulations discussed below, on proceeds from sales or other disposition of our securities paid to “foreign financial institutions” (which is broadly defined for this purpose and includes investment vehicles) and certain other non-U.S. entities unless various U.S. information reporting and due diligence requirements (relating to ownership by U.S. persons of interests in or accounts with those entities) have been satisfied or an exemption applies (typically certified as to by the delivery of a properly completed IRS Form W-8BEN-E). If FATCA withholding is imposed, a beneficial owner that is not a foreign financial institution will be entitled to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Similarly, dividends and, subject to the proposed Treasury Regulations discussed below, proceeds from sales or other disposition in respect of our units held by an investor that is a non-financial non-U.S. entity that does not qualify under certain exceptions generally will be subject to withholding at a rate of 30%, unless such entity either (i) certifies to us or the applicable withholding agent that such entity does not have any “substantial United States owners” or (ii) provides certain information regarding the entity’s “substantial United States owners,” which will in turn be provided to the U.S. Department of the Treasury. The U.S. Department of the Treasury has proposed regulations which eliminate the federal withholding tax of 30% applicable to the gross proceeds of a sale or other disposition of our securities. Withholding agents may rely on the proposed Treasury Regulations until final regulations are issued. Prospective investors should consult their tax advisors regarding the possible effects of FATCA on their investment in our securities.</w:t>
      </w:r>
    </w:p>
    <w:p>
      <w:pPr>
        <w:spacing w:after="0" w:line="17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CLASS A COMMON STOCK AND WARRANTS, INCLUDING THE TAX CONSEQUENCES UNDER STATE, LOCAL, ESTATE, NON-U.S. AND OTHER TAX LAWS AND TAX TREATIES AND THE POSSIBLE EFFECTS OF CHANGES IN U.S. OR OTHER TAX LAWS.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representative is acting as the sole book-running manager of the offering and as representative of the underwriters named below. Subject to the terms and conditions of the underwriting agreement dated the date of this prospectus, the underwriters named below, through the representative, have severally agreed to purchase, and we have agreed to sell to the underwriters, the following respective number of units set forth opposite the underwriter’s name.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23"/>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 Hutton, division of Benchmark Investments, LLC</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25,000,000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25,000,000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Any units sold by the underwriters to securities dealers may be sold at a discount from the initial public offering price not to exceed $0.45 per unit. If all of the units are not sold at the initial offering price, the underwriters may change the offering price and the other selling terms. The underwriters have advised us that they do not intend to make sales to discretionary accounts.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If the underwriters sell more units than the total number set forth in the table above, we have granted to the underwriters an option, exercisable for 45 days from the date of this prospectus, to purchase up to 3,750,000 additional units at the public offering price less the underwriting discount. The underwriters may exercise this option solely for the purpose of covering over-allotments, if any, in connection with this offering. Any units issued or sold under the option will be issued and sold on the same terms and conditions as the other units that are the subject of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Agreements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the representative,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units, shares of common stock, warrants or any securities convertible into, or exercisable, or exchangeable for, shares of common stock, (ii) enter into any swap or other arrangement that transfers to another, in whole or in part, any of the economic consequences of ownership of any units, shares of common stock, warrants or any securities convertible into, or exercisable, or exchangeable for, shares of common stock, whether any such transaction is to be settled by delivery of such securities, in cash or otherwise, or (iii) publicly announce any intention to effect any transaction specified in clause (i) or (ii), subject to certain exceptions. The representative in its sole discretion may release any of the securities subject to the lock-up agreement at any time without notice, other than in the case of the officers and directors, which shall be with notice. Our sponsor, officers and directors are also subject to separate transfer restrictions on their founder shares and placement units pursuant to the letter agreement as described herein.</w:t>
      </w:r>
    </w:p>
    <w:p>
      <w:pPr>
        <w:spacing w:after="0" w:line="18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initial stockholders have agreed not to transfer, assign or sell any of their founder shares (or shares of common stock issuable upon conversion thereof)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(except with respect to permitted transferees as described herein under the section of this prospectus entitled “Principal Stockholders — Restrictions on Transfers of Founder Shares and Placement Units”).</w:t>
      </w:r>
    </w:p>
    <w:p>
      <w:pPr>
        <w:spacing w:after="0" w:line="192"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 placement units, placement shares and placement warrants (including the Class A common stock issuable upon exercise of the placement warrants) will not be transferable, assignable or salable until 30 days after the completion of our initial business combination (except with respect to permitted transferees as described herein under the section of this prospectus entitled “Principal Stockholders — Restrictions on Transfers of Founder Shares and Placement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Prior to this offering, there has been no public market for our securities. Consequently, the initial public offering price for the units was determined by negotiations between us and the underwriters.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We have applied to list our units on Nasdaq under the symbol “BRKHU.” We cannot guarantee that our securities will be approved for listing on Nasdaq. We expect that our units will be listed on Nasdaq on or promptly after the date of this prospectus. We expect that our Class A common stock and warrants will be listed under the symbols “BRKH” and “BRKHW,” respectively, once the Class A common stock and warrants begin separate trading.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 The upfront portion of the underwriting discounts and commissions will be $0.10 per unit.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6"/>
          </w:tcPr>
          <w:p>
            <w:pPr>
              <w:ind w:left="460"/>
              <w:spacing w:after="0"/>
              <w:rPr>
                <w:sz w:val="20"/>
                <w:szCs w:val="20"/>
                <w:color w:val="auto"/>
              </w:rPr>
            </w:pPr>
            <w:r>
              <w:rPr>
                <w:rFonts w:ascii="Arial" w:cs="Arial" w:eastAsia="Arial" w:hAnsi="Arial"/>
                <w:sz w:val="18"/>
                <w:szCs w:val="18"/>
                <w:b w:val="1"/>
                <w:bCs w:val="1"/>
                <w:color w:val="auto"/>
              </w:rPr>
              <w:t>Payable by BurTech</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ind w:left="580"/>
              <w:spacing w:after="0"/>
              <w:rPr>
                <w:sz w:val="20"/>
                <w:szCs w:val="20"/>
                <w:color w:val="auto"/>
              </w:rPr>
            </w:pPr>
            <w:r>
              <w:rPr>
                <w:rFonts w:ascii="Arial" w:cs="Arial" w:eastAsia="Arial" w:hAnsi="Arial"/>
                <w:sz w:val="18"/>
                <w:szCs w:val="18"/>
                <w:b w:val="1"/>
                <w:bCs w:val="1"/>
                <w:color w:val="auto"/>
              </w:rPr>
              <w:t>Acquisition Corp.</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No Exercise</w:t>
            </w:r>
          </w:p>
        </w:tc>
        <w:tc>
          <w:tcPr>
            <w:tcW w:w="3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Full Exercise</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Per Unit</w:t>
            </w:r>
            <w:r>
              <w:rPr>
                <w:rFonts w:ascii="Arial" w:cs="Arial" w:eastAsia="Arial" w:hAnsi="Arial"/>
                <w:sz w:val="28"/>
                <w:szCs w:val="28"/>
                <w:color w:val="auto"/>
                <w:vertAlign w:val="superscript"/>
              </w:rPr>
              <w:t>(1)</w:t>
            </w:r>
          </w:p>
        </w:tc>
        <w:tc>
          <w:tcPr>
            <w:tcW w:w="3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line="284" w:lineRule="exact"/>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60" w:type="dxa"/>
            <w:vAlign w:val="bottom"/>
            <w:vMerge w:val="continue"/>
          </w:tcPr>
          <w:p>
            <w:pPr>
              <w:spacing w:after="0"/>
              <w:rPr>
                <w:sz w:val="22"/>
                <w:szCs w:val="22"/>
                <w:color w:val="auto"/>
              </w:rPr>
            </w:pPr>
          </w:p>
        </w:tc>
        <w:tc>
          <w:tcPr>
            <w:tcW w:w="3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11,250,000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12,937,500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hanging="332"/>
        <w:spacing w:after="0" w:line="311"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$0.35 per unit, or $8,750,000 (or $10,062,500 if the underwriters’ over-allotment option is exercised in full) in the aggregate payable to the underwriters for deferred underwriting commissions to be placed in a trust account located in the United States as described herein. The deferred commissions will be released to the representative only on completion of an initial business combination as described in this prospectus.</w:t>
      </w:r>
    </w:p>
    <w:p>
      <w:pPr>
        <w:spacing w:after="0" w:line="14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If we do not complete our initial business combination and subsequently liquidate, the underwriters have agreed that (i) they will forfeit any rights or claims to their deferred underwriting discounts and commissions, including any accrued interest thereon, then in the trust account upon liquidation, and</w:t>
      </w:r>
    </w:p>
    <w:p>
      <w:pPr>
        <w:ind w:right="80" w:firstLine="8"/>
        <w:spacing w:after="0" w:line="260" w:lineRule="auto"/>
        <w:tabs>
          <w:tab w:leader="none" w:pos="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deferred underwriters’ discounts and commissions will be distributed on a pro rata basis, including interest earned on the funds held in the trust account and not previously released to us to pay our taxes to the public stockholders.</w:t>
      </w:r>
    </w:p>
    <w:p>
      <w:pPr>
        <w:spacing w:after="0" w:line="18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addition to the underwriting discount, we have agreed to pay or reimburse the underwriters for bound volumes in form and style reasonably satisfactory to the Representative and transaction Lucite cubes or similar commemorative items in a style as reasonably requested by the Representative, reimbursement for background checks on our directors and executive officers, the reasonable fees of counsel of the Underwriters and other expenses, all subject to a maximum aggregate expense reimbursement of $50,000.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agreed to issue to the representative or its designees 375,000 shares (or 431,250 shares if the underwriters’ over-allotment option is exercised in full) of our Class A common stock upon the consummation of this offering. We refer to such shares of Class A common stock as the “representative shares.”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 from the closing of this offering.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right="20" w:firstLine="324"/>
        <w:spacing w:after="0" w:line="272"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7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“Shares Eligible for Future Sale — Registration Rights.” Notwithstanding anything to the contrary, under FINRA Rule 5110(g)(8), the underwriters and/or their designees may only make a demand registration on one occasion during the five-year period beginning on the effective date of the registration statement of which this prospectus is a part, and the underwriters and/or their designees may participate in a “piggy-back” registration only during the seven-year period beginning on the effective date of the registration statement of which this prospectus is a part.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Subject to certain conditions, we granted the representative, for a period of 15 months after the date of the consummation of our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us or any of our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civil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Sales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184" w:lineRule="exact"/>
        <w:rPr>
          <w:sz w:val="20"/>
          <w:szCs w:val="20"/>
          <w:color w:val="auto"/>
        </w:rPr>
      </w:pPr>
    </w:p>
    <w:p>
      <w:pPr>
        <w:ind w:left="720" w:hanging="388"/>
        <w:spacing w:after="0"/>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Short sales involve secondary market sales by the underwriters of a greater number of units than it is required to purchase in the offering.</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“Covered” short sales are sales of units in an amount up to the number of units represented by the underwriters’ over-allotment option.</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“Naked” short sales are sales of units in an amount in excess of the number of units represented by the underwriters’ over-allotment option.</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8" w:name="page169"/>
    <w:bookmarkEnd w:id="168"/>
    <w:p>
      <w:pPr>
        <w:ind w:left="720" w:hanging="388"/>
        <w:spacing w:after="0" w:line="277"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Covering transactions involve purchases of units either pursuant to the over-allotment option or in the open market after the distribution has been completed in order to cover short positions.</w:t>
      </w:r>
    </w:p>
    <w:p>
      <w:pPr>
        <w:spacing w:after="0" w:line="170" w:lineRule="exact"/>
        <w:rPr>
          <w:rFonts w:ascii="Arial" w:cs="Arial" w:eastAsia="Arial" w:hAnsi="Arial"/>
          <w:sz w:val="18"/>
          <w:szCs w:val="18"/>
          <w:color w:val="auto"/>
        </w:rPr>
      </w:pPr>
    </w:p>
    <w:p>
      <w:pPr>
        <w:ind w:left="720" w:right="20" w:hanging="388"/>
        <w:spacing w:after="0" w:line="286" w:lineRule="auto"/>
        <w:tabs>
          <w:tab w:leader="none" w:pos="7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65" w:lineRule="exact"/>
        <w:rPr>
          <w:rFonts w:ascii="Arial" w:cs="Arial" w:eastAsia="Arial" w:hAnsi="Arial"/>
          <w:sz w:val="17"/>
          <w:szCs w:val="17"/>
          <w:color w:val="auto"/>
        </w:rPr>
      </w:pPr>
    </w:p>
    <w:p>
      <w:pPr>
        <w:ind w:left="720" w:right="140" w:hanging="388"/>
        <w:spacing w:after="0" w:line="259"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86" w:lineRule="exact"/>
        <w:rPr>
          <w:rFonts w:ascii="Arial" w:cs="Arial" w:eastAsia="Arial" w:hAnsi="Arial"/>
          <w:sz w:val="18"/>
          <w:szCs w:val="18"/>
          <w:color w:val="auto"/>
        </w:rPr>
      </w:pPr>
    </w:p>
    <w:p>
      <w:pPr>
        <w:ind w:left="720" w:hanging="388"/>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Purchases to cover short positions and stabilizing purchases, as well as other purchases by the underwriters for their own account,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it may discontinue them at any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estimate that our portion of the total expenses of this offering payable by us will be $645,000, excluding underwriting discounts and commissions.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reimburse the underwriters for expenses and fees of up to $50,000.</w:t>
      </w:r>
    </w:p>
    <w:p>
      <w:pPr>
        <w:spacing w:after="0" w:line="2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Affiliations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underwriters and their respective affiliates are financial institutions engaged in various activities, which may include, among other things, securities trading, commercial and investment banking, financial advisory, investment management, financing and brokerage activities. Such underwriters and their affiliates have in the past, in the ordinary course of business, provided certain of these services to affiliates of the sponsor, and have arrangements in place whereby they may currently or in the future provide such services to affiliates of the sponsor, for which they have received and may receive customary fees, interest, commissions and other compensation.</w:t>
      </w:r>
    </w:p>
    <w:p>
      <w:pPr>
        <w:spacing w:after="0" w:line="18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an initial business combination.</w:t>
      </w:r>
    </w:p>
    <w:p>
      <w:pPr>
        <w:spacing w:after="0" w:line="17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underwriters and their affiliates may in the future engage in, investment banking and other commercial dealings in the ordinary course of business with us or our affiliates, for which it may in the future receive, customary fees and commissions for any such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pursuant to the offering to the public in that relevant state prior to the publication of a prospectus in relation to the units that has been approved by the competent authority in that relevant state or, where appropriate, approved in another relevant state and notified to the competent authority in that relevant state, all in accordance with the Prospectus Regulation, except that offers of our units may be made to the public in that relevant state at any time under the following exemptions under the Prospectus Regulation:</w:t>
      </w:r>
    </w:p>
    <w:p>
      <w:pPr>
        <w:spacing w:after="0" w:line="188"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provided that no such offer of units shall require the issuer or the representative to publish a prospectus pursuant to Article 3 of the Prospectus Regulation or supplement a prospectus pursuant to Article 23 of the Prospectus Regulation.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ind w:right="200" w:firstLine="324"/>
        <w:spacing w:after="0" w:line="342" w:lineRule="auto"/>
        <w:rPr>
          <w:sz w:val="20"/>
          <w:szCs w:val="20"/>
          <w:color w:val="auto"/>
        </w:rPr>
      </w:pPr>
      <w:r>
        <w:rPr>
          <w:rFonts w:ascii="Arial" w:cs="Arial" w:eastAsia="Arial" w:hAnsi="Arial"/>
          <w:sz w:val="16"/>
          <w:szCs w:val="16"/>
          <w:color w:val="auto"/>
        </w:rPr>
        <w:t>Each person in a relevant state who initially acquires any units or to whom any offer is made will be deemed to have represented, acknowledged and agreed to and with the Company and the representative that it is a qualified investor within the meaning of the Prospectus Regulation.</w:t>
      </w:r>
    </w:p>
    <w:p>
      <w:pPr>
        <w:spacing w:after="0" w:line="12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case of any units being offered to a financial intermediary as that term is used in Article 5(1) of the Prospectus Regulation, each such financial intermediary will be deemed to have represented, acknowledged and agreed that the units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88"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We, the representative and each of our and the representative’s respective affiliates will rely upon the truth and accuracy of the foregoing representations, acknowledgements and agreements.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References to the Prospectus Regulation include, in relation to the United Kingdom, the Prospectus Regulation as it forms part of United Kingdom domestic law by virtue of the European Union (Withdrawal) Act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connection with the offering, the representative is not acting for anyone other than the issuer and will not be responsible to anyone other than the issuer for providing the protections afforded to its clients nor for providing advice in relation to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prospectus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87"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1" w:name="page172"/>
    <w:bookmarkEnd w:id="171"/>
    <w:p>
      <w:pPr>
        <w:ind w:left="3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660" w:right="12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25" w:lineRule="exact"/>
        <w:rPr>
          <w:rFonts w:ascii="Arial" w:cs="Arial" w:eastAsia="Arial" w:hAnsi="Arial"/>
          <w:sz w:val="18"/>
          <w:szCs w:val="18"/>
          <w:color w:val="auto"/>
        </w:rPr>
      </w:pPr>
    </w:p>
    <w:p>
      <w:pPr>
        <w:ind w:left="660" w:right="300" w:hanging="328"/>
        <w:spacing w:after="0" w:line="342"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units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units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units which are or are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units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units,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2" w:name="page173"/>
    <w:bookmarkEnd w:id="172"/>
    <w:p>
      <w:pPr>
        <w:ind w:left="340"/>
        <w:spacing w:after="0"/>
        <w:rPr>
          <w:sz w:val="20"/>
          <w:szCs w:val="20"/>
          <w:color w:val="auto"/>
        </w:rPr>
      </w:pPr>
      <w:r>
        <w:rPr>
          <w:rFonts w:ascii="Arial" w:cs="Arial" w:eastAsia="Arial" w:hAnsi="Arial"/>
          <w:sz w:val="18"/>
          <w:szCs w:val="18"/>
          <w:color w:val="auto"/>
        </w:rPr>
        <w:t>Where the units are subscribed or purchased under Section 275 of the SFA by a relevant person which is:</w:t>
      </w:r>
    </w:p>
    <w:p>
      <w:pPr>
        <w:spacing w:after="0" w:line="225" w:lineRule="exact"/>
        <w:rPr>
          <w:sz w:val="20"/>
          <w:szCs w:val="20"/>
          <w:color w:val="auto"/>
        </w:rPr>
      </w:pPr>
    </w:p>
    <w:p>
      <w:pPr>
        <w:ind w:left="660" w:right="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units pursuant to an offer made under Section 275 of the SFA except:</w:t>
      </w:r>
    </w:p>
    <w:p>
      <w:pPr>
        <w:spacing w:after="0" w:line="184" w:lineRule="exact"/>
        <w:rPr>
          <w:sz w:val="20"/>
          <w:szCs w:val="20"/>
          <w:color w:val="auto"/>
        </w:rPr>
      </w:pPr>
    </w:p>
    <w:p>
      <w:pPr>
        <w:ind w:left="660" w:right="10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units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w:t>
      </w:r>
    </w:p>
    <w:p>
      <w:pPr>
        <w:spacing w:after="0" w:line="1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Prospective purchasers of the securities offered should conduct their own due diligence on the securities. If you do not understand the contents of this prospectus you should consult an authorized financial advisor.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6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7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4" w:name="page175"/>
    <w:bookmarkEnd w:id="174"/>
    <w:p>
      <w:pPr>
        <w:ind w:right="40" w:firstLine="324"/>
        <w:spacing w:after="0" w:line="284"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93"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Loeb &amp; Loeb LLP, New York, New York, is acting as counsel in connection with the registration of our securities under the Securities Act, and as such, will pass upon the validity of the securities offered in this prospectus. Certain legal matters will be passed upon on behalf of the underwriters by Lucosky Brookman LLP,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financial statements of BurTech Acquisition Corp. as of May 21, 2021, and for the period from March 2, 2021 (inception) through May 21, 2021 appearing in this prospectus have been audited by Marcum LLP, independent registered public accounting firm, as stated in their report herein (which contains an explanatory paragraph relating to substantial doubt about the ability of BurTech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Borders>
              <w:bottom w:val="single" w:sz="8" w:color="CCEEFF"/>
            </w:tcBorders>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120" w:type="dxa"/>
            <w:vAlign w:val="bottom"/>
            <w:gridSpan w:val="10"/>
            <w:shd w:val="clear" w:color="auto" w:fill="CCEEFF"/>
          </w:tcPr>
          <w:p>
            <w:pPr>
              <w:spacing w:after="0" w:line="169" w:lineRule="exact"/>
              <w:rPr>
                <w:rFonts w:ascii="Arial" w:cs="Arial" w:eastAsia="Arial" w:hAnsi="Arial"/>
                <w:sz w:val="18"/>
                <w:szCs w:val="18"/>
                <w:color w:val="0000EE"/>
              </w:rPr>
            </w:pPr>
            <w:hyperlink w:anchor="page178">
              <w:r>
                <w:rPr>
                  <w:rFonts w:ascii="Arial" w:cs="Arial" w:eastAsia="Arial" w:hAnsi="Arial"/>
                  <w:sz w:val="18"/>
                  <w:szCs w:val="18"/>
                  <w:color w:val="0000EE"/>
                </w:rPr>
                <w:t>Report of Independent Registered Public Accounting Firm</w:t>
              </w:r>
            </w:hyperlink>
          </w:p>
        </w:tc>
        <w:tc>
          <w:tcPr>
            <w:tcW w:w="1120" w:type="dxa"/>
            <w:vAlign w:val="bottom"/>
            <w:gridSpan w:val="3"/>
            <w:shd w:val="clear" w:color="auto" w:fill="CCEEFF"/>
          </w:tcPr>
          <w:p>
            <w:pPr>
              <w:jc w:val="center"/>
              <w:spacing w:after="0" w:line="169"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F-2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0"/>
          </w:tcPr>
          <w:p>
            <w:pPr>
              <w:spacing w:after="0" w:line="176" w:lineRule="exact"/>
              <w:rPr>
                <w:rFonts w:ascii="Arial" w:cs="Arial" w:eastAsia="Arial" w:hAnsi="Arial"/>
                <w:sz w:val="18"/>
                <w:szCs w:val="18"/>
                <w:color w:val="0000EE"/>
              </w:rPr>
            </w:pPr>
            <w:hyperlink w:anchor="page179">
              <w:r>
                <w:rPr>
                  <w:rFonts w:ascii="Arial" w:cs="Arial" w:eastAsia="Arial" w:hAnsi="Arial"/>
                  <w:sz w:val="18"/>
                  <w:szCs w:val="18"/>
                  <w:color w:val="0000EE"/>
                </w:rPr>
                <w:t>Balance Sheets as of September 30, 2021 (unaudited) and May 21, 2021</w:t>
              </w:r>
            </w:hyperlink>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F-3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98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180">
              <w:r>
                <w:rPr>
                  <w:rFonts w:ascii="Arial" w:cs="Arial" w:eastAsia="Arial" w:hAnsi="Arial"/>
                  <w:sz w:val="18"/>
                  <w:szCs w:val="18"/>
                  <w:color w:val="0000EE"/>
                  <w:w w:val="91"/>
                </w:rPr>
                <w:t>Statements of Operations for the period from March 2, 2021 (inception) through September 30, 2021 (unaudited) and for the period from</w:t>
              </w:r>
            </w:hyperlink>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March 2, 2021 (inception) through May 21, 2021</w:t>
              </w:r>
            </w:hyperlink>
          </w:p>
        </w:tc>
        <w:tc>
          <w:tcPr>
            <w:tcW w:w="6380" w:type="dxa"/>
            <w:vAlign w:val="bottom"/>
            <w:gridSpan w:val="7"/>
            <w:shd w:val="clear" w:color="auto" w:fill="CCEEFF"/>
          </w:tcPr>
          <w:p>
            <w:pPr>
              <w:spacing w:after="0"/>
              <w:rPr>
                <w:sz w:val="17"/>
                <w:szCs w:val="17"/>
                <w:color w:val="auto"/>
              </w:rPr>
            </w:pPr>
          </w:p>
        </w:tc>
        <w:tc>
          <w:tcPr>
            <w:tcW w:w="1120" w:type="dxa"/>
            <w:vAlign w:val="bottom"/>
            <w:gridSpan w:val="3"/>
            <w:shd w:val="clear" w:color="auto" w:fill="CCEEFF"/>
          </w:tcPr>
          <w:p>
            <w:pPr>
              <w:jc w:val="center"/>
              <w:spacing w:after="0" w:line="196"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F-4</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0"/>
          </w:tcPr>
          <w:p>
            <w:pPr>
              <w:spacing w:after="0" w:line="176" w:lineRule="exact"/>
              <w:rPr>
                <w:rFonts w:ascii="Arial" w:cs="Arial" w:eastAsia="Arial" w:hAnsi="Arial"/>
                <w:sz w:val="18"/>
                <w:szCs w:val="18"/>
                <w:color w:val="0000EE"/>
                <w:w w:val="94"/>
              </w:rPr>
            </w:pPr>
            <w:hyperlink w:anchor="page181">
              <w:r>
                <w:rPr>
                  <w:rFonts w:ascii="Arial" w:cs="Arial" w:eastAsia="Arial" w:hAnsi="Arial"/>
                  <w:sz w:val="18"/>
                  <w:szCs w:val="18"/>
                  <w:color w:val="0000EE"/>
                  <w:w w:val="94"/>
                </w:rPr>
                <w:t>Statements of Changes in Stockholder’s Equity for the period from March 2, 2021 (inception) through September 30, 2021 (unaudited)</w:t>
              </w:r>
            </w:hyperlink>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and for the period from March 2, 2021 (inception) through May 21, 2021</w:t>
              </w:r>
            </w:hyperlink>
          </w:p>
        </w:tc>
        <w:tc>
          <w:tcPr>
            <w:tcW w:w="400" w:type="dxa"/>
            <w:vAlign w:val="bottom"/>
            <w:gridSpan w:val="3"/>
          </w:tcPr>
          <w:p>
            <w:pPr>
              <w:spacing w:after="0"/>
              <w:rPr>
                <w:sz w:val="17"/>
                <w:szCs w:val="17"/>
                <w:color w:val="auto"/>
              </w:rPr>
            </w:pPr>
          </w:p>
        </w:tc>
        <w:tc>
          <w:tcPr>
            <w:tcW w:w="1120" w:type="dxa"/>
            <w:vAlign w:val="bottom"/>
            <w:gridSpan w:val="3"/>
          </w:tcPr>
          <w:p>
            <w:pPr>
              <w:jc w:val="center"/>
              <w:spacing w:after="0" w:line="196" w:lineRule="exact"/>
              <w:rPr>
                <w:rFonts w:ascii="Arial" w:cs="Arial" w:eastAsia="Arial" w:hAnsi="Arial"/>
                <w:sz w:val="18"/>
                <w:szCs w:val="18"/>
                <w:color w:val="0000EE"/>
                <w:w w:val="88"/>
              </w:rPr>
            </w:pPr>
            <w:hyperlink w:anchor="page181">
              <w:r>
                <w:rPr>
                  <w:rFonts w:ascii="Arial" w:cs="Arial" w:eastAsia="Arial" w:hAnsi="Arial"/>
                  <w:sz w:val="18"/>
                  <w:szCs w:val="18"/>
                  <w:color w:val="0000EE"/>
                  <w:w w:val="88"/>
                </w:rPr>
                <w:t>F-5</w:t>
              </w:r>
            </w:hyperlink>
          </w:p>
        </w:tc>
      </w:tr>
      <w:tr>
        <w:trPr>
          <w:trHeight w:val="21"/>
        </w:trPr>
        <w:tc>
          <w:tcPr>
            <w:tcW w:w="180" w:type="dxa"/>
            <w:vAlign w:val="bottom"/>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10120" w:type="dxa"/>
            <w:vAlign w:val="bottom"/>
            <w:gridSpan w:val="10"/>
            <w:shd w:val="clear" w:color="auto" w:fill="CCEEFF"/>
          </w:tcPr>
          <w:p>
            <w:pPr>
              <w:spacing w:after="0" w:line="176" w:lineRule="exact"/>
              <w:rPr>
                <w:rFonts w:ascii="Arial" w:cs="Arial" w:eastAsia="Arial" w:hAnsi="Arial"/>
                <w:sz w:val="18"/>
                <w:szCs w:val="18"/>
                <w:color w:val="0000EE"/>
                <w:w w:val="92"/>
              </w:rPr>
            </w:pPr>
            <w:hyperlink w:anchor="page182">
              <w:r>
                <w:rPr>
                  <w:rFonts w:ascii="Arial" w:cs="Arial" w:eastAsia="Arial" w:hAnsi="Arial"/>
                  <w:sz w:val="18"/>
                  <w:szCs w:val="18"/>
                  <w:color w:val="0000EE"/>
                  <w:w w:val="92"/>
                </w:rPr>
                <w:t>Statements of Cash Flows for the period from March 2, 2021 (inception) through September 30, 2021 (unaudited) and for the period from</w:t>
              </w:r>
            </w:hyperlink>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35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w w:val="92"/>
              </w:rPr>
            </w:pPr>
            <w:hyperlink w:anchor="page182">
              <w:r>
                <w:rPr>
                  <w:rFonts w:ascii="Arial" w:cs="Arial" w:eastAsia="Arial" w:hAnsi="Arial"/>
                  <w:sz w:val="18"/>
                  <w:szCs w:val="18"/>
                  <w:color w:val="0000EE"/>
                  <w:w w:val="92"/>
                </w:rPr>
                <w:t>March 2, 2021 (inception) through May 21, 2021</w:t>
              </w:r>
            </w:hyperlink>
          </w:p>
        </w:tc>
        <w:tc>
          <w:tcPr>
            <w:tcW w:w="6180" w:type="dxa"/>
            <w:vAlign w:val="bottom"/>
            <w:tcBorders>
              <w:top w:val="single" w:sz="8" w:color="0000EE"/>
            </w:tcBorders>
            <w:gridSpan w:val="6"/>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3"/>
            <w:shd w:val="clear" w:color="auto" w:fill="CCEEFF"/>
          </w:tcPr>
          <w:p>
            <w:pPr>
              <w:jc w:val="center"/>
              <w:spacing w:after="0" w:line="196" w:lineRule="exact"/>
              <w:rPr>
                <w:rFonts w:ascii="Arial" w:cs="Arial" w:eastAsia="Arial" w:hAnsi="Arial"/>
                <w:sz w:val="18"/>
                <w:szCs w:val="18"/>
                <w:color w:val="0000EE"/>
                <w:w w:val="88"/>
              </w:rPr>
            </w:pPr>
            <w:hyperlink w:anchor="page182">
              <w:r>
                <w:rPr>
                  <w:rFonts w:ascii="Arial" w:cs="Arial" w:eastAsia="Arial" w:hAnsi="Arial"/>
                  <w:sz w:val="18"/>
                  <w:szCs w:val="18"/>
                  <w:color w:val="0000EE"/>
                  <w:w w:val="88"/>
                </w:rPr>
                <w:t>F-6</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0"/>
          </w:tcPr>
          <w:p>
            <w:pPr>
              <w:spacing w:after="0" w:line="176" w:lineRule="exact"/>
              <w:rPr>
                <w:rFonts w:ascii="Arial" w:cs="Arial" w:eastAsia="Arial" w:hAnsi="Arial"/>
                <w:sz w:val="18"/>
                <w:szCs w:val="18"/>
                <w:color w:val="0000EE"/>
              </w:rPr>
            </w:pPr>
            <w:hyperlink w:anchor="page183">
              <w:r>
                <w:rPr>
                  <w:rFonts w:ascii="Arial" w:cs="Arial" w:eastAsia="Arial" w:hAnsi="Arial"/>
                  <w:sz w:val="18"/>
                  <w:szCs w:val="18"/>
                  <w:color w:val="0000EE"/>
                </w:rPr>
                <w:t>Notes to Financial Statements</w:t>
              </w:r>
            </w:hyperlink>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83">
              <w:r>
                <w:rPr>
                  <w:rFonts w:ascii="Arial" w:cs="Arial" w:eastAsia="Arial" w:hAnsi="Arial"/>
                  <w:sz w:val="18"/>
                  <w:szCs w:val="18"/>
                  <w:color w:val="0000EE"/>
                  <w:w w:val="88"/>
                </w:rPr>
                <w:t>F-7</w:t>
              </w:r>
            </w:hyperlink>
          </w:p>
        </w:tc>
      </w:tr>
      <w:tr>
        <w:trPr>
          <w:trHeight w:val="669"/>
        </w:trPr>
        <w:tc>
          <w:tcPr>
            <w:tcW w:w="180" w:type="dxa"/>
            <w:vAlign w:val="bottom"/>
            <w:tcBorders>
              <w:top w:val="single" w:sz="8" w:color="0000EE"/>
              <w:bottom w:val="single" w:sz="8" w:color="auto"/>
            </w:tcBorders>
          </w:tcPr>
          <w:p>
            <w:pPr>
              <w:spacing w:after="0"/>
              <w:rPr>
                <w:sz w:val="24"/>
                <w:szCs w:val="24"/>
                <w:color w:val="auto"/>
              </w:rPr>
            </w:pPr>
          </w:p>
        </w:tc>
        <w:tc>
          <w:tcPr>
            <w:tcW w:w="1980" w:type="dxa"/>
            <w:vAlign w:val="bottom"/>
            <w:tcBorders>
              <w:top w:val="single" w:sz="8" w:color="0000EE"/>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F-1</w:t>
            </w:r>
          </w:p>
        </w:tc>
        <w:tc>
          <w:tcPr>
            <w:tcW w:w="44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7" w:name="page178"/>
    <w:bookmarkEnd w:id="17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audited the accompanying balance sheet of BurTech Acquisition Corp. (the “Company”) as of May 21, 2021, the related statements of operations, changes in stockholder’s equity and cash flows for the period from March 2, 2021 (inception) through May 21, 2021, and the related notes (collectively referred to as the “financial statements”). In our opinion, the financial statements present fairly, in all material respects, the financial position of the Company as of May 21, 2021, and the results of its operations and its cash flows for the period from March 2, 2021 (inception) through May 21, 2021,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no working capital and needs to raise additional funds to meet its obligations and sustain its operations.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2021, except for Note 8, as to which the date is October 13, 2021</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September 30,</w:t>
      </w:r>
    </w:p>
    <w:p>
      <w:pPr>
        <w:spacing w:after="0" w:line="27" w:lineRule="exact"/>
        <w:rPr>
          <w:sz w:val="20"/>
          <w:szCs w:val="20"/>
          <w:color w:val="auto"/>
        </w:rPr>
      </w:pPr>
    </w:p>
    <w:p>
      <w:pPr>
        <w:ind w:left="8880"/>
        <w:spacing w:after="0"/>
        <w:tabs>
          <w:tab w:leader="none" w:pos="99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5715</wp:posOffset>
            </wp:positionV>
            <wp:extent cx="17056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ind w:left="8620"/>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Current Asset - Cash</w:t>
            </w:r>
          </w:p>
        </w:tc>
        <w:tc>
          <w:tcPr>
            <w:tcW w:w="3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25,100</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25,100</w:t>
            </w: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3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24,500</w:t>
            </w:r>
          </w:p>
        </w:tc>
      </w:tr>
      <w:tr>
        <w:trPr>
          <w:trHeight w:val="26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49,600</w:t>
            </w:r>
          </w:p>
        </w:tc>
        <w:tc>
          <w:tcPr>
            <w:tcW w:w="100" w:type="dxa"/>
            <w:vAlign w:val="bottom"/>
            <w:tcBorders>
              <w:bottom w:val="single" w:sz="8" w:color="CCEEFF"/>
            </w:tcBorders>
          </w:tcPr>
          <w:p>
            <w:pPr>
              <w:spacing w:after="0"/>
              <w:rPr>
                <w:sz w:val="22"/>
                <w:szCs w:val="22"/>
                <w:color w:val="auto"/>
              </w:rPr>
            </w:pPr>
          </w:p>
        </w:tc>
      </w:tr>
      <w:tr>
        <w:trPr>
          <w:trHeight w:val="197"/>
        </w:trPr>
        <w:tc>
          <w:tcPr>
            <w:tcW w:w="51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offering costs and expenses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66,510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r>
    </w:tbl>
    <w:p>
      <w:pPr>
        <w:spacing w:after="0" w:line="20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6)</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8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Class A common stock, $0.0001 par value; 280,000,000 shares authorized; none issued and outstanding</w:t>
            </w:r>
          </w:p>
        </w:tc>
        <w:tc>
          <w:tcPr>
            <w:tcW w:w="1840" w:type="dxa"/>
            <w:vAlign w:val="bottom"/>
          </w:tcPr>
          <w:p>
            <w:pPr>
              <w:ind w:left="10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ind w:left="640"/>
              <w:spacing w:after="0" w:line="201" w:lineRule="exact"/>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Class B common stock, $0.0001 par value; 20,000,000 shares authorized; 9,487,500 shares issued and</w:t>
            </w:r>
          </w:p>
        </w:tc>
        <w:tc>
          <w:tcPr>
            <w:tcW w:w="1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00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p>
      <w:pPr>
        <w:spacing w:after="0" w:line="185" w:lineRule="auto"/>
        <w:rPr>
          <w:sz w:val="20"/>
          <w:szCs w:val="20"/>
          <w:color w:val="auto"/>
        </w:rPr>
      </w:pPr>
      <w:r>
        <w:rPr>
          <w:rFonts w:ascii="Arial" w:cs="Arial" w:eastAsia="Arial" w:hAnsi="Arial"/>
          <w:sz w:val="18"/>
          <w:szCs w:val="18"/>
          <w:color w:val="auto"/>
        </w:rPr>
        <w:t>outstanding</w:t>
      </w:r>
      <w:r>
        <w:rPr>
          <w:rFonts w:ascii="Arial" w:cs="Arial" w:eastAsia="Arial" w:hAnsi="Arial"/>
          <w:sz w:val="29"/>
          <w:szCs w:val="29"/>
          <w:color w:val="auto"/>
          <w:vertAlign w:val="superscript"/>
        </w:rPr>
        <w:t>(1) (2)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Additional paid-in capital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660" w:hanging="1442"/>
        <w:spacing w:after="0"/>
        <w:tabs>
          <w:tab w:leader="none" w:pos="1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949</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24,051</w:t>
      </w:r>
      <w:r>
        <w:rPr>
          <w:rFonts w:ascii="Arial" w:cs="Arial" w:eastAsia="Arial" w:hAnsi="Arial"/>
          <w:sz w:val="16"/>
          <w:szCs w:val="16"/>
          <w:color w:val="auto"/>
        </w:rPr>
        <w:t>24,051</w:t>
      </w:r>
    </w:p>
    <w:p>
      <w:pPr>
        <w:spacing w:after="0" w:line="9"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(500)</w:t>
      </w:r>
      <w:r>
        <w:rPr>
          <w:rFonts w:ascii="Arial" w:cs="Arial" w:eastAsia="Arial" w:hAnsi="Arial"/>
          <w:sz w:val="17"/>
          <w:szCs w:val="17"/>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-130810</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480" w:space="720"/>
            <w:col w:w="204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18"/>
                <w:szCs w:val="18"/>
                <w:color w:val="auto"/>
              </w:rPr>
            </w:pP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 w:hanging="328"/>
        <w:spacing w:after="0" w:line="25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9" w:name="page180"/>
    <w:bookmarkEnd w:id="179"/>
    <w:p>
      <w:pPr>
        <w:ind w:left="426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0"/>
              </w:rPr>
              <w:t>For the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4"/>
              </w:rPr>
              <w:t>from March 2,</w:t>
            </w:r>
          </w:p>
        </w:tc>
        <w:tc>
          <w:tcPr>
            <w:tcW w:w="80" w:type="dxa"/>
            <w:vAlign w:val="bottom"/>
          </w:tcPr>
          <w:p>
            <w:pPr>
              <w:spacing w:after="0"/>
              <w:rPr>
                <w:sz w:val="18"/>
                <w:szCs w:val="18"/>
                <w:color w:val="auto"/>
              </w:rPr>
            </w:pPr>
          </w:p>
        </w:tc>
        <w:tc>
          <w:tcPr>
            <w:tcW w:w="134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4"/>
              </w:rPr>
              <w:t>from March 2,</w:t>
            </w: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1"/>
              </w:rPr>
              <w:t>(Inception)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(Inception) to</w:t>
            </w:r>
          </w:p>
        </w:tc>
      </w:tr>
      <w:tr>
        <w:trPr>
          <w:trHeight w:val="234"/>
        </w:trPr>
        <w:tc>
          <w:tcPr>
            <w:tcW w:w="2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4"/>
              </w:rPr>
              <w:t>May 21, 2021</w:t>
            </w:r>
          </w:p>
        </w:tc>
      </w:tr>
      <w:tr>
        <w:trPr>
          <w:trHeight w:val="209"/>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w:t>
            </w:r>
          </w:p>
        </w:tc>
      </w:tr>
      <w:tr>
        <w:trPr>
          <w:trHeight w:val="249"/>
        </w:trPr>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loss</w:t>
            </w:r>
          </w:p>
        </w:tc>
        <w:tc>
          <w:tcPr>
            <w:tcW w:w="19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282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500" w:type="dxa"/>
            <w:vAlign w:val="bottom"/>
            <w:gridSpan w:val="2"/>
          </w:tcPr>
          <w:p>
            <w:pPr>
              <w:spacing w:after="0" w:line="243" w:lineRule="exact"/>
              <w:rPr>
                <w:sz w:val="20"/>
                <w:szCs w:val="20"/>
                <w:color w:val="auto"/>
              </w:rPr>
            </w:pPr>
            <w:r>
              <w:rPr>
                <w:rFonts w:ascii="Arial" w:cs="Arial" w:eastAsia="Arial" w:hAnsi="Arial"/>
                <w:sz w:val="17"/>
                <w:szCs w:val="17"/>
                <w:b w:val="1"/>
                <w:bCs w:val="1"/>
                <w:color w:val="auto"/>
              </w:rPr>
              <w:t>Basic and diluted weighted average shares outstanding</w:t>
            </w:r>
            <w:r>
              <w:rPr>
                <w:rFonts w:ascii="Arial" w:cs="Arial" w:eastAsia="Arial" w:hAnsi="Arial"/>
                <w:sz w:val="28"/>
                <w:szCs w:val="28"/>
                <w:b w:val="1"/>
                <w:bCs w:val="1"/>
                <w:color w:val="auto"/>
                <w:vertAlign w:val="superscript"/>
              </w:rPr>
              <w:t>(1)(2)</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8,250,000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8,250,000</w:t>
            </w:r>
          </w:p>
        </w:tc>
      </w:tr>
      <w:tr>
        <w:trPr>
          <w:trHeight w:val="197"/>
        </w:trPr>
        <w:tc>
          <w:tcPr>
            <w:tcW w:w="65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common share</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2820" w:type="dxa"/>
            <w:vAlign w:val="bottom"/>
            <w:tcBorders>
              <w:bottom w:val="single" w:sz="8" w:color="auto"/>
            </w:tcBorders>
          </w:tcPr>
          <w:p>
            <w:pPr>
              <w:spacing w:after="0"/>
              <w:rPr>
                <w:sz w:val="21"/>
                <w:szCs w:val="21"/>
                <w:color w:val="auto"/>
              </w:rPr>
            </w:pPr>
          </w:p>
        </w:tc>
        <w:tc>
          <w:tcPr>
            <w:tcW w:w="36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69" w:lineRule="exact"/>
        <w:rPr>
          <w:sz w:val="20"/>
          <w:szCs w:val="20"/>
          <w:color w:val="auto"/>
        </w:rPr>
      </w:pPr>
    </w:p>
    <w:p>
      <w:pPr>
        <w:ind w:left="660" w:right="40" w:hanging="328"/>
        <w:spacing w:after="0" w:line="258"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 2021 (INCEPTION) THROUGH SEPTEMBER 30, 2021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PERIOD FROM MARCH 2, 2021 (INCEPTION) THROUGH MAY 21,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000" w:type="dxa"/>
            <w:vAlign w:val="bottom"/>
          </w:tcPr>
          <w:p>
            <w:pPr>
              <w:jc w:val="center"/>
              <w:ind w:left="39"/>
              <w:spacing w:after="0"/>
              <w:rPr>
                <w:sz w:val="20"/>
                <w:szCs w:val="20"/>
                <w:color w:val="auto"/>
              </w:rPr>
            </w:pPr>
            <w:r>
              <w:rPr>
                <w:rFonts w:ascii="Arial" w:cs="Arial" w:eastAsia="Arial" w:hAnsi="Arial"/>
                <w:sz w:val="16"/>
                <w:szCs w:val="16"/>
                <w:b w:val="1"/>
                <w:bCs w:val="1"/>
                <w:color w:val="auto"/>
                <w:w w:val="88"/>
              </w:rPr>
              <w:t>Class B</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00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00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81"/>
              </w:rPr>
              <w:t>Shares</w:t>
            </w:r>
            <w:r>
              <w:rPr>
                <w:rFonts w:ascii="Arial" w:cs="Arial" w:eastAsia="Arial" w:hAnsi="Arial"/>
                <w:sz w:val="26"/>
                <w:szCs w:val="26"/>
                <w:b w:val="1"/>
                <w:bCs w:val="1"/>
                <w:color w:val="auto"/>
                <w:w w:val="81"/>
                <w:vertAlign w:val="superscript"/>
              </w:rPr>
              <w:t>(1)(2)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March 2, 2021 (inception)</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Class B common stock issued to Sponsors</w:t>
            </w:r>
          </w:p>
        </w:tc>
        <w:tc>
          <w:tcPr>
            <w:tcW w:w="1000" w:type="dxa"/>
            <w:vAlign w:val="bottom"/>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Balance as of May 21,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Balance as of September 30, 2021 (unaudited)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24,500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660" w:right="80" w:hanging="328"/>
        <w:spacing w:after="0" w:line="25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426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the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from March 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2021 (Inception)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from March 2,</w:t>
            </w: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to September 30,</w:t>
            </w:r>
          </w:p>
        </w:tc>
        <w:tc>
          <w:tcPr>
            <w:tcW w:w="80" w:type="dxa"/>
            <w:vAlign w:val="bottom"/>
          </w:tcPr>
          <w:p>
            <w:pPr>
              <w:spacing w:after="0"/>
              <w:rPr>
                <w:sz w:val="18"/>
                <w:szCs w:val="18"/>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2021 (Inception)</w:t>
            </w:r>
          </w:p>
        </w:tc>
      </w:tr>
      <w:tr>
        <w:trPr>
          <w:trHeight w:val="234"/>
        </w:trPr>
        <w:tc>
          <w:tcPr>
            <w:tcW w:w="6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to May 21, 2021</w:t>
            </w:r>
          </w:p>
        </w:tc>
      </w:tr>
      <w:tr>
        <w:trPr>
          <w:trHeight w:val="209"/>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Accrued offering costs and expenses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500</w:t>
            </w:r>
          </w:p>
        </w:tc>
      </w:tr>
      <w:tr>
        <w:trPr>
          <w:trHeight w:val="209"/>
        </w:trPr>
        <w:tc>
          <w:tcPr>
            <w:tcW w:w="6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Proceeds from initial shareholder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promissory note to related party</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0"/>
        </w:trPr>
        <w:tc>
          <w:tcPr>
            <w:tcW w:w="6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6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change in cash</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25,100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inception</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the period</w:t>
            </w:r>
          </w:p>
        </w:tc>
        <w:tc>
          <w:tcPr>
            <w:tcW w:w="1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gridSpan w:val="2"/>
          </w:tcPr>
          <w:p>
            <w:pPr>
              <w:spacing w:after="0"/>
              <w:rPr>
                <w:sz w:val="21"/>
                <w:szCs w:val="21"/>
                <w:color w:val="auto"/>
              </w:rPr>
            </w:pPr>
          </w:p>
        </w:tc>
      </w:tr>
      <w:tr>
        <w:trPr>
          <w:trHeight w:val="197"/>
        </w:trPr>
        <w:tc>
          <w:tcPr>
            <w:tcW w:w="6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flow financing activities: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 included in accrued offerings costs and expenses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24,500</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Deferred offering costs paid by Sponsor under the promissory note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99,991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Business Operations and Going Concern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September 30, 2021, the Company had not commenced any operations. All activity for the period from March 2, 2021 (inception) through September 30, 2021 relates to the Company’s formation and the Proposed Public Offering (as defined below). The Company will not generate any operating revenues until after the completion of its initial Business Combination, at the earliest. The Company will generate non-operating income in the form of interest income from the proceeds derived from the Proposed Public Offering (as defined below). The Company has selected December 31 as its fiscal year end.</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sponsor is BurTech LP LLC, (the “Sponsor”). The Company’s ability to commence operations is contingent upon obtaining adequate financial resources through a proposed public offering (the “Proposed Public Offering”) of 25,000,000 units (each, a “Unit” and collectively, the “Units”) at $10.00 per Unit (or 28,750,000 units if the underwriters’ over-allotment option is exercised in full), which is discussed in Note 3, and the sale of 804,500 placement units (or 898,250 placement units if the over-allotment option is exercised in full) at a price of $10.00 per unit, for an aggregate purchase price of $8,045,000 ($8,982,500 if the over-allotment option is exercised in full), which is discussed in Note 4. Each placement unit will be identical to the units sold in this offering, except as described in this prospectus. The placement units will be sold in a private placement that will close simultaneously with the closing of this offering.</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Upon the closing of the Proposed Public Offering, management has agreed that $10.15 per Unit sold in the Proposed Public Offering, including the proceeds of the sale of the Private Placement Units, will be held in a Trust Account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Proposed Public Offering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Proposed Public Offering or (ii) with respect to any other provision relating to stockholders’ rights or pre-Business Combination activity, and (c) the redemption of the public shares if the Company is unable to complete the initial Business Combination within 15 months from the closing of the Proposed Public Offering, subject to applicable law. The proceeds deposited in the Trust Account could become subject to the claims of the Company’s creditors, if any, which could have priority over the claims of the Company’s public stockholders.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3" w:name="page184"/>
    <w:bookmarkEnd w:id="183"/>
    <w:p>
      <w:pPr>
        <w:spacing w:after="0" w:line="269"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 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shares of common stock subject to redemption will be recorded at a redemption value and classified as temporary equity upon the completion of the Proposed Public Offering, in accordance with Financial Accounting Standards Board’s (“FASB”) Accounting Standards Codification (“ASC”) Topic 480 “Distinguishing Liabilities from Equity.”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will have only 15 months from the closing of the Proposed Public Offering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Proposed Public Offering (including in open market and privately-negotiated transactions) in favor of the initial Business Combination.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4" w:name="page185"/>
    <w:bookmarkEnd w:id="184"/>
    <w:p>
      <w:pPr>
        <w:ind w:right="160"/>
        <w:spacing w:after="0" w:line="288"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Proposed Public Offering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of September 30, 2021, the Company had $25,100 in cash and a working capital deficit of $141,501 (excluding deferred offering costs).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(“US GAAP”) and pursuant to the rules and regulations of the U.S. Securities and Exchange Commission (the “SEC”).</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accompanying unaudited financial statements as of September 30, 2021 and for the period from March 2, 2021 (inception) through September 30, 2021 have been prepared in accordance with U.S. GAAP for interim financial information and Article 10 of Regulation S-X. In the opinion of management, all adjustments (consisting of normal accruals) considered for a fair presentation have been included. Operating results for the period from March 2, 2021 (inception) through September 30, 2021 are not necessarily indicative of the results that may be expected for the period ending December 31, 2021, or for any future period. All amounts disclosed in the financial statements after May 21, 2021 are unaudited, except the stock split disclosed in Note 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 an “emerging growth company,” as defined in Section2(a)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5" w:name="page186"/>
    <w:bookmarkEnd w:id="185"/>
    <w:p>
      <w:pPr>
        <w:spacing w:after="0" w:line="289" w:lineRule="auto"/>
        <w:rPr>
          <w:sz w:val="20"/>
          <w:szCs w:val="20"/>
          <w:color w:val="auto"/>
        </w:rPr>
      </w:pPr>
      <w:r>
        <w:rPr>
          <w:rFonts w:ascii="Arial" w:cs="Arial" w:eastAsia="Arial" w:hAnsi="Arial"/>
          <w:sz w:val="16"/>
          <w:szCs w:val="16"/>
          <w:color w:val="auto"/>
        </w:rPr>
        <w:t>Further, Section102(b)(1)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$25,100 in cash and did not have any cash equivalents as of September 30, 2021 and May 21,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Deferred offering costs consist of legal expenses incurred through the balance sheet date that are directly related to the Proposed Public Offering and will be charged to stockholders’ equity. Should the Proposed Public Offering prove to be unsuccessful, all of these deferred costs, as well as additional expenses to be incurred, will be charged to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ind w:left="440" w:right="60" w:hanging="216"/>
        <w:spacing w:after="0" w:line="277" w:lineRule="auto"/>
        <w:tabs>
          <w:tab w:leader="none" w:pos="440" w:val="left"/>
        </w:tabs>
        <w:numPr>
          <w:ilvl w:val="0"/>
          <w:numId w:val="96"/>
        </w:numPr>
        <w:rPr>
          <w:rFonts w:ascii="Arial" w:cs="Arial" w:eastAsia="Arial" w:hAnsi="Arial"/>
          <w:sz w:val="18"/>
          <w:szCs w:val="18"/>
          <w:color w:val="auto"/>
          <w:vertAlign w:val="superscript"/>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ind w:left="440" w:right="120" w:hanging="216"/>
        <w:spacing w:after="0" w:line="342" w:lineRule="auto"/>
        <w:tabs>
          <w:tab w:leader="none" w:pos="440" w:val="left"/>
        </w:tabs>
        <w:numPr>
          <w:ilvl w:val="0"/>
          <w:numId w:val="97"/>
        </w:numPr>
        <w:rPr>
          <w:rFonts w:ascii="Arial" w:cs="Arial" w:eastAsia="Arial" w:hAnsi="Arial"/>
          <w:sz w:val="16"/>
          <w:szCs w:val="16"/>
          <w:color w:val="auto"/>
          <w:vertAlign w:val="superscript"/>
        </w:rPr>
      </w:pPr>
      <w:r>
        <w:rPr>
          <w:rFonts w:ascii="Arial" w:cs="Arial" w:eastAsia="Arial" w:hAnsi="Arial"/>
          <w:sz w:val="16"/>
          <w:szCs w:val="16"/>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23" w:lineRule="exact"/>
        <w:rPr>
          <w:rFonts w:ascii="Arial" w:cs="Arial" w:eastAsia="Arial" w:hAnsi="Arial"/>
          <w:sz w:val="16"/>
          <w:szCs w:val="16"/>
          <w:color w:val="auto"/>
          <w:vertAlign w:val="superscript"/>
        </w:rPr>
      </w:pPr>
    </w:p>
    <w:p>
      <w:pPr>
        <w:ind w:left="440" w:right="260" w:hanging="216"/>
        <w:spacing w:after="0" w:line="277" w:lineRule="auto"/>
        <w:tabs>
          <w:tab w:leader="none" w:pos="440" w:val="left"/>
        </w:tabs>
        <w:numPr>
          <w:ilvl w:val="0"/>
          <w:numId w:val="97"/>
        </w:numPr>
        <w:rPr>
          <w:rFonts w:ascii="Arial" w:cs="Arial" w:eastAsia="Arial" w:hAnsi="Arial"/>
          <w:sz w:val="18"/>
          <w:szCs w:val="18"/>
          <w:color w:val="auto"/>
          <w:vertAlign w:val="superscript"/>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complies with the accounting and disclosure requirements of FASB ASC Topic 260, “Earnings Per Share.” Net loss per common share is computed by dividing net loss by the weighted average number of shares of common stock outstanding during the period, excluding common stock subject to forfeiture. Weighted average shares were reduced for the effect of an aggregate of 1,237,500 shares of Class B common stock that are subject to forfeiture if the over-allotment option is not exercised by the underwriter (see Note 5). At September 30, 2021 and May 21, 2021,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 presented.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Share Classification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common stock that will be sold as part of the Units in the Proposed Public Offering ("public common stock")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common stock subject to redemption outside of permanent equity as the redemption provisions are not solely within the control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September 30, 2021 and May 21, 2021. The Company is currently not aware of any issues under review that could result in significant payments, accruals or material deviation from its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the United States as its only “major” tax jurisdiction.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is subject to income tax examinations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immaterial for the period from March 2, 2021(inception) through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September 30, 2021, the Company had not experienced losses on this account and management believes the Company is not exposed to significant risks on such account.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March 2, 2021 (inception). Adoption of the ASU did not impact the Company’s financial position, results of operations or cash flows.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Pursuant to the Proposed Public Offering, the Company will offer for sale 25,000,000 Units (or 28,750,000 Units if the underwriter’s overallotment option is exercised in full) at a purchase price of $10.00 per Unit. Each Unit will consist of one share of Class A common stock and one redeemable warrant (“public warrant”) for a total of 25,000,000 warrants (28,750,000 warrants if the underwriter’s overallotment option is exercised in full). Each public warrant entitles the holder to purchase one share of Common Stock at a purchase price of $11.50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Sponsor has subscribed to purchase an aggregate of 804,500 placement units (or 898,250 placement units if the over-allotment option is exercised in full) Private Placement Units for a purchase price of approximately $8,045,000 (or $8,982,500 if the over-allotment option is exercised in full), or $10.00 per unit, in a private placement that will close simultaneously with the closing of the Proposed Public Offering. Each Private Placement Unit will consist of one share of Class A common stock and one redeemable warrant (“private warrant”) for a total of 804,500 private warrants (898,250 private warrants if the underwriter’s overallotment option is exercised in full). Each private warrant entitles the holder to purchase one share of Common Stock at a purchase price of $11.50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The number of founder shares outstanding was determined based on the expectation that the total size of the Proposed Public Offering would be a maximum of 28,750,000 Units if the underwriter’s over-allotment option is exercised in full, and therefore that such founder shares would represent 24.81% of the outstanding shares after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Up to 1,237,500 of the founder shares will be forfeited depending on the extent to which the underwriter’s over-allotment is not exercised.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8" w:name="page189"/>
    <w:bookmarkEnd w:id="188"/>
    <w:p>
      <w:pPr>
        <w:ind w:right="20"/>
        <w:spacing w:after="0" w:line="254" w:lineRule="auto"/>
        <w:rPr>
          <w:sz w:val="20"/>
          <w:szCs w:val="20"/>
          <w:color w:val="auto"/>
        </w:rPr>
      </w:pPr>
      <w:r>
        <w:rPr>
          <w:rFonts w:ascii="Arial" w:cs="Arial" w:eastAsia="Arial" w:hAnsi="Arial"/>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(except as described herein under the section of this prospectus entitled “Principal Stockholders — Restrictions on Transfers of Founder Shares and Placement Units”). Any permitted transferees will be subject to the same restrictions and other agreements of the initial stockholders with respect to any founder shares (the “Lock-up”).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Sponsors have agreed to loan the Company up to $300,000 to be used for a portion of the expenses of the Proposed Public Offering. These loans are non-interest bearing, unsecured and due at the earlier of December 31, 2021 or the closing of the Proposed Public Offering. These loans will be repaid upon the closing of the Proposed Public Offering. As of September 30, 2021 and May 21, 2021, the Company had borrowed $100,091 and $100 under the promissory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Loans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September 30, 2021 and May 21, 2021, no such Working Capital Loans were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will enter into an administrative services agreement on the effective date of the registration statement for the Proposed Public Offering pursuant to which the Company will pay an affiliate of the Sponsor a total of $10,000 per month for office space, utilities and secretarial and administrative support. Upon completion of the Company’s initial Business Combination or its liquidation, the Company will cease paying these monthly fees.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Proposed Public Offering,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will grant the underwriter a 45-day option to purchase up to 3,750,000 additional Units to cover any over-allotments, if any, at the Proposed Public Offering price less the underwriting discounts and commissions.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underwriter will be entitled to a cash underwriting discount of one percent (1%) of the gross proceeds of the Proposed Public Offering, or $2,500,000 (or $2,875,000 if the underwriters’ over-allotment option is exercised in full), and 375,000 Class A shares (or 431,250 Class A Shares if the underwriters’ over-allotment option is exercised in full) as part of the underwriting fee (see below). Additionally, the underwriter will be entitled to a deferred underwriting discount of 3.5% of the gross proceeds or $8,750,000 (or $10,062,500 if the underwriter’s over-allotment is exercised in full) of the Proposed Public Offering upon the completion of the Company’s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Company has agreed to issue to the representative or its designees 375,000 shares (or 431,250 shares if the underwriters’ over-allotment option is exercised in full) of Class A common stock upon the consummation of the Proposed Public Offering. These shares are referred to as the “representative shares.” 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ind w:right="80" w:firstLine="8"/>
        <w:spacing w:after="0" w:line="255"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waive their rights to liquidating distributions from the Trust Account with respect to such shares if the Company fails to complete its initial Business Combination within 15 months from the closing of the Proposed Public Offering. The representative shares are deemed to be underwriters’ compensation by FINRA pursuant to FINRA Rule 5110.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authorized to issue 1,000,000 shares of preferred stock with a par value of $0.0001 per share. At September 30, 2021 and May 21, 2021, there were no shares of preferred stock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is authorized to issue 280,000,000 shares of Class A common stock with a par value of $0.0001 per share. Holders of Class A common stock are entitled to one vote for each share. At September 30, 2021 and May 21, 2021, there were no shares of Class A common stock issued or outstanding.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At September 30, 2021 and May 21, 2021, there were 9,487,500 shares of Class B common stock issued and outstanding, of which 1,237,500 shares are subject to forfeiture to the extent that the underwriter’s over-allotment option is not exercised in full so that the founder shares, will represent, on an as-converted basis, 24.81% of the Company’s issued and outstanding shares after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24.81% of the sum of the total number of all shares of common stock outstanding upon the completion of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No warrants are currently outstanding. 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Proposed Public Offering.</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spacing w:after="0" w:line="269" w:lineRule="auto"/>
        <w:rPr>
          <w:sz w:val="20"/>
          <w:szCs w:val="20"/>
          <w:color w:val="auto"/>
        </w:rPr>
      </w:pPr>
      <w:r>
        <w:rPr>
          <w:rFonts w:ascii="Arial" w:cs="Arial" w:eastAsia="Arial" w:hAnsi="Arial"/>
          <w:sz w:val="17"/>
          <w:szCs w:val="17"/>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ectPr>
          <w:pgSz w:w="11900" w:h="16838" w:orient="portrait"/>
          <w:cols w:equalWidth="0" w:num="1">
            <w:col w:w="11220"/>
          </w:cols>
          <w:pgMar w:left="320" w:top="908" w:right="359" w:bottom="1440" w:gutter="0" w:footer="0" w:header="0"/>
        </w:sect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whole and not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 price of $0.01 per warrant;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sz w:val="20"/>
          <w:szCs w:val="20"/>
          <w:color w:val="auto"/>
        </w:rPr>
      </w:pPr>
    </w:p>
    <w:p>
      <w:pPr>
        <w:sectPr>
          <w:pgSz w:w="11900" w:h="16838" w:orient="portrait"/>
          <w:cols w:equalWidth="0" w:num="2">
            <w:col w:w="240" w:space="200"/>
            <w:col w:w="10780"/>
          </w:cols>
          <w:pgMar w:left="320" w:top="908" w:right="359" w:bottom="1440" w:gutter="0" w:footer="0" w:header="0"/>
          <w:type w:val="continuous"/>
        </w:sectPr>
      </w:pPr>
    </w:p>
    <w:p>
      <w:pPr>
        <w:ind w:left="440" w:right="440" w:hanging="216"/>
        <w:spacing w:after="0" w:line="311" w:lineRule="auto"/>
        <w:tabs>
          <w:tab w:leader="none" w:pos="440" w:val="left"/>
        </w:tabs>
        <w:numPr>
          <w:ilvl w:val="0"/>
          <w:numId w:val="99"/>
        </w:numPr>
        <w:rPr>
          <w:rFonts w:ascii="Arial" w:cs="Arial" w:eastAsia="Arial" w:hAnsi="Arial"/>
          <w:sz w:val="16"/>
          <w:szCs w:val="16"/>
          <w:color w:val="auto"/>
          <w:vertAlign w:val="superscript"/>
        </w:rPr>
      </w:pPr>
      <w:r>
        <w:rPr>
          <w:rFonts w:ascii="Arial" w:cs="Arial" w:eastAsia="Arial" w:hAnsi="Arial"/>
          <w:sz w:val="16"/>
          <w:szCs w:val="16"/>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48" w:lineRule="exact"/>
        <w:rPr>
          <w:rFonts w:ascii="Arial" w:cs="Arial" w:eastAsia="Arial" w:hAnsi="Arial"/>
          <w:sz w:val="16"/>
          <w:szCs w:val="16"/>
          <w:color w:val="auto"/>
          <w:vertAlign w:val="superscript"/>
        </w:rPr>
      </w:pPr>
    </w:p>
    <w:p>
      <w:pPr>
        <w:ind w:left="440" w:hanging="216"/>
        <w:spacing w:after="0"/>
        <w:tabs>
          <w:tab w:leader="none" w:pos="440" w:val="left"/>
        </w:tabs>
        <w:numPr>
          <w:ilvl w:val="0"/>
          <w:numId w:val="99"/>
        </w:numPr>
        <w:rPr>
          <w:rFonts w:ascii="Arial" w:cs="Arial" w:eastAsia="Arial" w:hAnsi="Arial"/>
          <w:sz w:val="17"/>
          <w:szCs w:val="17"/>
          <w:color w:val="auto"/>
          <w:vertAlign w:val="superscript"/>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8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on October 13, 2021. Based on the Company’s review, other than described below, the Company did not identify any subsequent events that would have required adjustment or disclosure in the financial statements.</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192" w:name="page193"/>
    <w:bookmarkEnd w:id="192"/>
    <w:p>
      <w:pPr>
        <w:jc w:val="center"/>
        <w:ind w:right="-279"/>
        <w:spacing w:after="0"/>
        <w:rPr>
          <w:sz w:val="20"/>
          <w:szCs w:val="20"/>
          <w:color w:val="auto"/>
        </w:rPr>
      </w:pPr>
      <w:r>
        <w:rPr>
          <w:rFonts w:ascii="Arial" w:cs="Arial" w:eastAsia="Arial" w:hAnsi="Arial"/>
          <w:sz w:val="25"/>
          <w:szCs w:val="25"/>
          <w:b w:val="1"/>
          <w:bCs w:val="1"/>
          <w:color w:val="auto"/>
        </w:rPr>
        <w:t>25,000,000 Units</w:t>
      </w:r>
    </w:p>
    <w:p>
      <w:pPr>
        <w:spacing w:after="0" w:line="226"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BurTech Acquisition Corp.</w:t>
      </w: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EF Hutton</w:t>
      </w: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division of Benchmark Investments, LLC.</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 2021</w:t>
      </w:r>
    </w:p>
    <w:p>
      <w:pPr>
        <w:spacing w:after="0" w:line="229"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7"/>
          <w:szCs w:val="17"/>
          <w:color w:val="auto"/>
        </w:rPr>
        <w:t>Until</w:t>
      </w:r>
      <w:r>
        <w:rPr>
          <w:sz w:val="20"/>
          <w:szCs w:val="20"/>
          <w:color w:val="auto"/>
        </w:rPr>
        <w:tab/>
      </w:r>
      <w:r>
        <w:rPr>
          <w:rFonts w:ascii="Arial" w:cs="Arial" w:eastAsia="Arial" w:hAnsi="Arial"/>
          <w:sz w:val="17"/>
          <w:szCs w:val="17"/>
          <w:color w:val="auto"/>
        </w:rPr>
        <w:t>, 2021 (25 days after the date of this prospectus), all dealers that buy, sell or trade our Class A common stock, whether or not</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its unsold allotments or subscriptions.</w:t>
      </w: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estimated approximate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Reimbursement to underwriters for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75,000</w:t>
            </w:r>
          </w:p>
        </w:tc>
      </w:tr>
      <w:tr>
        <w:trPr>
          <w:trHeight w:val="229"/>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Total (1)</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20" w:hanging="332"/>
        <w:spacing w:after="0" w:line="194" w:lineRule="auto"/>
        <w:tabs>
          <w:tab w:leader="none" w:pos="340" w:val="left"/>
        </w:tabs>
        <w:numPr>
          <w:ilvl w:val="0"/>
          <w:numId w:val="100"/>
        </w:numPr>
        <w:rPr>
          <w:rFonts w:ascii="Arial" w:cs="Arial" w:eastAsia="Arial" w:hAnsi="Arial"/>
          <w:sz w:val="30"/>
          <w:szCs w:val="30"/>
          <w:color w:val="auto"/>
          <w:vertAlign w:val="superscript"/>
        </w:rPr>
      </w:pPr>
      <w:r>
        <w:rPr>
          <w:rFonts w:ascii="Arial" w:cs="Arial" w:eastAsia="Arial" w:hAnsi="Arial"/>
          <w:sz w:val="18"/>
          <w:szCs w:val="18"/>
          <w:color w:val="auto"/>
        </w:rPr>
        <w:t>This amount does not include $400,000 of annual director and officer liability insurance premiums the registrant anticipates paying following the completion of its initial public offering and until it completes an initial business combination.</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ind w:left="800" w:right="20" w:hanging="333"/>
        <w:spacing w:after="0" w:line="287" w:lineRule="auto"/>
        <w:tabs>
          <w:tab w:leader="none" w:pos="8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71" w:lineRule="exact"/>
        <w:rPr>
          <w:rFonts w:ascii="Arial" w:cs="Arial" w:eastAsia="Arial" w:hAnsi="Arial"/>
          <w:sz w:val="16"/>
          <w:szCs w:val="16"/>
          <w:color w:val="auto"/>
        </w:rPr>
      </w:pPr>
    </w:p>
    <w:p>
      <w:pPr>
        <w:ind w:left="800" w:right="40" w:hanging="333"/>
        <w:spacing w:after="0" w:line="288" w:lineRule="auto"/>
        <w:tabs>
          <w:tab w:leader="none" w:pos="8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ind w:left="340" w:right="80" w:hanging="333"/>
        <w:spacing w:after="0" w:line="311"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ind w:left="340" w:right="40" w:hanging="333"/>
        <w:spacing w:after="0" w:line="272"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ind w:left="340" w:hanging="333"/>
        <w:spacing w:after="0" w:line="296"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ind w:left="340" w:right="100" w:hanging="333"/>
        <w:spacing w:after="0" w:line="271"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ind w:left="340" w:right="120" w:hanging="333"/>
        <w:spacing w:after="0" w:line="257"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87" w:lineRule="exact"/>
        <w:rPr>
          <w:rFonts w:ascii="Arial" w:cs="Arial" w:eastAsia="Arial" w:hAnsi="Arial"/>
          <w:sz w:val="18"/>
          <w:szCs w:val="18"/>
          <w:color w:val="auto"/>
        </w:rPr>
      </w:pPr>
    </w:p>
    <w:p>
      <w:pPr>
        <w:ind w:left="340" w:right="60" w:hanging="333"/>
        <w:spacing w:after="0" w:line="254"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00" w:lineRule="exact"/>
        <w:rPr>
          <w:sz w:val="20"/>
          <w:szCs w:val="20"/>
          <w:color w:val="auto"/>
        </w:rPr>
      </w:pP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780" w:top="908" w:right="339" w:bottom="1440" w:gutter="0" w:footer="0" w:header="0"/>
        </w:sectPr>
      </w:pPr>
    </w:p>
    <w:bookmarkStart w:id="195" w:name="page196"/>
    <w:bookmarkEnd w:id="195"/>
    <w:p>
      <w:pPr>
        <w:ind w:left="800" w:right="20" w:hanging="333"/>
        <w:spacing w:after="0" w:line="293"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ind w:left="800" w:right="340" w:hanging="333"/>
        <w:spacing w:after="0" w:line="263"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ind w:left="800" w:right="340" w:hanging="333"/>
        <w:spacing w:after="0" w:line="311"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7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6" w:name="page197"/>
    <w:bookmarkEnd w:id="196"/>
    <w:p>
      <w:pPr>
        <w:ind w:right="40" w:firstLine="324"/>
        <w:spacing w:after="0" w:line="273" w:lineRule="auto"/>
        <w:rPr>
          <w:sz w:val="20"/>
          <w:szCs w:val="20"/>
          <w:color w:val="auto"/>
        </w:rPr>
      </w:pPr>
      <w:r>
        <w:rPr>
          <w:rFonts w:ascii="Arial" w:cs="Arial" w:eastAsia="Arial" w:hAnsi="Arial"/>
          <w:sz w:val="17"/>
          <w:szCs w:val="17"/>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78"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8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92"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7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7" w:name="page198"/>
    <w:bookmarkEnd w:id="197"/>
    <w:p>
      <w:pPr>
        <w:ind w:firstLine="324"/>
        <w:spacing w:after="0" w:line="263"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the founder shares would represent 24.81% of the outstanding shares of common stock upon completion of this (excluding the shares of Class A common stock to be issued to the representative or its designees upon consummation of this offering, the placement units and securities underlying the placement units and assuming the initial stockholders do not purchase units in this offering). All such securities were issued in connection with our organization pursuant to the exemption from registration contained in Section 4(a)(2) of the Securities Act. Our sponsor is an accredited investor for purposes of Rule 501 of Regulation D.</w:t>
      </w:r>
    </w:p>
    <w:p>
      <w:pPr>
        <w:spacing w:after="0" w:line="19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May 2021, we agreed to issue 375,000 Class A common stock to the representative and its designees for nominal consideration as part of the compensation for the representative’s services provided to us in connection with this offering (or 431,250 in the event the underwriters exercise their over-allotment option). Such shares were issued pursuant to the exemption from registration contained in Section 4(a)(2) of the Securities Act.</w:t>
      </w:r>
    </w:p>
    <w:p>
      <w:pPr>
        <w:spacing w:after="0" w:line="16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On or before the date of the prospectus accompanying this registration statement, our sponsor has agreed to purchase an aggregate of 804,500 placement units (or 898,250 placement units if the over-allotment option is exercised in full), at a price of $10.00 per unit, for an aggregate purchase price of $8,045,000 ($8,982,500 if the over-allotment option is exercised in full). These placement units will be issued pursuant to the exemption from registration contained in Section 4(a)(2) of the Securities Act as they will be sold to “accredited investors” as defined in Rule 501(a) of the Securities Act. No underwriting discounts or commissions will be paid with respect to such sales. Subscription agreements will be entered into with our sponsor in connection with these placement units and copies of such agreements will be attached as exhibits to this registration statement.</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list of exhibits following the signature page of this registration statement is incorporated herein by reference.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and schedules included in the registration statement.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right="60" w:hanging="328"/>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ind w:left="328" w:right="60" w:hanging="328"/>
        <w:spacing w:after="0" w:line="271" w:lineRule="auto"/>
        <w:tabs>
          <w:tab w:leader="none" w:pos="32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328" w:hanging="328"/>
        <w:spacing w:after="0"/>
        <w:tabs>
          <w:tab w:leader="none" w:pos="3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648" w:right="40" w:hanging="324"/>
        <w:spacing w:after="0" w:line="291" w:lineRule="auto"/>
        <w:tabs>
          <w:tab w:leader="none" w:pos="64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648"/>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233" w:lineRule="exact"/>
        <w:rPr>
          <w:rFonts w:ascii="Arial" w:cs="Arial" w:eastAsia="Arial" w:hAnsi="Arial"/>
          <w:sz w:val="16"/>
          <w:szCs w:val="16"/>
          <w:color w:val="auto"/>
        </w:rPr>
      </w:pPr>
    </w:p>
    <w:p>
      <w:pPr>
        <w:ind w:left="648" w:right="220" w:hanging="324"/>
        <w:spacing w:after="0" w:line="263" w:lineRule="auto"/>
        <w:tabs>
          <w:tab w:leader="none" w:pos="6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48" w:hanging="324"/>
        <w:spacing w:after="0" w:line="271" w:lineRule="auto"/>
        <w:tabs>
          <w:tab w:leader="none" w:pos="64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648" w:right="80" w:hanging="324"/>
        <w:spacing w:after="0" w:line="257" w:lineRule="auto"/>
        <w:tabs>
          <w:tab w:leader="none" w:pos="6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968" w:hanging="320"/>
        <w:spacing w:after="0"/>
        <w:tabs>
          <w:tab w:leader="none" w:pos="96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968" w:right="320" w:hanging="320"/>
        <w:spacing w:after="0" w:line="277" w:lineRule="auto"/>
        <w:tabs>
          <w:tab w:leader="none" w:pos="9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left="968" w:right="100" w:hanging="320"/>
        <w:spacing w:after="0" w:line="277" w:lineRule="auto"/>
        <w:tabs>
          <w:tab w:leader="none" w:pos="9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4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00" w:type="dxa"/>
            <w:vAlign w:val="bottom"/>
            <w:gridSpan w:val="9"/>
          </w:tcPr>
          <w:p>
            <w:pPr>
              <w:jc w:val="center"/>
              <w:ind w:right="454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20" w:type="dxa"/>
            <w:vAlign w:val="bottom"/>
            <w:gridSpan w:val="7"/>
          </w:tcPr>
          <w:p>
            <w:pPr>
              <w:ind w:left="58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40" w:type="dxa"/>
            <w:vAlign w:val="bottom"/>
            <w:tcBorders>
              <w:top w:val="single" w:sz="8" w:color="auto"/>
              <w:bottom w:val="single" w:sz="8" w:color="0000EE"/>
            </w:tcBorders>
            <w:gridSpan w:val="2"/>
            <w:shd w:val="clear" w:color="auto" w:fill="CCEEFF"/>
          </w:tcPr>
          <w:p>
            <w:pPr>
              <w:spacing w:after="0" w:line="169" w:lineRule="exact"/>
              <w:rPr>
                <w:rFonts w:ascii="Arial" w:cs="Arial" w:eastAsia="Arial" w:hAnsi="Arial"/>
                <w:sz w:val="18"/>
                <w:szCs w:val="18"/>
                <w:color w:val="0000EE"/>
                <w:w w:val="87"/>
              </w:rPr>
            </w:pPr>
            <w:hyperlink w:anchor="page202">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60" w:type="dxa"/>
            <w:vAlign w:val="bottom"/>
            <w:tcBorders>
              <w:top w:val="single" w:sz="8" w:color="auto"/>
              <w:bottom w:val="single" w:sz="8" w:color="0000EE"/>
            </w:tcBorders>
            <w:gridSpan w:val="11"/>
            <w:shd w:val="clear" w:color="auto" w:fill="CCEEFF"/>
          </w:tcPr>
          <w:p>
            <w:pPr>
              <w:ind w:left="20"/>
              <w:spacing w:after="0" w:line="169" w:lineRule="exact"/>
              <w:rPr>
                <w:rFonts w:ascii="Arial" w:cs="Arial" w:eastAsia="Arial" w:hAnsi="Arial"/>
                <w:sz w:val="18"/>
                <w:szCs w:val="18"/>
                <w:color w:val="0000EE"/>
                <w:w w:val="92"/>
              </w:rPr>
            </w:pPr>
            <w:hyperlink w:anchor="page202">
              <w:r>
                <w:rPr>
                  <w:rFonts w:ascii="Arial" w:cs="Arial" w:eastAsia="Arial" w:hAnsi="Arial"/>
                  <w:sz w:val="18"/>
                  <w:szCs w:val="18"/>
                  <w:color w:val="0000EE"/>
                  <w:w w:val="92"/>
                </w:rPr>
                <w:t>Form of Underwriting Agreement</w:t>
              </w:r>
            </w:hyperlink>
          </w:p>
        </w:tc>
        <w:tc>
          <w:tcPr>
            <w:tcW w:w="7540" w:type="dxa"/>
            <w:vAlign w:val="bottom"/>
            <w:tcBorders>
              <w:top w:val="single" w:sz="8" w:color="auto"/>
              <w:bottom w:val="single" w:sz="8" w:color="CCEEFF"/>
            </w:tcBorders>
            <w:gridSpan w:val="12"/>
            <w:shd w:val="clear" w:color="auto" w:fill="CCEEFF"/>
          </w:tcPr>
          <w:p>
            <w:pPr>
              <w:spacing w:after="0"/>
              <w:rPr>
                <w:sz w:val="16"/>
                <w:szCs w:val="16"/>
                <w:color w:val="auto"/>
              </w:rPr>
            </w:pPr>
          </w:p>
        </w:tc>
      </w:tr>
      <w:tr>
        <w:trPr>
          <w:trHeight w:val="175"/>
        </w:trPr>
        <w:tc>
          <w:tcPr>
            <w:tcW w:w="320" w:type="dxa"/>
            <w:vAlign w:val="bottom"/>
            <w:gridSpan w:val="3"/>
          </w:tcPr>
          <w:p>
            <w:pPr>
              <w:spacing w:after="0" w:line="176" w:lineRule="exact"/>
              <w:rPr>
                <w:rFonts w:ascii="Arial" w:cs="Arial" w:eastAsia="Arial" w:hAnsi="Arial"/>
                <w:sz w:val="18"/>
                <w:szCs w:val="18"/>
                <w:color w:val="0000EE"/>
              </w:rPr>
            </w:pPr>
            <w:hyperlink w:anchor="page23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233">
              <w:r>
                <w:rPr>
                  <w:rFonts w:ascii="Arial" w:cs="Arial" w:eastAsia="Arial" w:hAnsi="Arial"/>
                  <w:sz w:val="18"/>
                  <w:szCs w:val="18"/>
                  <w:color w:val="0000EE"/>
                </w:rPr>
                <w:t>Certificate of Incorporation</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4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23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35">
              <w:r>
                <w:rPr>
                  <w:rFonts w:ascii="Arial" w:cs="Arial" w:eastAsia="Arial" w:hAnsi="Arial"/>
                  <w:sz w:val="18"/>
                  <w:szCs w:val="18"/>
                  <w:color w:val="0000EE"/>
                </w:rPr>
                <w:t>Amended and Restated Certificate of Incorporation</w:t>
              </w:r>
            </w:hyperlink>
          </w:p>
        </w:tc>
      </w:tr>
      <w:tr>
        <w:trPr>
          <w:trHeight w:val="175"/>
        </w:trPr>
        <w:tc>
          <w:tcPr>
            <w:tcW w:w="240" w:type="dxa"/>
            <w:vAlign w:val="bottom"/>
            <w:tcBorders>
              <w:top w:val="single" w:sz="8" w:color="0000EE"/>
            </w:tcBorders>
            <w:gridSpan w:val="2"/>
          </w:tcPr>
          <w:p>
            <w:pPr>
              <w:spacing w:after="0" w:line="176" w:lineRule="exact"/>
              <w:rPr>
                <w:rFonts w:ascii="Arial" w:cs="Arial" w:eastAsia="Arial" w:hAnsi="Arial"/>
                <w:sz w:val="18"/>
                <w:szCs w:val="18"/>
                <w:color w:val="0000EE"/>
                <w:w w:val="87"/>
              </w:rPr>
            </w:pPr>
            <w:hyperlink w:anchor="page24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700" w:type="dxa"/>
            <w:vAlign w:val="bottom"/>
            <w:tcBorders>
              <w:top w:val="single" w:sz="8" w:color="0000EE"/>
            </w:tcBorders>
            <w:gridSpan w:val="15"/>
          </w:tcPr>
          <w:p>
            <w:pPr>
              <w:ind w:left="20"/>
              <w:spacing w:after="0" w:line="176" w:lineRule="exact"/>
              <w:rPr>
                <w:rFonts w:ascii="Arial" w:cs="Arial" w:eastAsia="Arial" w:hAnsi="Arial"/>
                <w:sz w:val="18"/>
                <w:szCs w:val="18"/>
                <w:color w:val="0000EE"/>
              </w:rPr>
            </w:pPr>
            <w:hyperlink w:anchor="page241">
              <w:r>
                <w:rPr>
                  <w:rFonts w:ascii="Arial" w:cs="Arial" w:eastAsia="Arial" w:hAnsi="Arial"/>
                  <w:sz w:val="18"/>
                  <w:szCs w:val="18"/>
                  <w:color w:val="0000EE"/>
                </w:rPr>
                <w:t>By Laws</w:t>
              </w:r>
            </w:hyperlink>
          </w:p>
        </w:tc>
        <w:tc>
          <w:tcPr>
            <w:tcW w:w="6300" w:type="dxa"/>
            <w:vAlign w:val="bottom"/>
            <w:tcBorders>
              <w:top w:val="single" w:sz="8" w:color="CCEEFF"/>
            </w:tcBorders>
            <w:gridSpan w:val="8"/>
          </w:tcPr>
          <w:p>
            <w:pPr>
              <w:spacing w:after="0"/>
              <w:rPr>
                <w:sz w:val="15"/>
                <w:szCs w:val="15"/>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24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2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50">
              <w:r>
                <w:rPr>
                  <w:rFonts w:ascii="Arial" w:cs="Arial" w:eastAsia="Arial" w:hAnsi="Arial"/>
                  <w:sz w:val="18"/>
                  <w:szCs w:val="18"/>
                  <w:color w:val="0000EE"/>
                </w:rPr>
                <w:t>Specimen Unit Certificate</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40" w:type="dxa"/>
            <w:vAlign w:val="bottom"/>
            <w:gridSpan w:val="2"/>
          </w:tcPr>
          <w:p>
            <w:pPr>
              <w:spacing w:after="0" w:line="176" w:lineRule="exact"/>
              <w:rPr>
                <w:rFonts w:ascii="Arial" w:cs="Arial" w:eastAsia="Arial" w:hAnsi="Arial"/>
                <w:sz w:val="18"/>
                <w:szCs w:val="18"/>
                <w:color w:val="0000EE"/>
                <w:w w:val="87"/>
              </w:rPr>
            </w:pPr>
            <w:hyperlink w:anchor="page25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253">
              <w:r>
                <w:rPr>
                  <w:rFonts w:ascii="Arial" w:cs="Arial" w:eastAsia="Arial" w:hAnsi="Arial"/>
                  <w:sz w:val="18"/>
                  <w:szCs w:val="18"/>
                  <w:color w:val="0000EE"/>
                </w:rPr>
                <w:t>Specimen Class A Common Stock Certificate</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24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2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56">
              <w:r>
                <w:rPr>
                  <w:rFonts w:ascii="Arial" w:cs="Arial" w:eastAsia="Arial" w:hAnsi="Arial"/>
                  <w:sz w:val="18"/>
                  <w:szCs w:val="18"/>
                  <w:color w:val="0000EE"/>
                </w:rPr>
                <w:t>Specimen Warrant Certificate</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40" w:type="dxa"/>
            <w:vAlign w:val="bottom"/>
            <w:gridSpan w:val="2"/>
          </w:tcPr>
          <w:p>
            <w:pPr>
              <w:spacing w:after="0" w:line="176" w:lineRule="exact"/>
              <w:rPr>
                <w:rFonts w:ascii="Arial" w:cs="Arial" w:eastAsia="Arial" w:hAnsi="Arial"/>
                <w:sz w:val="18"/>
                <w:szCs w:val="18"/>
                <w:color w:val="0000EE"/>
                <w:w w:val="87"/>
              </w:rPr>
            </w:pPr>
            <w:hyperlink w:anchor="page25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259">
              <w:r>
                <w:rPr>
                  <w:rFonts w:ascii="Arial" w:cs="Arial" w:eastAsia="Arial" w:hAnsi="Arial"/>
                  <w:sz w:val="18"/>
                  <w:szCs w:val="18"/>
                  <w:color w:val="0000EE"/>
                </w:rPr>
                <w:t>Form of Warrant Agreement between Continental Stock Transfer &amp; Trust Company and the Registrant</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279">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4"/>
              </w:rPr>
            </w:pPr>
            <w:hyperlink w:anchor="page279">
              <w:r>
                <w:rPr>
                  <w:rFonts w:ascii="Arial" w:cs="Arial" w:eastAsia="Arial" w:hAnsi="Arial"/>
                  <w:sz w:val="18"/>
                  <w:szCs w:val="18"/>
                  <w:color w:val="0000EE"/>
                  <w:w w:val="94"/>
                </w:rPr>
                <w:t>Opinion of Loeb &amp; Loeb LLP</w:t>
              </w:r>
            </w:hyperlink>
          </w:p>
        </w:tc>
        <w:tc>
          <w:tcPr>
            <w:tcW w:w="7820" w:type="dxa"/>
            <w:vAlign w:val="bottom"/>
            <w:tcBorders>
              <w:bottom w:val="single" w:sz="8" w:color="CCEEFF"/>
            </w:tcBorders>
            <w:gridSpan w:val="14"/>
            <w:shd w:val="clear" w:color="auto" w:fill="CCEEFF"/>
          </w:tcPr>
          <w:p>
            <w:pPr>
              <w:spacing w:after="0"/>
              <w:rPr>
                <w:sz w:val="17"/>
                <w:szCs w:val="17"/>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28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281">
              <w:r>
                <w:rPr>
                  <w:rFonts w:ascii="Arial" w:cs="Arial" w:eastAsia="Arial" w:hAnsi="Arial"/>
                  <w:sz w:val="18"/>
                  <w:szCs w:val="18"/>
                  <w:color w:val="0000EE"/>
                </w:rPr>
                <w:t>Form of Letter Agreement among the Registrant and our officers, directors and BurTech LP LLC</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8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88">
              <w:r>
                <w:rPr>
                  <w:rFonts w:ascii="Arial" w:cs="Arial" w:eastAsia="Arial" w:hAnsi="Arial"/>
                  <w:sz w:val="18"/>
                  <w:szCs w:val="18"/>
                  <w:color w:val="0000EE"/>
                </w:rPr>
                <w:t>Promissory Note, dated May 21, 2021, issued to BurTech LP LLC</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29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292">
              <w:r>
                <w:rPr>
                  <w:rFonts w:ascii="Arial" w:cs="Arial" w:eastAsia="Arial" w:hAnsi="Arial"/>
                  <w:sz w:val="18"/>
                  <w:szCs w:val="18"/>
                  <w:color w:val="0000EE"/>
                </w:rPr>
                <w:t>Form of Investment Management Trust Agreement between Continental Stock Transfer &amp; Trust Company and the Registrant</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07">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07">
              <w:r>
                <w:rPr>
                  <w:rFonts w:ascii="Arial" w:cs="Arial" w:eastAsia="Arial" w:hAnsi="Arial"/>
                  <w:sz w:val="18"/>
                  <w:szCs w:val="18"/>
                  <w:color w:val="0000EE"/>
                </w:rPr>
                <w:t>Form of Registration Rights Agreement between the Registrant and certain security holders</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322">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322">
              <w:r>
                <w:rPr>
                  <w:rFonts w:ascii="Arial" w:cs="Arial" w:eastAsia="Arial" w:hAnsi="Arial"/>
                  <w:sz w:val="18"/>
                  <w:szCs w:val="18"/>
                  <w:color w:val="0000EE"/>
                </w:rPr>
                <w:t>Securities Subscription Agreement, dated May 21, 2021, between the Registrant and BurTech LP LLC</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29">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29">
              <w:r>
                <w:rPr>
                  <w:rFonts w:ascii="Arial" w:cs="Arial" w:eastAsia="Arial" w:hAnsi="Arial"/>
                  <w:sz w:val="18"/>
                  <w:szCs w:val="18"/>
                  <w:color w:val="0000EE"/>
                </w:rPr>
                <w:t>Form of Placement Unit Purchase Agreement between the Registrant and BurTech LP LLC</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337">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337">
              <w:r>
                <w:rPr>
                  <w:rFonts w:ascii="Arial" w:cs="Arial" w:eastAsia="Arial" w:hAnsi="Arial"/>
                  <w:sz w:val="18"/>
                  <w:szCs w:val="18"/>
                  <w:color w:val="0000EE"/>
                </w:rPr>
                <w:t>Form of Indemnity Agreement</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51">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0" w:type="dxa"/>
            <w:vAlign w:val="bottom"/>
            <w:shd w:val="clear" w:color="auto" w:fill="CCEEFF"/>
          </w:tcPr>
          <w:p>
            <w:pPr>
              <w:spacing w:after="0"/>
              <w:rPr>
                <w:sz w:val="17"/>
                <w:szCs w:val="17"/>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51">
              <w:r>
                <w:rPr>
                  <w:rFonts w:ascii="Arial" w:cs="Arial" w:eastAsia="Arial" w:hAnsi="Arial"/>
                  <w:sz w:val="18"/>
                  <w:szCs w:val="18"/>
                  <w:color w:val="0000EE"/>
                </w:rPr>
                <w:t>Form of Administrative Support Agreement by and between the Registrant and BurTech LP LLC</w:t>
              </w:r>
            </w:hyperlink>
          </w:p>
        </w:tc>
      </w:tr>
      <w:tr>
        <w:trPr>
          <w:trHeight w:val="176"/>
        </w:trPr>
        <w:tc>
          <w:tcPr>
            <w:tcW w:w="24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354">
              <w:r>
                <w:rPr>
                  <w:rFonts w:ascii="Arial" w:cs="Arial" w:eastAsia="Arial" w:hAnsi="Arial"/>
                  <w:sz w:val="18"/>
                  <w:szCs w:val="18"/>
                  <w:color w:val="0000EE"/>
                </w:rPr>
                <w:t>14</w:t>
              </w:r>
            </w:hyperlink>
          </w:p>
        </w:tc>
        <w:tc>
          <w:tcPr>
            <w:tcW w:w="80" w:type="dxa"/>
            <w:vAlign w:val="bottom"/>
            <w:tcBorders>
              <w:top w:val="single" w:sz="8" w:color="0000EE"/>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000" w:type="dxa"/>
            <w:vAlign w:val="bottom"/>
            <w:tcBorders>
              <w:top w:val="single" w:sz="8" w:color="0000EE"/>
            </w:tcBorders>
            <w:gridSpan w:val="20"/>
          </w:tcPr>
          <w:p>
            <w:pPr>
              <w:ind w:left="20"/>
              <w:spacing w:after="0" w:line="176" w:lineRule="exact"/>
              <w:rPr>
                <w:rFonts w:ascii="Arial" w:cs="Arial" w:eastAsia="Arial" w:hAnsi="Arial"/>
                <w:sz w:val="18"/>
                <w:szCs w:val="18"/>
                <w:color w:val="0000EE"/>
              </w:rPr>
            </w:pPr>
            <w:hyperlink w:anchor="page354">
              <w:r>
                <w:rPr>
                  <w:rFonts w:ascii="Arial" w:cs="Arial" w:eastAsia="Arial" w:hAnsi="Arial"/>
                  <w:sz w:val="18"/>
                  <w:szCs w:val="18"/>
                  <w:color w:val="0000EE"/>
                </w:rPr>
                <w:t>Form of Code of Ethics</w:t>
              </w:r>
            </w:hyperlink>
          </w:p>
        </w:tc>
        <w:tc>
          <w:tcPr>
            <w:tcW w:w="3000" w:type="dxa"/>
            <w:vAlign w:val="bottom"/>
            <w:tcBorders>
              <w:top w:val="single" w:sz="8" w:color="CCEEFF"/>
            </w:tcBorders>
            <w:gridSpan w:val="3"/>
          </w:tcPr>
          <w:p>
            <w:pPr>
              <w:spacing w:after="0"/>
              <w:rPr>
                <w:sz w:val="15"/>
                <w:szCs w:val="15"/>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62">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62">
              <w:r>
                <w:rPr>
                  <w:rFonts w:ascii="Arial" w:cs="Arial" w:eastAsia="Arial" w:hAnsi="Arial"/>
                  <w:sz w:val="18"/>
                  <w:szCs w:val="18"/>
                  <w:color w:val="0000EE"/>
                </w:rPr>
                <w:t>Consent of Marcum LLP</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w:anchor="page279">
              <w:r>
                <w:rPr>
                  <w:rFonts w:ascii="Arial" w:cs="Arial" w:eastAsia="Arial" w:hAnsi="Arial"/>
                  <w:sz w:val="18"/>
                  <w:szCs w:val="18"/>
                  <w:color w:val="0000EE"/>
                </w:rPr>
                <w:t>23.</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279">
              <w:r>
                <w:rPr>
                  <w:rFonts w:ascii="Arial" w:cs="Arial" w:eastAsia="Arial" w:hAnsi="Arial"/>
                  <w:sz w:val="18"/>
                  <w:szCs w:val="18"/>
                  <w:color w:val="0000EE"/>
                </w:rPr>
                <w:t>Consent of Loeb &amp; Loeb LLP (included in Exhibit 5.1)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240" w:type="dxa"/>
            <w:vAlign w:val="bottom"/>
            <w:gridSpan w:val="2"/>
            <w:shd w:val="clear" w:color="auto" w:fill="CCEEFF"/>
          </w:tcPr>
          <w:p>
            <w:pPr>
              <w:spacing w:after="0" w:line="176" w:lineRule="exact"/>
              <w:rPr>
                <w:rFonts w:ascii="Arial" w:cs="Arial" w:eastAsia="Arial" w:hAnsi="Arial"/>
                <w:sz w:val="18"/>
                <w:szCs w:val="18"/>
                <w:color w:val="0000EE"/>
              </w:rPr>
            </w:pPr>
            <w:hyperlink w:anchor="page201">
              <w:r>
                <w:rPr>
                  <w:rFonts w:ascii="Arial" w:cs="Arial" w:eastAsia="Arial" w:hAnsi="Arial"/>
                  <w:sz w:val="18"/>
                  <w:szCs w:val="18"/>
                  <w:color w:val="0000EE"/>
                </w:rPr>
                <w:t>24</w:t>
              </w:r>
            </w:hyperlink>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01">
              <w:r>
                <w:rPr>
                  <w:rFonts w:ascii="Arial" w:cs="Arial" w:eastAsia="Arial" w:hAnsi="Arial"/>
                  <w:sz w:val="18"/>
                  <w:szCs w:val="18"/>
                  <w:color w:val="0000EE"/>
                </w:rPr>
                <w:t>Power of Attorney (included on the signature page to this Registration Statement)</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363">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363">
              <w:r>
                <w:rPr>
                  <w:rFonts w:ascii="Arial" w:cs="Arial" w:eastAsia="Arial" w:hAnsi="Arial"/>
                  <w:sz w:val="18"/>
                  <w:szCs w:val="18"/>
                  <w:color w:val="0000EE"/>
                </w:rPr>
                <w:t>Form of Audit Committee Charter</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69">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69">
              <w:r>
                <w:rPr>
                  <w:rFonts w:ascii="Arial" w:cs="Arial" w:eastAsia="Arial" w:hAnsi="Arial"/>
                  <w:sz w:val="18"/>
                  <w:szCs w:val="18"/>
                  <w:color w:val="0000EE"/>
                </w:rPr>
                <w:t>Form of Compensation Committee Charter</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373">
              <w:r>
                <w:rPr>
                  <w:rFonts w:ascii="Arial" w:cs="Arial" w:eastAsia="Arial" w:hAnsi="Arial"/>
                  <w:sz w:val="18"/>
                  <w:szCs w:val="18"/>
                  <w:color w:val="0000EE"/>
                </w:rPr>
                <w:t>99.</w:t>
              </w:r>
              <w:r>
                <w:rPr>
                  <w:rFonts w:ascii="Arial" w:cs="Arial" w:eastAsia="Arial" w:hAnsi="Arial"/>
                  <w:sz w:val="18"/>
                  <w:szCs w:val="18"/>
                  <w:u w:val="single" w:color="auto"/>
                  <w:color w:val="0000EE"/>
                </w:rPr>
                <w:t>3</w:t>
              </w:r>
            </w:hyperlink>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373">
              <w:r>
                <w:rPr>
                  <w:rFonts w:ascii="Arial" w:cs="Arial" w:eastAsia="Arial" w:hAnsi="Arial"/>
                  <w:sz w:val="18"/>
                  <w:szCs w:val="18"/>
                  <w:color w:val="0000EE"/>
                </w:rPr>
                <w:t>Consent of Leon Golden</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74">
              <w:r>
                <w:rPr>
                  <w:rFonts w:ascii="Arial" w:cs="Arial" w:eastAsia="Arial" w:hAnsi="Arial"/>
                  <w:sz w:val="18"/>
                  <w:szCs w:val="18"/>
                  <w:color w:val="0000EE"/>
                </w:rPr>
                <w:t>99.</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5"/>
                <w:szCs w:val="15"/>
                <w:color w:val="auto"/>
              </w:rPr>
            </w:pPr>
          </w:p>
        </w:tc>
        <w:tc>
          <w:tcPr>
            <w:tcW w:w="1000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74">
              <w:r>
                <w:rPr>
                  <w:rFonts w:ascii="Arial" w:cs="Arial" w:eastAsia="Arial" w:hAnsi="Arial"/>
                  <w:sz w:val="18"/>
                  <w:szCs w:val="18"/>
                  <w:color w:val="0000EE"/>
                </w:rPr>
                <w:t>Consent of Scott Young</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375">
              <w:r>
                <w:rPr>
                  <w:rFonts w:ascii="Arial" w:cs="Arial" w:eastAsia="Arial" w:hAnsi="Arial"/>
                  <w:sz w:val="18"/>
                  <w:szCs w:val="18"/>
                  <w:color w:val="0000EE"/>
                </w:rPr>
                <w:t>99.</w:t>
              </w:r>
              <w:r>
                <w:rPr>
                  <w:rFonts w:ascii="Arial" w:cs="Arial" w:eastAsia="Arial" w:hAnsi="Arial"/>
                  <w:sz w:val="18"/>
                  <w:szCs w:val="18"/>
                  <w:u w:val="single" w:color="auto"/>
                  <w:color w:val="0000EE"/>
                </w:rPr>
                <w:t>5</w:t>
              </w:r>
            </w:hyperlink>
          </w:p>
        </w:tc>
        <w:tc>
          <w:tcPr>
            <w:tcW w:w="100" w:type="dxa"/>
            <w:vAlign w:val="bottom"/>
          </w:tcPr>
          <w:p>
            <w:pPr>
              <w:spacing w:after="0"/>
              <w:rPr>
                <w:sz w:val="15"/>
                <w:szCs w:val="15"/>
                <w:color w:val="auto"/>
              </w:rPr>
            </w:pPr>
          </w:p>
        </w:tc>
        <w:tc>
          <w:tcPr>
            <w:tcW w:w="10000" w:type="dxa"/>
            <w:vAlign w:val="bottom"/>
            <w:gridSpan w:val="23"/>
          </w:tcPr>
          <w:p>
            <w:pPr>
              <w:ind w:left="20"/>
              <w:spacing w:after="0" w:line="176" w:lineRule="exact"/>
              <w:rPr>
                <w:rFonts w:ascii="Arial" w:cs="Arial" w:eastAsia="Arial" w:hAnsi="Arial"/>
                <w:sz w:val="18"/>
                <w:szCs w:val="18"/>
                <w:color w:val="0000EE"/>
              </w:rPr>
            </w:pPr>
            <w:hyperlink w:anchor="page375">
              <w:r>
                <w:rPr>
                  <w:rFonts w:ascii="Arial" w:cs="Arial" w:eastAsia="Arial" w:hAnsi="Arial"/>
                  <w:sz w:val="18"/>
                  <w:szCs w:val="18"/>
                  <w:color w:val="0000EE"/>
                </w:rPr>
                <w:t>Consent of Joseph A. Porrello</w:t>
              </w:r>
            </w:hyperlink>
          </w:p>
        </w:tc>
      </w:tr>
      <w:tr>
        <w:trPr>
          <w:trHeight w:val="695"/>
        </w:trPr>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gridSpan w:val="9"/>
          </w:tcPr>
          <w:p>
            <w:pPr>
              <w:spacing w:after="0"/>
              <w:rPr>
                <w:sz w:val="24"/>
                <w:szCs w:val="24"/>
                <w:color w:val="auto"/>
              </w:rPr>
            </w:pPr>
          </w:p>
        </w:tc>
        <w:tc>
          <w:tcPr>
            <w:tcW w:w="260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color w:val="auto"/>
              </w:rPr>
              <w:t>177</w:t>
            </w: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Washington, DC, on the 19 day of November, 2021.</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6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26"/>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Shahal Khan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Shahal Khan</w:t>
            </w: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Roman Livson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Roman Livson</w:t>
            </w: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19"/>
                <w:szCs w:val="19"/>
                <w:color w:val="auto"/>
              </w:rPr>
            </w:pPr>
          </w:p>
        </w:tc>
      </w:tr>
      <w:tr>
        <w:trPr>
          <w:trHeight w:val="661"/>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b w:val="1"/>
          <w:bCs w:val="1"/>
          <w:color w:val="auto"/>
        </w:rPr>
        <w:t>Exhibit 1.1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__,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Benchmark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 Underwriters named on Schedule A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BurTech Acquisition Corp., a company incorporated under the law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confirms its agreement with EF Hutton, division of Benchmark Investments, LLC (the “</w:t>
      </w:r>
      <w:r>
        <w:rPr>
          <w:rFonts w:ascii="Arial" w:cs="Arial" w:eastAsia="Arial" w:hAnsi="Arial"/>
          <w:sz w:val="18"/>
          <w:szCs w:val="18"/>
          <w:u w:val="single" w:color="auto"/>
          <w:color w:val="auto"/>
        </w:rPr>
        <w:t>Representative</w:t>
      </w:r>
      <w:r>
        <w:rPr>
          <w:rFonts w:ascii="Arial" w:cs="Arial" w:eastAsia="Arial" w:hAnsi="Arial"/>
          <w:sz w:val="18"/>
          <w:szCs w:val="18"/>
          <w:color w:val="auto"/>
        </w:rPr>
        <w:t xml:space="preserve">”), as representative of the several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or, each underwriter individually, an “</w:t>
      </w:r>
      <w:r>
        <w:rPr>
          <w:rFonts w:ascii="Arial" w:cs="Arial" w:eastAsia="Arial" w:hAnsi="Arial"/>
          <w:sz w:val="18"/>
          <w:szCs w:val="18"/>
          <w:u w:val="single" w:color="auto"/>
          <w:color w:val="auto"/>
        </w:rPr>
        <w:t>Underwriter</w:t>
      </w:r>
      <w:r>
        <w:rPr>
          <w:rFonts w:ascii="Arial" w:cs="Arial" w:eastAsia="Arial" w:hAnsi="Arial"/>
          <w:sz w:val="18"/>
          <w:szCs w:val="18"/>
          <w:color w:val="auto"/>
        </w:rPr>
        <w:t>”), as follows:</w:t>
      </w:r>
    </w:p>
    <w:p>
      <w:pPr>
        <w:spacing w:after="0" w:line="184"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Purchase and Sale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Firm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Purchase of Firm Units</w:t>
      </w:r>
      <w:r>
        <w:rPr>
          <w:rFonts w:ascii="Arial" w:cs="Arial" w:eastAsia="Arial" w:hAnsi="Arial"/>
          <w:sz w:val="17"/>
          <w:szCs w:val="17"/>
          <w:color w:val="auto"/>
        </w:rPr>
        <w:t>. On the basis of the representations and warranties contained herein, but subject to the terms and conditions herein set forth, the Company agrees to issue and sell to the several Underwriters, severally and not jointly, and the Underwriters agree to purchase from the Company, severally and not jointly, an aggregate of 25,000,000 units (the “</w:t>
      </w:r>
      <w:r>
        <w:rPr>
          <w:rFonts w:ascii="Arial" w:cs="Arial" w:eastAsia="Arial" w:hAnsi="Arial"/>
          <w:sz w:val="17"/>
          <w:szCs w:val="17"/>
          <w:u w:val="single" w:color="auto"/>
          <w:color w:val="auto"/>
        </w:rPr>
        <w:t>Firm Units</w:t>
      </w:r>
      <w:r>
        <w:rPr>
          <w:rFonts w:ascii="Arial" w:cs="Arial" w:eastAsia="Arial" w:hAnsi="Arial"/>
          <w:sz w:val="17"/>
          <w:szCs w:val="17"/>
          <w:color w:val="auto"/>
        </w:rPr>
        <w:t xml:space="preserve">”) of the Company, as set forth opposite the respective names of the Underwriters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at a purchase price (net of discounts and commissions and the Deferred Underwriting Commission described in Section 1.3 below) of $9.55 per Firm Unit. The Firm Units are to be offered initially to the public (the “</w:t>
      </w:r>
      <w:r>
        <w:rPr>
          <w:rFonts w:ascii="Arial" w:cs="Arial" w:eastAsia="Arial" w:hAnsi="Arial"/>
          <w:sz w:val="17"/>
          <w:szCs w:val="17"/>
          <w:u w:val="single" w:color="auto"/>
          <w:color w:val="auto"/>
        </w:rPr>
        <w:t>Offering</w:t>
      </w:r>
      <w:r>
        <w:rPr>
          <w:rFonts w:ascii="Arial" w:cs="Arial" w:eastAsia="Arial" w:hAnsi="Arial"/>
          <w:sz w:val="17"/>
          <w:szCs w:val="17"/>
          <w:color w:val="auto"/>
        </w:rPr>
        <w:t>”) at the offering price of $10.00 per Firm Unit. Each Firm Unit consists of one share of the Class A common stock of the Company, par value $0.0001 per share (the “</w:t>
      </w:r>
      <w:r>
        <w:rPr>
          <w:rFonts w:ascii="Arial" w:cs="Arial" w:eastAsia="Arial" w:hAnsi="Arial"/>
          <w:sz w:val="17"/>
          <w:szCs w:val="17"/>
          <w:u w:val="single" w:color="auto"/>
          <w:color w:val="auto"/>
        </w:rPr>
        <w:t>Class A Shares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Class A Share</w:t>
      </w:r>
      <w:r>
        <w:rPr>
          <w:rFonts w:ascii="Arial" w:cs="Arial" w:eastAsia="Arial" w:hAnsi="Arial"/>
          <w:sz w:val="17"/>
          <w:szCs w:val="17"/>
          <w:color w:val="auto"/>
        </w:rPr>
        <w:t>”), and one redeemable warrant (the “</w:t>
      </w:r>
      <w:r>
        <w:rPr>
          <w:rFonts w:ascii="Arial" w:cs="Arial" w:eastAsia="Arial" w:hAnsi="Arial"/>
          <w:sz w:val="17"/>
          <w:szCs w:val="17"/>
          <w:u w:val="single" w:color="auto"/>
          <w:color w:val="auto"/>
        </w:rPr>
        <w:t>Warrants</w:t>
      </w:r>
      <w:r>
        <w:rPr>
          <w:rFonts w:ascii="Arial" w:cs="Arial" w:eastAsia="Arial" w:hAnsi="Arial"/>
          <w:sz w:val="17"/>
          <w:szCs w:val="17"/>
          <w:color w:val="auto"/>
        </w:rPr>
        <w:t>”) to purchase one share of Class A common stock of the Company. The Class A Shares and Warrants included in the Firm Units will begin to trade separately on the fifty-second (52nd) day following the date hereof unless the Representative on behalf of the Underwriters determines to allow earlier separate trading. Notwithstanding the immediately preceding sentence, in no event will the Class A Shares and Warrants included in the Firm Units trade separately until (i) the Company shall have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Current Report on Form 8-K that includes an audited balance sheet reflecting the Company’s receipt of the proceeds of the Offering and updated financial information with respect to any proceeds the Company receives from the exercise of the Over-Allotment Option (defined below) if such option is exercised prior to the filing of such Form 8-K, and (ii) the Company has filed with the Commission a Current Report on Form 8-K and issued a press release announcing when such separate trading will begin. Each Warrant entitles its holder to purchase one Class A Share at a price of $11.50 per share, subject to adjustment, at any time commencing on the later of (i) thirty (30) days after the consummation by the Company of a merger, capital stock exchange, asset acquisition, stock purchase, recapitalization, reorganization, or similar business combination with one or more businesses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and (ii) twelve (12) months from the Closing Date (as defined in Section 1.1.2) and expiring on the five year anniversary of the consummation by the Company of its initial Business Combination, or earlier upon redemption of the Class A Shares or liquidation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2" w:name="page203"/>
    <w:bookmarkEnd w:id="202"/>
    <w:p>
      <w:pPr>
        <w:jc w:val="both"/>
        <w:ind w:firstLine="648"/>
        <w:spacing w:after="0" w:line="285"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Payment and Delivery</w:t>
      </w:r>
      <w:r>
        <w:rPr>
          <w:rFonts w:ascii="Arial" w:cs="Arial" w:eastAsia="Arial" w:hAnsi="Arial"/>
          <w:sz w:val="16"/>
          <w:szCs w:val="16"/>
          <w:color w:val="auto"/>
        </w:rPr>
        <w:t>. Delivery and payment for the Firm Units shall be made at 10:00 a.m., New York City time, on the second (2nd) Business Day (as defined below) following the commencement of trading of the Units, or at such earlier time as shall be agreed upon by the Representative and the Company, at the offices of Lucosky Brookman LLP, counsel to the Underwriters, or at such other place as shall be agreed upon by the Representative and the Company. The hour and date of delivery and payment for the Firm Units is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 Payment for the Firm Units shall be made on the Closing Date by wire transfer in Federal (same day) funds, payable as follows: $253,750,000 of the proceeds received by the Company for the Firm Units and the sale of Placement Units (as defined in Section 1.4.2) shall be deposited in the trust account (“</w:t>
      </w:r>
      <w:r>
        <w:rPr>
          <w:rFonts w:ascii="Arial" w:cs="Arial" w:eastAsia="Arial" w:hAnsi="Arial"/>
          <w:sz w:val="16"/>
          <w:szCs w:val="16"/>
          <w:u w:val="single" w:color="auto"/>
          <w:color w:val="auto"/>
        </w:rPr>
        <w:t>Trust Account</w:t>
      </w:r>
      <w:r>
        <w:rPr>
          <w:rFonts w:ascii="Arial" w:cs="Arial" w:eastAsia="Arial" w:hAnsi="Arial"/>
          <w:sz w:val="16"/>
          <w:szCs w:val="16"/>
          <w:color w:val="auto"/>
        </w:rPr>
        <w:t>”) established by the Company for the benefit of the Public Shareholders (as defined below), as described in the Registration Statement (as defined in Section 2.1.1) pursuant to the terms of an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between the Company and J.P. Morgan Securities LLC, as investment manager and Continental Stock Transfer &amp; Trust Company acting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The funds deposited in the Trust Account shall include up to an aggregate of $8,750,000 ($0.35 per Firm Unit), payable to the Underwriters as Deferred Underwriting Commission, as defined in and in accordance with Section 1.3 hereof. The remaining proceeds (less commissions and actual expense payments or other fees payable pursuant to this Agreement), if any, shall be paid to the order of the Company upon delivery to the Representative of certificates (in form and substance satisfactory to the Representative) representing the Firm Units (or through the facilities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full Business Days prior to the Closing Date. The Company will permit the Representative to examine and package the Firm Units for delivery, at least one (1) full Business Day prior to the Closing Date. The Company shall not be obligated to sell or deliver any of the Firm Units except upon tender of payment by the Representative for all the Firm Units.</w:t>
      </w:r>
    </w:p>
    <w:p>
      <w:pPr>
        <w:spacing w:after="0" w:line="3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Shareholders</w:t>
      </w:r>
      <w:r>
        <w:rPr>
          <w:rFonts w:ascii="Arial" w:cs="Arial" w:eastAsia="Arial" w:hAnsi="Arial"/>
          <w:sz w:val="18"/>
          <w:szCs w:val="18"/>
          <w:color w:val="auto"/>
        </w:rPr>
        <w:t>” means the holders of Class A Shares sold as part of the Units in the Offering or acquired in the secondary market, including the Initial Shareholder (defined in Section 1.4.1) to the extent such Initial Shareholder acquires such Class A Shares in the secondary market (and solely with respect to such Class A Shares).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Option Units</w:t>
      </w:r>
      <w:r>
        <w:rPr>
          <w:rFonts w:ascii="Arial" w:cs="Arial" w:eastAsia="Arial" w:hAnsi="Arial"/>
          <w:sz w:val="16"/>
          <w:szCs w:val="16"/>
          <w:color w:val="auto"/>
        </w:rPr>
        <w:t>. The Representative is hereby granted an option (the “</w:t>
      </w:r>
      <w:r>
        <w:rPr>
          <w:rFonts w:ascii="Arial" w:cs="Arial" w:eastAsia="Arial" w:hAnsi="Arial"/>
          <w:sz w:val="16"/>
          <w:szCs w:val="16"/>
          <w:u w:val="single" w:color="auto"/>
          <w:color w:val="auto"/>
        </w:rPr>
        <w:t>Over-Allotment Option</w:t>
      </w:r>
      <w:r>
        <w:rPr>
          <w:rFonts w:ascii="Arial" w:cs="Arial" w:eastAsia="Arial" w:hAnsi="Arial"/>
          <w:sz w:val="16"/>
          <w:szCs w:val="16"/>
          <w:color w:val="auto"/>
        </w:rPr>
        <w:t>”) to purchase up to an additional 3,750,000 units (the “</w:t>
      </w:r>
      <w:r>
        <w:rPr>
          <w:rFonts w:ascii="Arial" w:cs="Arial" w:eastAsia="Arial" w:hAnsi="Arial"/>
          <w:sz w:val="16"/>
          <w:szCs w:val="16"/>
          <w:u w:val="single" w:color="auto"/>
          <w:color w:val="auto"/>
        </w:rPr>
        <w:t>Option Units</w:t>
      </w:r>
      <w:r>
        <w:rPr>
          <w:rFonts w:ascii="Arial" w:cs="Arial" w:eastAsia="Arial" w:hAnsi="Arial"/>
          <w:sz w:val="16"/>
          <w:szCs w:val="16"/>
          <w:color w:val="auto"/>
        </w:rPr>
        <w:t xml:space="preserve">”), the gross proceeds of which will be deposited in the Trust Account, for the purposes of covering any over-allotments in connection with the distribution and sale of the Firm Units. Such Option Units shall be identical in all respects to the Firm Units. Such Option Units shall be purchased for each account of the several Underwriters in the same proportion as the number of Firm Units, set forth opposite such Underwriter’s name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hereto, bears to the total number of Firm Units (subject to adjustment by the Representative to eliminate fractions). No Option Units shall be sold or delivered unless the Firm Units previously have been, or simultaneously are, sold and delivered. The right to purchase the Option Units, or any portion thereof, may be exercised from time to time and to the extent not previously exercised may be surrendered and terminated at any time upon notice by the Representative to the Company. The purchase price to be paid for each Option Unit will be the same price per Firm Unit set forth in Section 1.1.1 hereof. The Firm Units and the Option Units are hereinafter collectively referred to as the “Units,” and the Units, the Class A Shares and Warrants included in the Units, and the Class A Shares issuable upon exercise of the Warrants are hereinafter referred to collectively as the “</w:t>
      </w:r>
      <w:r>
        <w:rPr>
          <w:rFonts w:ascii="Arial" w:cs="Arial" w:eastAsia="Arial" w:hAnsi="Arial"/>
          <w:sz w:val="16"/>
          <w:szCs w:val="16"/>
          <w:u w:val="single" w:color="auto"/>
          <w:color w:val="auto"/>
        </w:rPr>
        <w:t>Public Securities</w:t>
      </w:r>
      <w:r>
        <w:rPr>
          <w:rFonts w:ascii="Arial" w:cs="Arial" w:eastAsia="Arial" w:hAnsi="Arial"/>
          <w:sz w:val="16"/>
          <w:szCs w:val="16"/>
          <w:color w:val="auto"/>
        </w:rPr>
        <w:t>.”</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Exercise of Option</w:t>
      </w:r>
      <w:r>
        <w:rPr>
          <w:rFonts w:ascii="Arial" w:cs="Arial" w:eastAsia="Arial" w:hAnsi="Arial"/>
          <w:sz w:val="16"/>
          <w:szCs w:val="16"/>
          <w:color w:val="auto"/>
        </w:rPr>
        <w:t>. The Over-Allotment Option granted pursuant to Section 1.2.1 hereof may be exercised by the Representative as to all (at any time) or any part (from time to time) of the Option Units within 45 days after the Effective Date (as defined in Section 2.1.1) of the Registration Statement (as defined in Section 2.1.1 hereof). The Underwriters will not be under any obligation to purchase any Option Units prior to the exercise of the Over-Allotment Option. The Over-Allotment Option granted hereby may be exercised by the giving of oral notice to the Company by the Representative, which must be confirmed in accordance with Section 10.1 herein setting forth the number of Option Units to be purchased and the date and time for delivery of and payment for the Option Units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which shall not be later than five (5) full Business Days after the date of the notice or such other time and in such other manner as shall be agreed upon by the Company and the Representative, at the offices of counsel to the Underwriters or at such other place (including remotely by facsimile or other electronic transmission) as shall be agreed upon by the Company and the Representative. If such delivery and payment for the Option Units does not occur on the Closing Date, the Option Closing Date will be as set forth in the notice. Upon exercise of the Over-Allotment Option, the Company will become obligated to deliver to the Underwriters, and, subject to the terms and conditions set forth herein, the Underwriters will become obligated to purchase, the number of Option Units specified in such notice.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71"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Payment and Delivery</w:t>
      </w:r>
      <w:r>
        <w:rPr>
          <w:rFonts w:ascii="Arial" w:cs="Arial" w:eastAsia="Arial" w:hAnsi="Arial"/>
          <w:sz w:val="17"/>
          <w:szCs w:val="17"/>
          <w:color w:val="auto"/>
        </w:rPr>
        <w:t>. Payment for the Option Units shall be made on the Option Closing Date by wire transfer in Federal (same day) funds, payable as follows: $9.55 per Option Unit shall be deposited in the Trust Account pursuant to the Trust Agreement upon delivery to the Representative of certificates (in form and substance satisfactory to the Representative) representing the Option Units (or through the facilities of DTC) for the account of the Representative. The certificates representing the Option Units to be delivered will be in such denominations and registered in such names as the Representative requests in writing not less than two full Business Days prior to the Closing Date or the Option Closing Date, as the case may be, and will be made available to the Representative for inspection, checking and packaging at the aforesaid office of the Company’s transfer agent or correspondent not less than one full Business Day prior to such Closing Date. The Company shall not be obligated to sell or deliver the Option Units except upon tender of payment by the Underwriters for applicable Option Units.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Deferred Underwriting Commission</w:t>
      </w:r>
      <w:r>
        <w:rPr>
          <w:rFonts w:ascii="Arial" w:cs="Arial" w:eastAsia="Arial" w:hAnsi="Arial"/>
          <w:sz w:val="18"/>
          <w:szCs w:val="18"/>
          <w:color w:val="auto"/>
        </w:rPr>
        <w:t>. The Underwriters agree that up to 3.5% of the gross proceeds from the sale of the Firm Units ($8,750,000), if any (collectively, the “</w:t>
      </w:r>
      <w:r>
        <w:rPr>
          <w:rFonts w:ascii="Arial" w:cs="Arial" w:eastAsia="Arial" w:hAnsi="Arial"/>
          <w:sz w:val="18"/>
          <w:szCs w:val="18"/>
          <w:u w:val="single" w:color="auto"/>
          <w:color w:val="auto"/>
        </w:rPr>
        <w:t>Deferred Underwriting Commission</w:t>
      </w:r>
      <w:r>
        <w:rPr>
          <w:rFonts w:ascii="Arial" w:cs="Arial" w:eastAsia="Arial" w:hAnsi="Arial"/>
          <w:sz w:val="18"/>
          <w:szCs w:val="18"/>
          <w:color w:val="auto"/>
        </w:rPr>
        <w:t>”), will be deposited and held in the Trust Account and payable directly from the Trust Account, without accrued interest, to the Underwriters for their own accounts upon consummation of the Company’s initial Business Combination. In the event that the Company is unable to consummate a Business Combination and the Trustee, as the trustee of the Trust Account commences liquidation of the Trust Account as provided in the Trust Agreement, the Underwriters agree that: (i) they shall forfeit any rights or claims to the Deferred Underwriting Commission; and (ii) the Deferred Underwriting Commission, together with all other amounts on deposit in the Trust Account, shall be distributed on a pro-rata basis among the Public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Private Placements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Insider Shares</w:t>
      </w:r>
      <w:r>
        <w:rPr>
          <w:rFonts w:ascii="Arial" w:cs="Arial" w:eastAsia="Arial" w:hAnsi="Arial"/>
          <w:sz w:val="18"/>
          <w:szCs w:val="18"/>
          <w:color w:val="auto"/>
        </w:rPr>
        <w:t>. On May 21, 2021, the Company issued 8,625,000 shares of its Class B common stock, par value $0.0001 per share (“</w:t>
      </w:r>
      <w:r>
        <w:rPr>
          <w:rFonts w:ascii="Arial" w:cs="Arial" w:eastAsia="Arial" w:hAnsi="Arial"/>
          <w:sz w:val="18"/>
          <w:szCs w:val="18"/>
          <w:u w:val="single" w:color="auto"/>
          <w:color w:val="auto"/>
        </w:rPr>
        <w:t>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to BurTech LP LLC, the Company’s sponsor (the “</w:t>
      </w:r>
      <w:r>
        <w:rPr>
          <w:rFonts w:ascii="Arial" w:cs="Arial" w:eastAsia="Arial" w:hAnsi="Arial"/>
          <w:sz w:val="18"/>
          <w:szCs w:val="18"/>
          <w:u w:val="single" w:color="auto"/>
          <w:color w:val="auto"/>
        </w:rPr>
        <w:t>Sponsor</w:t>
      </w:r>
      <w:r>
        <w:rPr>
          <w:rFonts w:ascii="Arial" w:cs="Arial" w:eastAsia="Arial" w:hAnsi="Arial"/>
          <w:sz w:val="18"/>
          <w:szCs w:val="18"/>
          <w:color w:val="auto"/>
        </w:rPr>
        <w:t>”) for an aggregate purchase price of $25,000.</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September 24, 2021, the Company issued 862,500 Class B Shares to the Sponsor (also referred to as the “</w:t>
      </w:r>
      <w:r>
        <w:rPr>
          <w:rFonts w:ascii="Arial" w:cs="Arial" w:eastAsia="Arial" w:hAnsi="Arial"/>
          <w:sz w:val="16"/>
          <w:szCs w:val="16"/>
          <w:u w:val="single" w:color="auto"/>
          <w:color w:val="auto"/>
        </w:rPr>
        <w:t>Initial Shareholder</w:t>
      </w:r>
      <w:r>
        <w:rPr>
          <w:rFonts w:ascii="Arial" w:cs="Arial" w:eastAsia="Arial" w:hAnsi="Arial"/>
          <w:sz w:val="16"/>
          <w:szCs w:val="16"/>
          <w:color w:val="auto"/>
        </w:rPr>
        <w:t>”) in connection with a 1.1 stock split, resulting in an aggregate of 9,487,500 Class B Shares issued and outstanding and held by the Initial Shareholder (the “</w:t>
      </w:r>
      <w:r>
        <w:rPr>
          <w:rFonts w:ascii="Arial" w:cs="Arial" w:eastAsia="Arial" w:hAnsi="Arial"/>
          <w:sz w:val="16"/>
          <w:szCs w:val="16"/>
          <w:u w:val="single" w:color="auto"/>
          <w:color w:val="auto"/>
        </w:rPr>
        <w:t>Insider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No underwriting discounts, commissions, or placement fees have been or will be payable in connection with the purchase of Insider Shares.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described in the Registration Statement, none of the Insider Shares may be sold, assigned or transferred by the Initial Shareholder until</w:t>
      </w:r>
    </w:p>
    <w:p>
      <w:pPr>
        <w:spacing w:after="0" w:line="46" w:lineRule="exact"/>
        <w:rPr>
          <w:sz w:val="20"/>
          <w:szCs w:val="20"/>
          <w:color w:val="auto"/>
        </w:rPr>
      </w:pPr>
    </w:p>
    <w:p>
      <w:pPr>
        <w:jc w:val="both"/>
        <w:ind w:firstLine="8"/>
        <w:spacing w:after="0" w:line="285" w:lineRule="auto"/>
        <w:tabs>
          <w:tab w:leader="none" w:pos="23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earlier of 6 months after the date of the consummation of the Company’s initial Business Combination and (ii) the date on which the Company completes a liquidation, merger, stock exchange or other similar transaction after the Company’s initial Business Combination that results in all of its public stockholders having the right to exchange their Class A Shares for cash, securities or other property. Notwithstanding the foregoing, the converted shares of the Company’s Class A Shares may be sold, assigned or transferred by the Initial Shareholder if (x) subsequent to the Company’s Initial Business Combination, the last reported sale price of the Company’s Class A Shares equals or exceeds $12.00 per share (as adjusted for share splits, share capitalizations, reorganizations and recapitalizations) for any 20 trading days within any 30-trading day period or (y) the Company completes a transaction after the Company’s initial Business Combination which results in all of the Company’s stockholders having the right to exchange their shares for cash, securities or other property. The Insider Shares shall be subject to restrictions on transfer as set forth in the Insider Letters (as defined in Section 2.21.1 herein). The holders of Insider Shares shall have no right to any liquidating distributions with respect to any portion of the Insider Shares in the event the Company fails to consummate a Business Combination. The holders of the Insider Shares shall not have redemption rights with respect to the Insider Shares. In the event that the Over-Allotment Option is not exercised in full, the Sponsor will be required to forfeit such number of Insider Shares (up to 1,237,500 Insider Shares) such that the Insider Shares then outstanding will comprise 24% of the issued and outstanding shares of the Company (but not including any Placement Shares (as defined below)) after giving effect to the Offering and exercise, if any, of the Over-Allotment Option.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648"/>
        <w:spacing w:after="0" w:line="286"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Private Placement</w:t>
      </w:r>
      <w:r>
        <w:rPr>
          <w:rFonts w:ascii="Arial" w:cs="Arial" w:eastAsia="Arial" w:hAnsi="Arial"/>
          <w:sz w:val="16"/>
          <w:szCs w:val="16"/>
          <w:color w:val="auto"/>
        </w:rPr>
        <w:t>. Simultaneously with the Closing Date, the Sponsor will purchase from the Company pursuant to a Private Placement Unit Purchase Agreement (as defined in Section 2.21.2 below) an aggregate of 804,500 Units of the Company, which are identical to the Firm Units subject to certain exceptions (collectively, the “</w:t>
      </w:r>
      <w:r>
        <w:rPr>
          <w:rFonts w:ascii="Arial" w:cs="Arial" w:eastAsia="Arial" w:hAnsi="Arial"/>
          <w:sz w:val="16"/>
          <w:szCs w:val="16"/>
          <w:u w:val="single" w:color="auto"/>
          <w:color w:val="auto"/>
        </w:rPr>
        <w:t>Placement Units</w:t>
      </w:r>
      <w:r>
        <w:rPr>
          <w:rFonts w:ascii="Arial" w:cs="Arial" w:eastAsia="Arial" w:hAnsi="Arial"/>
          <w:sz w:val="16"/>
          <w:szCs w:val="16"/>
          <w:color w:val="auto"/>
        </w:rPr>
        <w:t>”), at a purchase price of $10.00 per Placement Unit in a private placement (the “</w:t>
      </w:r>
      <w:r>
        <w:rPr>
          <w:rFonts w:ascii="Arial" w:cs="Arial" w:eastAsia="Arial" w:hAnsi="Arial"/>
          <w:sz w:val="16"/>
          <w:szCs w:val="16"/>
          <w:u w:val="single" w:color="auto"/>
          <w:color w:val="auto"/>
        </w:rPr>
        <w:t>Private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Placement</w:t>
      </w:r>
      <w:r>
        <w:rPr>
          <w:rFonts w:ascii="Arial" w:cs="Arial" w:eastAsia="Arial" w:hAnsi="Arial"/>
          <w:sz w:val="16"/>
          <w:szCs w:val="16"/>
          <w:color w:val="auto"/>
        </w:rPr>
        <w:t>”) intended to be exempt from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pursuant to Section 4(a)</w:t>
      </w:r>
    </w:p>
    <w:p>
      <w:pPr>
        <w:spacing w:after="0" w:line="1" w:lineRule="exact"/>
        <w:rPr>
          <w:sz w:val="20"/>
          <w:szCs w:val="20"/>
          <w:color w:val="auto"/>
        </w:rPr>
      </w:pPr>
    </w:p>
    <w:p>
      <w:pPr>
        <w:jc w:val="both"/>
        <w:ind w:firstLine="8"/>
        <w:spacing w:after="0" w:line="253" w:lineRule="auto"/>
        <w:tabs>
          <w:tab w:leader="none" w:pos="27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thereof. The terms of the Placement Units are as described in the Prospectus (as defined in Section 2.1.1 below). Simultaneously with the Option Closing Date (if any), the Sponsor will purchase from the Company pursuant to the Private Placement Unit Purchase Agreement, up to an additional 93,750 Placement Units at a purchase price of $10.00 per Placement Unit in a private placement intended to be exempt from registration under the Securities Act pursuant to Section 4(a)(2) thereof.</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None of the Placement Units may be sold, assigned or transferred by the Sponsor until thirty (30) days after consummation of a Business Combination except to permitted transferees. The purchase price for the Placement Units to be paid by the Sponsor has been delivered to the Trustee or counsel to the Company or to the Representative to hold in a separate escrow account at least 24 hours prior to the date hereof so that such funds are readily available to be delivered to the Trust Account on the Closing Date or the Option Closing Date, as the case may be.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1.4.3. The Placement Units and the Class A Shares (the “</w:t>
      </w:r>
      <w:r>
        <w:rPr>
          <w:rFonts w:ascii="Arial" w:cs="Arial" w:eastAsia="Arial" w:hAnsi="Arial"/>
          <w:sz w:val="18"/>
          <w:szCs w:val="18"/>
          <w:u w:val="single" w:color="auto"/>
          <w:color w:val="auto"/>
        </w:rPr>
        <w:t>Placement Shares</w:t>
      </w:r>
      <w:r>
        <w:rPr>
          <w:rFonts w:ascii="Arial" w:cs="Arial" w:eastAsia="Arial" w:hAnsi="Arial"/>
          <w:sz w:val="18"/>
          <w:szCs w:val="18"/>
          <w:color w:val="auto"/>
        </w:rPr>
        <w:t>”) and Warrants (“</w:t>
      </w:r>
      <w:r>
        <w:rPr>
          <w:rFonts w:ascii="Arial" w:cs="Arial" w:eastAsia="Arial" w:hAnsi="Arial"/>
          <w:sz w:val="18"/>
          <w:szCs w:val="18"/>
          <w:u w:val="single" w:color="auto"/>
          <w:color w:val="auto"/>
        </w:rPr>
        <w:t>Placement Warrants</w:t>
      </w:r>
      <w:r>
        <w:rPr>
          <w:rFonts w:ascii="Arial" w:cs="Arial" w:eastAsia="Arial" w:hAnsi="Arial"/>
          <w:sz w:val="18"/>
          <w:szCs w:val="18"/>
          <w:color w:val="auto"/>
        </w:rPr>
        <w:t>”) underlying the Placement Units, and the Class A Shares issuable upon exercise of the Placement Warrants are hereinafter referred to collectively as the “</w:t>
      </w:r>
      <w:r>
        <w:rPr>
          <w:rFonts w:ascii="Arial" w:cs="Arial" w:eastAsia="Arial" w:hAnsi="Arial"/>
          <w:sz w:val="18"/>
          <w:szCs w:val="18"/>
          <w:u w:val="single" w:color="auto"/>
          <w:color w:val="auto"/>
        </w:rPr>
        <w:t>Placement Securities</w:t>
      </w:r>
      <w:r>
        <w:rPr>
          <w:rFonts w:ascii="Arial" w:cs="Arial" w:eastAsia="Arial" w:hAnsi="Arial"/>
          <w:sz w:val="18"/>
          <w:szCs w:val="18"/>
          <w:color w:val="auto"/>
        </w:rPr>
        <w:t>.” No underwriting discounts, commissions, or placement fees have been or will be payable in connection with the Placement Securities sold in the Private Placement. The Placement Units are identical to the Firm Units except that (i) the Placement Warrants will be non-redeemable by the Company, (ii) the Placement Warrants may be exercised on a cashless basis so long as they are held by the initial purchasers or their permitted transferees, and (iii) none of the Placement Securities may be sold, assigned or transferred by the Sponsor, or its permitted transferees until thirty (30) days after consummation of the Company’s initial Business Combination. The Public Securities, the Placement Securities, and the Insider Shares are hereinafter referred to collectively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Representative’s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Class A Shares</w:t>
      </w:r>
      <w:r>
        <w:rPr>
          <w:rFonts w:ascii="Arial" w:cs="Arial" w:eastAsia="Arial" w:hAnsi="Arial"/>
          <w:sz w:val="18"/>
          <w:szCs w:val="18"/>
          <w:color w:val="auto"/>
        </w:rPr>
        <w:t>. Upon consummation of the Offering, the Company shall issue to the Representative or its designees an aggregate of 375,000 Class A Shares and, if the Underwriters exercise the Over-Allotment option in full, the Company shall issue to the Representative an additional 56,250 Class A Shares (the “</w:t>
      </w:r>
      <w:r>
        <w:rPr>
          <w:rFonts w:ascii="Arial" w:cs="Arial" w:eastAsia="Arial" w:hAnsi="Arial"/>
          <w:sz w:val="18"/>
          <w:szCs w:val="18"/>
          <w:u w:val="single" w:color="auto"/>
          <w:color w:val="auto"/>
        </w:rPr>
        <w:t>Representative’s Securities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Transfer and other Restrictions</w:t>
      </w:r>
      <w:r>
        <w:rPr>
          <w:rFonts w:ascii="Arial" w:cs="Arial" w:eastAsia="Arial" w:hAnsi="Arial"/>
          <w:sz w:val="18"/>
          <w:szCs w:val="18"/>
          <w:color w:val="auto"/>
        </w:rPr>
        <w:t>. The Representative hereby agrees (i) to waive its redemption rights (or rights to participate in any tender offer) with respect to the Representative’s Securities in connection with the completion of the initial Business Combination and (ii) to waive its rights to liquidating distributions from the Trust Account with respect to the Representative’s Securities if the Company fails to complete the initial Business Combination. The Representative will not sell, transfer, assign, pledge or hypothecate the Representative’s Securities, or cause the Representative’s Securities to be the subject of any hedging, short sale, derivative, put, or call transaction that would result in the effective economic disposition of the Representative’s Securities by any person, for a period of time ending on the later of the completion of the initial Business Combination and 180 days (pursuant to FINRA Rule 5110(e)(1)) following the Effective Date to anyone other than (i) the Representative or an underwriter or selected dealer in connection with the Offering, (ii) a bona fide officer or partner, associated person or affiliate of the Representative or of any such underwriter or selected dealer. Thereafter, transfers to others may be made subject to compliance with or exemptions from applicable securities laws or (iii) otherwise, without the Company’s written consent. The Representative further agrees to vote in favor of any initial Business Combination presented to the Company’s stockholders.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and payment for the Representative’s Securities shall be made on the Closing Date. On such date, the Company shall deliver to the Representative or its designees, the Representative’s Securities in book-entry form in the name or names and in such authorized denominations as the Representative may request.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right="20"/>
        <w:spacing w:after="0" w:line="30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Working Capital</w:t>
      </w:r>
      <w:r>
        <w:rPr>
          <w:rFonts w:ascii="Arial" w:cs="Arial" w:eastAsia="Arial" w:hAnsi="Arial"/>
          <w:sz w:val="17"/>
          <w:szCs w:val="17"/>
          <w:color w:val="auto"/>
        </w:rPr>
        <w:t>. Upon consummation of the Offering, approximately $1,150,000 of the net proceeds from the sale of Units and Placement Units will be released to the Company and held outside of the Trust Account to fund the working capital requirements of the Company.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Interest Income</w:t>
      </w:r>
      <w:r>
        <w:rPr>
          <w:rFonts w:ascii="Arial" w:cs="Arial" w:eastAsia="Arial" w:hAnsi="Arial"/>
          <w:sz w:val="18"/>
          <w:szCs w:val="18"/>
          <w:color w:val="auto"/>
        </w:rPr>
        <w:t>. Prior to the Company’s consummation of a Business Combination or the Company’s liquidation, interest earned on the Trust Account may be released to the Company from the Trust Account in accordance with the terms of the Trust Agreement to pay any taxes incurred by the Company, as more fully described in the Prospectus (as defined below).</w:t>
      </w:r>
    </w:p>
    <w:p>
      <w:pPr>
        <w:spacing w:after="0" w:line="184"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follows: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Filing of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Pursuant to the Securities Act</w:t>
      </w:r>
      <w:r>
        <w:rPr>
          <w:rFonts w:ascii="Arial" w:cs="Arial" w:eastAsia="Arial" w:hAnsi="Arial"/>
          <w:sz w:val="16"/>
          <w:szCs w:val="16"/>
          <w:color w:val="auto"/>
        </w:rPr>
        <w:t>. The Company has filed with the Commission a registration statement and any amendments thereto, on Form S-1 (File No. 333-258914), including any related preliminary prospectus (the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including any prospectus that is included in the registration statement immediately prior to the effectiveness of the registration statement), for the registration of the Units and the Class A Shares and Warrants included in the Units, under the Securities Act, which registration statement and amendment or amendments have been prepared by the Company in conformity with the requirements of the Securities Act and the rules and regulations of the Commission thereunder (the “</w:t>
      </w:r>
      <w:r>
        <w:rPr>
          <w:rFonts w:ascii="Arial" w:cs="Arial" w:eastAsia="Arial" w:hAnsi="Arial"/>
          <w:sz w:val="16"/>
          <w:szCs w:val="16"/>
          <w:u w:val="single" w:color="auto"/>
          <w:color w:val="auto"/>
        </w:rPr>
        <w:t>Regulations</w:t>
      </w:r>
      <w:r>
        <w:rPr>
          <w:rFonts w:ascii="Arial" w:cs="Arial" w:eastAsia="Arial" w:hAnsi="Arial"/>
          <w:sz w:val="16"/>
          <w:szCs w:val="16"/>
          <w:color w:val="auto"/>
        </w:rPr>
        <w:t>”). The conditions for use of Form S-1 to register the Offering under the Securities Act, as set forth in the General Instructions to such form, have been satisfied. Except as the context may otherwise require, such registration statement, as amended, on file with the Commission at the time the registration statement is declared effective by the Commission (the date of such declaration by the Commission being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financial statements, schedules, exhibits and all other documents filed as a part thereof or incorporated therein and all information deemed to be a part thereof as of such time pursuant to Rule 430A under the Securities Act, together with the registration statement filed by the Company pursuant to Rule 462(b) under the Securities Act registering additional Public Securities (the “</w:t>
      </w:r>
      <w:r>
        <w:rPr>
          <w:rFonts w:ascii="Arial" w:cs="Arial" w:eastAsia="Arial" w:hAnsi="Arial"/>
          <w:sz w:val="16"/>
          <w:szCs w:val="16"/>
          <w:u w:val="single" w:color="auto"/>
          <w:color w:val="auto"/>
        </w:rPr>
        <w:t>Rule 462(b) Registration Statement</w:t>
      </w:r>
      <w:r>
        <w:rPr>
          <w:rFonts w:ascii="Arial" w:cs="Arial" w:eastAsia="Arial" w:hAnsi="Arial"/>
          <w:sz w:val="16"/>
          <w:szCs w:val="16"/>
          <w:color w:val="auto"/>
        </w:rPr>
        <w:t>”), is hereinafter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under the Securities Act, filed by the Company with the Commission pursuant to Rule 424 under the Securities Act), is hereinafter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Applicable Time</w:t>
      </w:r>
      <w:r>
        <w:rPr>
          <w:rFonts w:ascii="Arial" w:cs="Arial" w:eastAsia="Arial" w:hAnsi="Arial"/>
          <w:sz w:val="16"/>
          <w:szCs w:val="16"/>
          <w:color w:val="auto"/>
        </w:rPr>
        <w:t>,” as used in the Securities Act, means 5:00p.m. New York City time, on the date of this Agreement. Prior to the Applicable Time, the Company prepared a Preliminary Prospectus, which was included in the Registration Statement filed on August 19, 2021, for distribution by the Underwriters (such Preliminary Prospectus used most recently prior to the Applicable Time, the “</w:t>
      </w:r>
      <w:r>
        <w:rPr>
          <w:rFonts w:ascii="Arial" w:cs="Arial" w:eastAsia="Arial" w:hAnsi="Arial"/>
          <w:sz w:val="16"/>
          <w:szCs w:val="16"/>
          <w:u w:val="single" w:color="auto"/>
          <w:color w:val="auto"/>
        </w:rPr>
        <w:t>Statutory Prospectus</w:t>
      </w:r>
      <w:r>
        <w:rPr>
          <w:rFonts w:ascii="Arial" w:cs="Arial" w:eastAsia="Arial" w:hAnsi="Arial"/>
          <w:sz w:val="16"/>
          <w:szCs w:val="16"/>
          <w:color w:val="auto"/>
        </w:rPr>
        <w:t>”). Other than the Registration Statement, together with any correspondence letters between the Company and/or counsel for the Company and the Commission, no other document with respect to the Registration Statement has been filed under the Act with the Commission. All of the Public Securities have been or will be registered for public sale under the Act pursuant to the Registration Statement. The Registration Statement has been declared effective by the Commission on the date hereof. If, subsequent to the date of this Agreement, the Company or the Representative determines that, at the Applicable Time, the Statutory Prospectus included an untrue statement of a material fact or omitted a statement of material fact necessary to make the statements therein, in light of the circumstances under which they were made, not misleading and the Company and the Representative agree to provide an opportunity to purchasers of the Units to terminate their old purchase commitments and enter into new purchase commitments, then the Statutory Prospectus will be deemed to include any additional information available to purchasers at the time of entry into the first such new purchase commitment.</w:t>
      </w:r>
    </w:p>
    <w:p>
      <w:pPr>
        <w:spacing w:after="0" w:line="3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Pursuant to the Exchange Act</w:t>
      </w:r>
      <w:r>
        <w:rPr>
          <w:rFonts w:ascii="Arial" w:cs="Arial" w:eastAsia="Arial" w:hAnsi="Arial"/>
          <w:sz w:val="17"/>
          <w:szCs w:val="17"/>
          <w:color w:val="auto"/>
        </w:rPr>
        <w:t>. The Company has filed with the Commission a Registration Statement on Form 8-A (File Number 001-[__]) providing for the registration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of the Units, Class A Shares and the Warrants. The registration of the Units, Class A Shares and Warrants under the Exchange Act has been declared effective by the Commission on the date hereof and the Units, Class A Shares and Warrants have been registered pursuant to Section 12(b) of the Exchange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None of the Commission, any federal, state or other regulatory authority has issued, or, to the Company’s knowledge, after reasonable inquiry, threatened to issue, any order preventing or suspending the use of the Registration Statement, any Preliminary Prospectus, the Statutory Prospectus or Prospectus or any part thereof, or has instituted or, to the Company’s knowledge, after reasonable inquiry, threatened to institute, any proceedings with respect to such an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Disclosures in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10b-5 Representation</w:t>
      </w:r>
      <w:r>
        <w:rPr>
          <w:rFonts w:ascii="Arial" w:cs="Arial" w:eastAsia="Arial" w:hAnsi="Arial"/>
          <w:sz w:val="16"/>
          <w:szCs w:val="16"/>
          <w:color w:val="auto"/>
        </w:rPr>
        <w:t>. At the time of effectiveness of the Registration Statement (or at the time of any post-effective amendment to the Registration Statement) and at all times subsequent thereto up to and including the Closing Date and the Option Closing Date, if any, the Registration Statement, the Statutory Prospectus and the Prospectus do and will contain all material statements that are required to be stated therein in accordance with the Securities Act and the Regulations, and did or will, in all material respects, conform to the requirements of the Securities Act and the Regulations. The Registration Statement, as of the Effective Date and at the Applicable Time, did not, and the amendments and supplements thereto, as of their respective dates, will not contain any untrue statement of a material fact or omit to state any material fact required to be stated therein or necessary to make the statements therein not misleading. The Prospectus, as of its date and the Closing Date or the Option Closing Date, as the case may be, did not, and the amendments and supplements thereto, as of their respective dates, will not, include any untrue statement of a material fact or omit to state a material fact necessary in order to make the statements therein, in the light of the circumstances under which they were made, not misleading. The Statutory Prospectus, as of the Applicable Time (or such subsequent Applicable Time pursuant to Section 2.1.1), did not include any untrue statement of a material fact or omit to state a material fact necessary in order to make the statements therein, in the light of the circumstances under which they were made, not misleading. When any Preliminary Prospectus or the Statutory Prospectus was first filed with the Commission (whether filed as part of the Registration Statement for the registration of the Public Securities or any amendment thereto or pursuant to Rule 424(a) of the Regulations) and when any amendment thereof or supplement thereto was first filed with the Commission, such Preliminary Prospectus or the Statutory Prospectus and any amendments thereof and supplements thereto complied or will have been corrected in the Statutory Prospectus and the Prospectus to comply in all material respects with the applicable provisions of the Securities Act and the Regulations and did not and will not contain an untrue statement of a material fact or omit to state any material fact necessary in order to make the statements therein, in the light of the circumstances under which they were made, not misleading. The representation and warranty made in this Section 2.2.1 does not apply to statements made or statements omitted in reliance upon and in conformity with written information furnished to the Company with respect to the Underwriters by the Underwriters expressly for use in the Registration Statement, the Statutory Prospectus or the Prospectus or any amendment thereof or supplement thereto. The parties acknowledge and agree that such information provided by or on behalf of the Underwriters consists solely of the following: the names of the Underwriters, the information with respect to stabilization transactions contained in the section entitled “Underwriting - Stabilization” and the identity of counsel to the Underwriters contained in the section entitled “Legal Matters” (such information, collectively, the “</w:t>
      </w:r>
      <w:r>
        <w:rPr>
          <w:rFonts w:ascii="Arial" w:cs="Arial" w:eastAsia="Arial" w:hAnsi="Arial"/>
          <w:sz w:val="16"/>
          <w:szCs w:val="16"/>
          <w:u w:val="single" w:color="auto"/>
          <w:color w:val="auto"/>
        </w:rPr>
        <w:t>Underwriters’ Information</w:t>
      </w:r>
      <w:r>
        <w:rPr>
          <w:rFonts w:ascii="Arial" w:cs="Arial" w:eastAsia="Arial" w:hAnsi="Arial"/>
          <w:sz w:val="16"/>
          <w:szCs w:val="16"/>
          <w:color w:val="auto"/>
        </w:rPr>
        <w:t>”).</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Disclosure of Agreements</w:t>
      </w:r>
      <w:r>
        <w:rPr>
          <w:rFonts w:ascii="Arial" w:cs="Arial" w:eastAsia="Arial" w:hAnsi="Arial"/>
          <w:sz w:val="17"/>
          <w:szCs w:val="17"/>
          <w:color w:val="auto"/>
        </w:rPr>
        <w:t>. The agreements and documents described in the Registration Statement, the Statutory Prospectus and the Prospectus conform to the descriptions thereof contained therein in all material respects and there are no agreements or other documents required to be described in the Registration Statement, the Statutory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Statutory Prospectus or the Prospectus or attached as an exhibit thereto, or (ii) that is material to the Company’s business, has been duly authorized, validly executed and delivered by the Company, is in full force and effect and is enforceable against the Company and, to the Company’s knowledge, after reasonable inquiry, the other parties thereto, in accordance with its terms, and no such agreement or instrument has been assigned by the Company, and neither the Company nor, to the Company’s knowledge, after reasonable inquiry, any other party is in breach or default thereunder and no event has occurred that, with the lapse of time or the giving of notice, or both, would constitute a breach or default thereunder. The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firstLine="648"/>
        <w:spacing w:after="0" w:line="286"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Regulations</w:t>
      </w:r>
      <w:r>
        <w:rPr>
          <w:rFonts w:ascii="Arial" w:cs="Arial" w:eastAsia="Arial" w:hAnsi="Arial"/>
          <w:sz w:val="17"/>
          <w:szCs w:val="17"/>
          <w:color w:val="auto"/>
        </w:rPr>
        <w:t>. The disclosures in the Registration Statement, the Statutory Prospectus and Prospectus concerning the effects of federal, foreign, state and local regulation on the Company’s business as currently contemplated are correct in all material respects and do not omit to state a material fact necessary to make the statements therein, in the light of the circumstances in which they were made, not misleading.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Changes After Dates in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the respective dates as of which information is given in the Registration Statement, the Statutory Prospectus and the Prospectus, except as otherwise specifically stated therein,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or management has resigned from any position with the Company and (iv) no event or occurrence has taken place which materially impairs, or would likely materially impair, with the passage of time, the ability of the members of the Board of Directors or management to act in their capacities with the Company as described in the Registration Statement, the Statutory Prospectus and the Prospectus.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Recent Securities Transactions</w:t>
      </w:r>
      <w:r>
        <w:rPr>
          <w:rFonts w:ascii="Arial" w:cs="Arial" w:eastAsia="Arial" w:hAnsi="Arial"/>
          <w:sz w:val="18"/>
          <w:szCs w:val="18"/>
          <w:color w:val="auto"/>
        </w:rPr>
        <w:t>. Subsequent to the respective dates as of which information is given in the Registration Statement, the Statutory Prospectus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share capital.</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Marcum LLP (“</w:t>
      </w:r>
      <w:r>
        <w:rPr>
          <w:rFonts w:ascii="Arial" w:cs="Arial" w:eastAsia="Arial" w:hAnsi="Arial"/>
          <w:sz w:val="17"/>
          <w:szCs w:val="17"/>
          <w:u w:val="single" w:color="auto"/>
          <w:color w:val="auto"/>
        </w:rPr>
        <w:t>Marcum</w:t>
      </w:r>
      <w:r>
        <w:rPr>
          <w:rFonts w:ascii="Arial" w:cs="Arial" w:eastAsia="Arial" w:hAnsi="Arial"/>
          <w:sz w:val="17"/>
          <w:szCs w:val="17"/>
          <w:color w:val="auto"/>
        </w:rPr>
        <w:t>”), whose report is filed with the Commission as part of, and is included in, the Registration Statement, the Statutory Prospectus, and the Prospectus, are independent registered public accountants as required by the Securities Act, the Regulations and the Public Company Accounting Oversight Board (the “</w:t>
      </w:r>
      <w:r>
        <w:rPr>
          <w:rFonts w:ascii="Arial" w:cs="Arial" w:eastAsia="Arial" w:hAnsi="Arial"/>
          <w:sz w:val="17"/>
          <w:szCs w:val="17"/>
          <w:u w:val="single" w:color="auto"/>
          <w:color w:val="auto"/>
        </w:rPr>
        <w:t>PCAOB</w:t>
      </w:r>
      <w:r>
        <w:rPr>
          <w:rFonts w:ascii="Arial" w:cs="Arial" w:eastAsia="Arial" w:hAnsi="Arial"/>
          <w:sz w:val="17"/>
          <w:szCs w:val="17"/>
          <w:color w:val="auto"/>
        </w:rPr>
        <w:t>”), including the rules and regulations promulgated by such entity. To the Company’s knowledge, after reasonable inquiry, Marcum is currently registered with the PCAOB and in good standing. Marcum has not, during the periods covered by the financial statements included in the Registration Statement, the Statutory Prospectus and the Prospectus, provided to the Company any non-audit services, as such term is used in Section 10A(g) of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Financial Statements; Statistical Data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including the notes thereto and supporting schedules (if any) included in the Registration Statement, the Statutory Prospectus and the Prospectus fairly present the financial condition, the results of operations and the cash flows of the Company at the dates and for the periods to which they apply; such financial statements have been prepared in conformity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the supporting schedules included in the Registration Statement, the Statutory Prospectus and the Prospectus present fairly the information required to be stated therein in conformity with the Regulations. No other financial statements or supporting schedules are required to be included or incorporated by reference in the Registration Statement, the Statutory Prospectus or the Prospectus. The Registration Statement, the Statutory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There are no pro forma or as adjusted financial statements which are required to be included in the Registration Statement, the Statutory Prospectus and the Prospectus in accordance with Regulation S-X or Form 10 that have not been included as so required.</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Statistical Data</w:t>
      </w:r>
      <w:r>
        <w:rPr>
          <w:rFonts w:ascii="Arial" w:cs="Arial" w:eastAsia="Arial" w:hAnsi="Arial"/>
          <w:sz w:val="18"/>
          <w:szCs w:val="18"/>
          <w:color w:val="auto"/>
        </w:rPr>
        <w:t>. The statistical, industry-related and market-related data included in the Registration Statement, the Statutory Prospectus and/or the Prospectus are based on or derived from sources that the Company reasonably and in good faith believes are reliable and accurate, and such data agree with the sources from which they are derived.</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Authorized Capital; Options</w:t>
      </w:r>
      <w:r>
        <w:rPr>
          <w:rFonts w:ascii="Arial" w:cs="Arial" w:eastAsia="Arial" w:hAnsi="Arial"/>
          <w:sz w:val="16"/>
          <w:szCs w:val="16"/>
          <w:color w:val="auto"/>
        </w:rPr>
        <w:t>. The Company had at the date or dates indicated in each of the Registration Statement, the Statutory Prospectus, and the Prospectus, as the case may be, duly authorized, issued and outstanding capitalization as set forth in the Registration Statement, the Statutory Prospectus, and the Prospectus. Based on the assumptions stated in the Registration Statement, the Statutory Prospectus, and the Prospectus, the Company will have on the Closing Date or on the Option Closing Date, as the case may be, the adjusted stock capitalization set forth therein. Except as set forth in, or contemplated by, the Registration Statement, the Statutory Prospectus and the Prospectus, on the Effective Date and on the Closing Date or Option Closing Date, as the case may be, there will be no options, warrants, or other rights to purchase or otherwise acquire any authorized but unissued shares of any of class of common stock of the Company or any security convertible into shares of any class of of common stock, or any contracts or commitments to issue or sell shares of any class of common stock or any such options, warrants, rights or convertible securities.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Valid Issuance of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2.7.1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 All issued and outstanding securities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holders of any security of the Company or similar contractual rights granted by the Company. The authorized and outstanding securities of the Company conform in all material respects to all statements relating thereto contained in the Registration Statement, the Statutory Prospectus and the Prospectus. All offers, sales and any transfers of the outstanding securities of the Company were at all relevant times either registered under the Securities Act and the applicable state securities or “Blue Sky” laws or exempt from such registration requirements (based in part on the representations and warranties of the purchasers of such securities).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2.7.2. </w:t>
      </w:r>
      <w:r>
        <w:rPr>
          <w:rFonts w:ascii="Arial" w:cs="Arial" w:eastAsia="Arial" w:hAnsi="Arial"/>
          <w:sz w:val="17"/>
          <w:szCs w:val="17"/>
          <w:u w:val="single" w:color="auto"/>
          <w:color w:val="auto"/>
        </w:rPr>
        <w:t>Public Securities</w:t>
      </w:r>
      <w:r>
        <w:rPr>
          <w:rFonts w:ascii="Arial" w:cs="Arial" w:eastAsia="Arial" w:hAnsi="Arial"/>
          <w:sz w:val="17"/>
          <w:szCs w:val="17"/>
          <w:color w:val="auto"/>
        </w:rPr>
        <w:t>. The Public Securities have been duly authorized and reserved for issuance and when issued and paid for in accordance with this Agreement, will be validly issued, fully paid and non-assessable; the holders thereof are not and will not be subject to personal liability by reason of being such holders;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 The form of certificates for the Public Securities conform to the corporate law of the jurisdiction of the Company’s incorporation and applicable securities laws. The Public Securities conform in all material respects to the descriptions thereof contained in the Registration Statement, the Statutory Prospectus and the Prospectus, as the case may be. When paid for and issued, the Warrants will constitute the legal, valid and binding obligations of the Company to issue the number and type of securities of the Company called for thereby in accordance with the terms thereof and such Warrants are enforceable against the Company in accordance with their respective terms. The Class A Shares issuable upon exercise of the Warrants have been reserved for issuance and upon the exercise of the Warrants and upon payment of the consideration therefor, and when issued in accordance with the terms thereof, such shares will be duly and validly authorized, validly issued, fully paid and non-assessable, and the holders thereof are not and will not be subject to personal liability by reason of being such holders.</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2.7.3.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The Placement Warrants constitute valid and binding obligations of the Company to issue the number of Class A Shares in accordance with the terms thereof, and are, or will be, enforceable against the Company in accordance with their respective terms. The Placement Securities have been duly authorized and reserved for issuance and when issued and paid for in accordance with the Private Placement Unit Purchase Agreement and Warrant Agreement, as applicable, will be validly issued, fully paid and non-assessable; the holders thereof are not and will not be subject to personal liability by reason of being such holders; the Placement Securities are not and will not be subject to the preemptive rights of any holders of any security of the Company or similar contractual rights granted by the Company; and all corporate action required to be taken for the authorization, issuance and sale of the Placement Securities has been duly and validly taken. The Placement Securities conform in all material respects to the descriptions thereof contained in the Registration Statement, the Statutory Prospectus, and the Prospectus, as the case may be.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2.7.4. </w:t>
      </w:r>
      <w:r>
        <w:rPr>
          <w:rFonts w:ascii="Arial" w:cs="Arial" w:eastAsia="Arial" w:hAnsi="Arial"/>
          <w:sz w:val="18"/>
          <w:szCs w:val="18"/>
          <w:u w:val="single" w:color="auto"/>
          <w:color w:val="auto"/>
        </w:rPr>
        <w:t>Representative’s Securities</w:t>
      </w:r>
      <w:r>
        <w:rPr>
          <w:rFonts w:ascii="Arial" w:cs="Arial" w:eastAsia="Arial" w:hAnsi="Arial"/>
          <w:sz w:val="18"/>
          <w:szCs w:val="18"/>
          <w:color w:val="auto"/>
        </w:rPr>
        <w:t>. The Representative’s Securities have been duly authorized and reserved for issuance and when issued and paid for in accordance with this Agreement, will be validly issued, fully paid and non-assessable; the holders thereof are not and will not be subject to personal liability by reason of being such holders; and all corporate action required to be taken for the authorization, issuance and sale of the Representative’s Securities has been duly and validly taken.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2.7.5. </w:t>
      </w:r>
      <w:r>
        <w:rPr>
          <w:rFonts w:ascii="Arial" w:cs="Arial" w:eastAsia="Arial" w:hAnsi="Arial"/>
          <w:sz w:val="18"/>
          <w:szCs w:val="18"/>
          <w:u w:val="single" w:color="auto"/>
          <w:color w:val="auto"/>
        </w:rPr>
        <w:t>No Integration</w:t>
      </w:r>
      <w:r>
        <w:rPr>
          <w:rFonts w:ascii="Arial" w:cs="Arial" w:eastAsia="Arial" w:hAnsi="Arial"/>
          <w:sz w:val="18"/>
          <w:szCs w:val="18"/>
          <w:color w:val="auto"/>
        </w:rPr>
        <w:t>. Neither the Company nor any of its affiliates has, prior to the date hereof, made any offer or sale of any securities which are required to be or may be “integrated” pursuant to the Securities Act or the Regulations with the offer and sale of the Public Securities pursuant to the Registration Statement or the Placement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Statutory Prospectus and the Prospectus,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Validity and Binding Effect of Agreements</w:t>
      </w:r>
      <w:r>
        <w:rPr>
          <w:rFonts w:ascii="Arial" w:cs="Arial" w:eastAsia="Arial" w:hAnsi="Arial"/>
          <w:sz w:val="17"/>
          <w:szCs w:val="17"/>
          <w:color w:val="auto"/>
        </w:rPr>
        <w:t>. Each of this Agreement, the Insider Letters (as defined in Section 2.21.1), the Trust Agreement, the Services Agreement (as defined in Section 2.21.3), the Registration Rights Agreement (as defined in Section 2.21.4), the Warrant Agreement (as defined in Section 2.23) and the Private Placement Unit Purchase Agreement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has been duly and validly authorized by the Company and, when executed and delivered by the Company and the other parties thereto, will constitute the legal, valid and binding agreement of the Company, enforceable against the Company in accordance with its terms.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No Conflicts, Etc</w:t>
      </w:r>
      <w:r>
        <w:rPr>
          <w:rFonts w:ascii="Arial" w:cs="Arial" w:eastAsia="Arial" w:hAnsi="Arial"/>
          <w:sz w:val="18"/>
          <w:szCs w:val="18"/>
          <w:color w:val="auto"/>
        </w:rPr>
        <w:t>. The execution, delivery, and performance by the Company of the Transaction Documents, the consummation by the Company of the transactions herein and therein contemplated and the compliance by the Company with the terms hereof and thereof do not and will not, with or without the giving of notice or the lapse of time or both: (i)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agreement, obligation, condition, covenant or instrument to which the Company is a party or bound or to which its property is subject except pursuant to the Trust Agreement; (ii) result in any violation of the provisions of the Company’s certificate of incorporation or bylaws, each as may be amended (collectively, the “</w:t>
      </w:r>
      <w:r>
        <w:rPr>
          <w:rFonts w:ascii="Arial" w:cs="Arial" w:eastAsia="Arial" w:hAnsi="Arial"/>
          <w:sz w:val="18"/>
          <w:szCs w:val="18"/>
          <w:u w:val="single" w:color="auto"/>
          <w:color w:val="auto"/>
        </w:rPr>
        <w:t>Charter Documents</w:t>
      </w:r>
      <w:r>
        <w:rPr>
          <w:rFonts w:ascii="Arial" w:cs="Arial" w:eastAsia="Arial" w:hAnsi="Arial"/>
          <w:sz w:val="18"/>
          <w:szCs w:val="18"/>
          <w:color w:val="auto"/>
        </w:rPr>
        <w:t>”); or (iii) violate any applicable statute, law, rule, regulation, judgment, order or decree of any governmental agency or court, domestic or foreign, having jurisdiction over the Company or any of its properties, assets or business constituted as of the date hereof.</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Defaults; Violations</w:t>
      </w:r>
      <w:r>
        <w:rPr>
          <w:rFonts w:ascii="Arial" w:cs="Arial" w:eastAsia="Arial" w:hAnsi="Arial"/>
          <w:sz w:val="18"/>
          <w:szCs w:val="18"/>
          <w:color w:val="auto"/>
        </w:rPr>
        <w:t>. No default or violation exists in the due performance and observance of any term, covenant or condition of any license, contract, indenture, mortgage, deed of trust, note, loan or credit agreement, or any other agreement or instrument evidencing an obligation for borrowed money, or any other agreement or instrument to which the Company is a party or by which the Company may be bound or to which any of the properties or assets of the Company is subject. The Company is not in violation of any term or provision of its Charter Documents or in violation of any franchise, license, permit, applicable law, rule, regulation, judgment or decree of any governmental agency or court, domestic or foreign, having jurisdiction over the Company or any of its properties or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Corporate Power; Licenses; Consents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2.12.1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required as of the date hereof to conduct its business for the purpose as described in the Registration Statement, the Statutory Prospectus and the Prospectus. The disclosures in the Registration Statement, the Statutory Prospectus and the Prospectus concerning the effects of foreign, federal, state and local regulation on this Offering and the Company’s business purpose as currently contemplated are correct in all material respects and do not omit to state a material fact required to be stated therein or necessary in order to make the statements therein, in light of the circumstances under which they were made, not misleading. Since its formation, the Company has conducted no business and has incurred no liabilities other than in connection with its formation and in furtherance of this Offering.</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2.12.2. </w:t>
      </w:r>
      <w:r>
        <w:rPr>
          <w:rFonts w:ascii="Arial" w:cs="Arial" w:eastAsia="Arial" w:hAnsi="Arial"/>
          <w:sz w:val="17"/>
          <w:szCs w:val="17"/>
          <w:u w:val="single" w:color="auto"/>
          <w:color w:val="auto"/>
        </w:rPr>
        <w:t>Transactions Contemplated Herein</w:t>
      </w:r>
      <w:r>
        <w:rPr>
          <w:rFonts w:ascii="Arial" w:cs="Arial" w:eastAsia="Arial" w:hAnsi="Arial"/>
          <w:sz w:val="17"/>
          <w:szCs w:val="17"/>
          <w:color w:val="auto"/>
        </w:rPr>
        <w:t>. The Company has all requisite corporate power and authority to enter into this Agreement and to carry out the provisions and conditions hereof, and all consents, authorizations, approvals and orders required in connection herewith have been obtained. No consent, authorization, or order of, and no filing with, any court, government agency or other body, foreign or domestic, is required for the valid issuance, sale and delivery, of the Public Securities and the Placement Securities and the consummation of the transactions and agreements contemplated by the Transaction Documents and as contemplated by the Registration Statement, the Statutory Prospectus and the Prospectus, except with respect to applicable foreign, federal and state securities laws and the rules and regulations promulgated by FINRA.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D&amp;O Questionnaires</w:t>
      </w:r>
      <w:r>
        <w:rPr>
          <w:rFonts w:ascii="Arial" w:cs="Arial" w:eastAsia="Arial" w:hAnsi="Arial"/>
          <w:sz w:val="18"/>
          <w:szCs w:val="18"/>
          <w:color w:val="auto"/>
        </w:rPr>
        <w:t>. All information contained in the questionnaires (“</w:t>
      </w:r>
      <w:r>
        <w:rPr>
          <w:rFonts w:ascii="Arial" w:cs="Arial" w:eastAsia="Arial" w:hAnsi="Arial"/>
          <w:sz w:val="18"/>
          <w:szCs w:val="18"/>
          <w:u w:val="single" w:color="auto"/>
          <w:color w:val="auto"/>
        </w:rPr>
        <w:t>Questionnaires</w:t>
      </w:r>
      <w:r>
        <w:rPr>
          <w:rFonts w:ascii="Arial" w:cs="Arial" w:eastAsia="Arial" w:hAnsi="Arial"/>
          <w:sz w:val="18"/>
          <w:szCs w:val="18"/>
          <w:color w:val="auto"/>
        </w:rPr>
        <w:t>”) completed by each of the Company’s officers, directors and 5% or greater stockholders (“</w:t>
      </w:r>
      <w:r>
        <w:rPr>
          <w:rFonts w:ascii="Arial" w:cs="Arial" w:eastAsia="Arial" w:hAnsi="Arial"/>
          <w:sz w:val="18"/>
          <w:szCs w:val="18"/>
          <w:u w:val="single" w:color="auto"/>
          <w:color w:val="auto"/>
        </w:rPr>
        <w:t>Insiders</w:t>
      </w:r>
      <w:r>
        <w:rPr>
          <w:rFonts w:ascii="Arial" w:cs="Arial" w:eastAsia="Arial" w:hAnsi="Arial"/>
          <w:sz w:val="18"/>
          <w:szCs w:val="18"/>
          <w:color w:val="auto"/>
        </w:rPr>
        <w:t>”) and provided to the Representative and its counsel and the biographies of the Insiders contained in the Registration Statement, Statutory Prospectus and the Prospectus (to the extent a biography is contained) is, to the Company’s knowledge, true and correct and the Company has not become aware of any information which would cause the information disclosed in the Questionnaires completed by each Insider to become inaccurate, incorrect or incomplete.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Litigation; Governmental Proceedings</w:t>
      </w:r>
      <w:r>
        <w:rPr>
          <w:rFonts w:ascii="Arial" w:cs="Arial" w:eastAsia="Arial" w:hAnsi="Arial"/>
          <w:sz w:val="18"/>
          <w:szCs w:val="18"/>
          <w:color w:val="auto"/>
        </w:rPr>
        <w:t>. There is no action, suit, proceeding, inquiry, arbitration, investigation, litigation or governmental proceeding pending, or to the Company’s knowledge, after reasonable inquiry, threatened, against or involving the Company or, to the Company’s knowledge, after reasonable inquiry, any Insider or any stockholder or member of an Insider that has not been disclosed, that is required to be disclosed, in the Registration Statement, the Statutory Prospectus, the Prospectus or the Questionnaires.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organized and is validly existing as a limited company and is in good standing under the laws of the State of Delaware. The Company is duly qualified to do business and is in good standing as a foreign corporation in each jurisdiction in which its ownership or lease of property or the conduct of business requires such qualification, except where the failure to so qualify would not have a material adverse effect on the condition (financial or otherwise), earnings, assets, prospects, business, operations or properties of the Company,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The Company has not identified any Business Combination target (each a “</w:t>
      </w:r>
      <w:r>
        <w:rPr>
          <w:rFonts w:ascii="Arial" w:cs="Arial" w:eastAsia="Arial" w:hAnsi="Arial"/>
          <w:sz w:val="18"/>
          <w:szCs w:val="18"/>
          <w:u w:val="single" w:color="auto"/>
          <w:color w:val="auto"/>
        </w:rPr>
        <w:t>Target Business</w:t>
      </w:r>
      <w:r>
        <w:rPr>
          <w:rFonts w:ascii="Arial" w:cs="Arial" w:eastAsia="Arial" w:hAnsi="Arial"/>
          <w:sz w:val="18"/>
          <w:szCs w:val="18"/>
          <w:color w:val="auto"/>
        </w:rPr>
        <w:t>”) and it has not, nor has anyone on its behalf, initiated any substantive discussions, directly or indirectly, with any Target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Transactions Requiring Disclosure to FINRA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2.17.1. </w:t>
      </w:r>
      <w:r>
        <w:rPr>
          <w:rFonts w:ascii="Arial" w:cs="Arial" w:eastAsia="Arial" w:hAnsi="Arial"/>
          <w:sz w:val="18"/>
          <w:szCs w:val="18"/>
          <w:u w:val="single" w:color="auto"/>
          <w:color w:val="auto"/>
        </w:rPr>
        <w:t>Finder’s Fees</w:t>
      </w:r>
      <w:r>
        <w:rPr>
          <w:rFonts w:ascii="Arial" w:cs="Arial" w:eastAsia="Arial" w:hAnsi="Arial"/>
          <w:sz w:val="18"/>
          <w:szCs w:val="18"/>
          <w:color w:val="auto"/>
        </w:rPr>
        <w:t>. There are no claims, payments, arrangements, agreements or understandings relating to the payment of a finder’s, consulting or origination fee by the Company or any Insider with respect to the sale of the Public Securities hereunder or any other arrangements, agreements or understandings of the Company or to the Company’s knowledge, after reasonable inquiry, any Insider that may affect the Underwriters’ compensation, as determined by FINRA.</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2.17.2. </w:t>
      </w:r>
      <w:r>
        <w:rPr>
          <w:rFonts w:ascii="Arial" w:cs="Arial" w:eastAsia="Arial" w:hAnsi="Arial"/>
          <w:sz w:val="17"/>
          <w:szCs w:val="17"/>
          <w:u w:val="single" w:color="auto"/>
          <w:color w:val="auto"/>
        </w:rPr>
        <w:t>Payments Within 180 Days</w:t>
      </w:r>
      <w:r>
        <w:rPr>
          <w:rFonts w:ascii="Arial" w:cs="Arial" w:eastAsia="Arial" w:hAnsi="Arial"/>
          <w:sz w:val="17"/>
          <w:szCs w:val="17"/>
          <w:color w:val="auto"/>
        </w:rPr>
        <w:t>.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180-day period prior to the initial filing of the Registration Statement, other than the prior payments to the Representative in connection with the Offering.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 No person to whom securities of the Company have been privately issued within the 180-day period prior to the initial filing date of the Registration Statement has any relationship or affiliation or association with any member of FINRA participating in the Offering.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with the Commission, which arrangement or agreement provides for the receipt of any item of value and/or the transfer or issuance of any warrants, options, or other securities from the Company to a FINRA member, any person associated with a member (as defined by FINRA rules), any potential underwriters in the Offering and/or any related persons.</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2.17.3. </w:t>
      </w:r>
      <w:r>
        <w:rPr>
          <w:rFonts w:ascii="Arial" w:cs="Arial" w:eastAsia="Arial" w:hAnsi="Arial"/>
          <w:sz w:val="17"/>
          <w:szCs w:val="17"/>
          <w:u w:val="single" w:color="auto"/>
          <w:color w:val="auto"/>
        </w:rPr>
        <w:t>FINRA Affiliation</w:t>
      </w:r>
      <w:r>
        <w:rPr>
          <w:rFonts w:ascii="Arial" w:cs="Arial" w:eastAsia="Arial" w:hAnsi="Arial"/>
          <w:sz w:val="17"/>
          <w:szCs w:val="17"/>
          <w:color w:val="auto"/>
        </w:rPr>
        <w:t>. Other than as disclosed to the Representative, no officer or director or any direct or indirect beneficial owner (including the Insiders) of any class of the Company’s unregistered securities (whether debt or equity, registered or unregistered, regardless of the time acquired or the source from which derived) has any direct or indirect affiliation or association with any FINRA member (as determined in accordance with the rules and regulations of FINRA). The Company will advise the Representative if it learns that any officer or director or any direct or indirect beneficial owner (including the Insiders) is or becomes an affiliate or associated person of a FINRA member participating in the Offering.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648"/>
        <w:spacing w:after="0" w:line="263" w:lineRule="auto"/>
        <w:rPr>
          <w:sz w:val="20"/>
          <w:szCs w:val="20"/>
          <w:color w:val="auto"/>
        </w:rPr>
      </w:pPr>
      <w:r>
        <w:rPr>
          <w:rFonts w:ascii="Arial" w:cs="Arial" w:eastAsia="Arial" w:hAnsi="Arial"/>
          <w:sz w:val="18"/>
          <w:szCs w:val="18"/>
          <w:color w:val="auto"/>
        </w:rPr>
        <w:t xml:space="preserve">2.17.4. </w:t>
      </w:r>
      <w:r>
        <w:rPr>
          <w:rFonts w:ascii="Arial" w:cs="Arial" w:eastAsia="Arial" w:hAnsi="Arial"/>
          <w:sz w:val="18"/>
          <w:szCs w:val="18"/>
          <w:u w:val="single" w:color="auto"/>
          <w:color w:val="auto"/>
        </w:rPr>
        <w:t>Share Ownership</w:t>
      </w:r>
      <w:r>
        <w:rPr>
          <w:rFonts w:ascii="Arial" w:cs="Arial" w:eastAsia="Arial" w:hAnsi="Arial"/>
          <w:sz w:val="18"/>
          <w:szCs w:val="18"/>
          <w:color w:val="auto"/>
        </w:rPr>
        <w:t>. No officer or director or any direct or indirect beneficial owner (including the Insiders) of any class of the Company’s unregistered securities is an owner of shares or other securities of any member of FINRA participating in the Offering (other than securities purchased on the open market).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2.17.5. </w:t>
      </w:r>
      <w:r>
        <w:rPr>
          <w:rFonts w:ascii="Arial" w:cs="Arial" w:eastAsia="Arial" w:hAnsi="Arial"/>
          <w:sz w:val="18"/>
          <w:szCs w:val="18"/>
          <w:u w:val="single" w:color="auto"/>
          <w:color w:val="auto"/>
        </w:rPr>
        <w:t>Loans</w:t>
      </w:r>
      <w:r>
        <w:rPr>
          <w:rFonts w:ascii="Arial" w:cs="Arial" w:eastAsia="Arial" w:hAnsi="Arial"/>
          <w:sz w:val="18"/>
          <w:szCs w:val="18"/>
          <w:color w:val="auto"/>
        </w:rPr>
        <w:t>. No officer or director or any direct or indirect beneficial owner (including the Insiders) of any class of the Company’s unregistered securities has made a subordinated loan to any member of FINRA participating in the Offering.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2.17.6. </w:t>
      </w:r>
      <w:r>
        <w:rPr>
          <w:rFonts w:ascii="Arial" w:cs="Arial" w:eastAsia="Arial" w:hAnsi="Arial"/>
          <w:sz w:val="18"/>
          <w:szCs w:val="18"/>
          <w:u w:val="single" w:color="auto"/>
          <w:color w:val="auto"/>
        </w:rPr>
        <w:t>Proceeds of the Offering</w:t>
      </w:r>
      <w:r>
        <w:rPr>
          <w:rFonts w:ascii="Arial" w:cs="Arial" w:eastAsia="Arial" w:hAnsi="Arial"/>
          <w:sz w:val="18"/>
          <w:szCs w:val="18"/>
          <w:color w:val="auto"/>
        </w:rPr>
        <w:t>. No proceeds from the sale of the Public Securities (excluding underwriting compensation) or the Placement Securities will be paid to any FINRA member participating in the Offering, or any persons associated or affiliated with a member of FINRA participating in the Offering, except as specifically authorized herein.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2.17.7. </w:t>
      </w:r>
      <w:r>
        <w:rPr>
          <w:rFonts w:ascii="Arial" w:cs="Arial" w:eastAsia="Arial" w:hAnsi="Arial"/>
          <w:sz w:val="18"/>
          <w:szCs w:val="18"/>
          <w:u w:val="single" w:color="auto"/>
          <w:color w:val="auto"/>
        </w:rPr>
        <w:t>Conflicts of Interest</w:t>
      </w:r>
      <w:r>
        <w:rPr>
          <w:rFonts w:ascii="Arial" w:cs="Arial" w:eastAsia="Arial" w:hAnsi="Arial"/>
          <w:sz w:val="18"/>
          <w:szCs w:val="18"/>
          <w:color w:val="auto"/>
        </w:rPr>
        <w:t>. To the Company’s knowledge, after reasonable inquiry, no FINRA member intending to participate in the Offering has a conflict of interest with the Company. For this purpose, a “conflict of interest” exists when a member of FINRA and/or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2.18.1. There are no transfer taxes or other similar fees or charges under U.S. federal law or the laws of any U.S. state or any political subdivision of the United States, required to be paid in connection with the execution and delivery of this Agreement or the issuance or sale by the Company of the Public Securities.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2.18.2. The Company has filed all U.S. federal, state and local and foreign tax returns required to be filed with taxing authorities prior to the date hereof in a timely manner or has duly obtained extensions of time for the filing thereof. The Company has paid all taxes shown as due on such returns that were filed and has paid all taxes imposed on it and any other assessment, fine or penalty levied against it, to the extent that any of the foregoing is due and payable. The Company has made appropriate provisions in the applicable financial statements referred to in Section 2.5.1 above in respect of all federal, state, local and foreign income and franchise taxes for all current or prior periods as to which the tax liability of the Company has not been finally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Foreign Corrupt Practices Act; Anti-Money Laundering; USA PATRIOT Act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2.19.1. </w:t>
      </w: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Neither the Company nor to the Company’s knowledge, after reasonable inquiry, any of the Insiders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or (iii) if not continued in the future, might adversely affect the assets, business or operations of the Company. The Company has taken reasonable steps to ensure that its accounting controls and procedures are sufficient to cause the Company to comply in all material respects with the Foreign Corrupt Practices Act of 1977, as amended.</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2.19.2. </w:t>
      </w:r>
      <w:r>
        <w:rPr>
          <w:rFonts w:ascii="Arial" w:cs="Arial" w:eastAsia="Arial" w:hAnsi="Arial"/>
          <w:sz w:val="18"/>
          <w:szCs w:val="18"/>
          <w:u w:val="single" w:color="auto"/>
          <w:color w:val="auto"/>
        </w:rPr>
        <w:t>Bank Secrecy Act</w:t>
      </w:r>
      <w:r>
        <w:rPr>
          <w:rFonts w:ascii="Arial" w:cs="Arial" w:eastAsia="Arial" w:hAnsi="Arial"/>
          <w:sz w:val="18"/>
          <w:szCs w:val="18"/>
          <w:color w:val="auto"/>
        </w:rPr>
        <w:t>. The operations of the Company are and have been conducted at all times in compliance with (i) the requirements of the U.S. Treasury Department Office of Foreign Assets Control and (ii) applicable financial recordkeeping and reporting requirements of the Bank Secrecy Act of 1970 (the Currency and Foreign Transactions Reporting Act), as amended, including the Money Laundering Control Act of 1986, as amended, the rules and regulations thereunder and any related or similar money laundering statutes, rules, regulations or guidelines, issued, administered or enforced by any Federal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Company’s knowledge, after reasonable inquiry, threatened.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648"/>
        <w:spacing w:after="0" w:line="263" w:lineRule="auto"/>
        <w:rPr>
          <w:sz w:val="20"/>
          <w:szCs w:val="20"/>
          <w:color w:val="auto"/>
        </w:rPr>
      </w:pPr>
      <w:r>
        <w:rPr>
          <w:rFonts w:ascii="Arial" w:cs="Arial" w:eastAsia="Arial" w:hAnsi="Arial"/>
          <w:sz w:val="18"/>
          <w:szCs w:val="18"/>
          <w:color w:val="auto"/>
        </w:rPr>
        <w:t xml:space="preserve">2.19.3. </w:t>
      </w:r>
      <w:r>
        <w:rPr>
          <w:rFonts w:ascii="Arial" w:cs="Arial" w:eastAsia="Arial" w:hAnsi="Arial"/>
          <w:sz w:val="18"/>
          <w:szCs w:val="18"/>
          <w:u w:val="single" w:color="auto"/>
          <w:color w:val="auto"/>
        </w:rPr>
        <w:t>USA PATRIOT Act</w:t>
      </w:r>
      <w:r>
        <w:rPr>
          <w:rFonts w:ascii="Arial" w:cs="Arial" w:eastAsia="Arial" w:hAnsi="Arial"/>
          <w:sz w:val="18"/>
          <w:szCs w:val="18"/>
          <w:color w:val="auto"/>
        </w:rPr>
        <w:t>. Neither the Company nor to the Company’s knowledge, after reasonable inquiry, any Insider has violated the Uniting and Strengthening of America by Providing Appropriate Tools Required to Intercept and Obstruct Terrorism (USA PATRIOT) Act of 2001, and/or the rules and regulations promulgated under any such law, or any successor law.</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Any certificate signed by any duly authorized officer of the Company in connection with the Offering and delivered to the Representative shall be deemed a representation and warranty by the Company to the Underwriters as to the matters covered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Agreements with Insiders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2.21.1. </w:t>
      </w:r>
      <w:r>
        <w:rPr>
          <w:rFonts w:ascii="Arial" w:cs="Arial" w:eastAsia="Arial" w:hAnsi="Arial"/>
          <w:sz w:val="17"/>
          <w:szCs w:val="17"/>
          <w:u w:val="single" w:color="auto"/>
          <w:color w:val="auto"/>
        </w:rPr>
        <w:t>Insider Letters</w:t>
      </w:r>
      <w:r>
        <w:rPr>
          <w:rFonts w:ascii="Arial" w:cs="Arial" w:eastAsia="Arial" w:hAnsi="Arial"/>
          <w:sz w:val="17"/>
          <w:szCs w:val="17"/>
          <w:color w:val="auto"/>
        </w:rPr>
        <w:t>. The Company has caused to be duly executed legal, valid, binding and enforceable agreements, substantially in the form filed as an exhibit to the Registration Statement (the “</w:t>
      </w:r>
      <w:r>
        <w:rPr>
          <w:rFonts w:ascii="Arial" w:cs="Arial" w:eastAsia="Arial" w:hAnsi="Arial"/>
          <w:sz w:val="17"/>
          <w:szCs w:val="17"/>
          <w:u w:val="single" w:color="auto"/>
          <w:color w:val="auto"/>
        </w:rPr>
        <w:t>Insider Letters</w:t>
      </w:r>
      <w:r>
        <w:rPr>
          <w:rFonts w:ascii="Arial" w:cs="Arial" w:eastAsia="Arial" w:hAnsi="Arial"/>
          <w:sz w:val="17"/>
          <w:szCs w:val="17"/>
          <w:color w:val="auto"/>
        </w:rPr>
        <w:t>”), pursuant to which each of the Insiders of the Company agree to certain matters. The Insider Letters shall not be amended, modified or otherwise changed without the prior written consent of the Representative.</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2.21.2. </w:t>
      </w:r>
      <w:r>
        <w:rPr>
          <w:rFonts w:ascii="Arial" w:cs="Arial" w:eastAsia="Arial" w:hAnsi="Arial"/>
          <w:sz w:val="17"/>
          <w:szCs w:val="17"/>
          <w:u w:val="single" w:color="auto"/>
          <w:color w:val="auto"/>
        </w:rPr>
        <w:t>Private Placement Unit Purchase Agreement</w:t>
      </w:r>
      <w:r>
        <w:rPr>
          <w:rFonts w:ascii="Arial" w:cs="Arial" w:eastAsia="Arial" w:hAnsi="Arial"/>
          <w:sz w:val="17"/>
          <w:szCs w:val="17"/>
          <w:color w:val="auto"/>
        </w:rPr>
        <w:t>. The Sponsor has executed and delivered a Private Placement Unit Purchase Agreement, substantially in the form filed as an exhibit to the Registration Statement (the “</w:t>
      </w:r>
      <w:r>
        <w:rPr>
          <w:rFonts w:ascii="Arial" w:cs="Arial" w:eastAsia="Arial" w:hAnsi="Arial"/>
          <w:sz w:val="17"/>
          <w:szCs w:val="17"/>
          <w:u w:val="single" w:color="auto"/>
          <w:color w:val="auto"/>
        </w:rPr>
        <w:t>Private Placement Unit Purchase Agreement</w:t>
      </w:r>
      <w:r>
        <w:rPr>
          <w:rFonts w:ascii="Arial" w:cs="Arial" w:eastAsia="Arial" w:hAnsi="Arial"/>
          <w:sz w:val="17"/>
          <w:szCs w:val="17"/>
          <w:color w:val="auto"/>
        </w:rPr>
        <w:t>”), pursuant to which the Sponsor will, among other things, on the Closing Date, consummate the purchase of and deliver the purchase price for the Placement Units as provided for in such Private Placement Unit Purchase Agreement. Pursuant to the Private Placement Unit Purchase Agreement, (i) the Sponsor has waived any and all rights and claims each may have to any proceeds, and any interest thereon, held in the Trust Account in respect of the Placement Securities, and (ii) the proceeds from the sale of the Placement Securities will be deposited by the Company in the Trust Account in accordance with the terms of the Trust Agreement on the Closing Date as provided for in the Private Placement Unit Purchase Agreement.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2.21.3. </w:t>
      </w:r>
      <w:r>
        <w:rPr>
          <w:rFonts w:ascii="Arial" w:cs="Arial" w:eastAsia="Arial" w:hAnsi="Arial"/>
          <w:sz w:val="18"/>
          <w:szCs w:val="18"/>
          <w:u w:val="single" w:color="auto"/>
          <w:color w:val="auto"/>
        </w:rPr>
        <w:t>Administrative Services</w:t>
      </w:r>
      <w:r>
        <w:rPr>
          <w:rFonts w:ascii="Arial" w:cs="Arial" w:eastAsia="Arial" w:hAnsi="Arial"/>
          <w:sz w:val="18"/>
          <w:szCs w:val="18"/>
          <w:color w:val="auto"/>
        </w:rPr>
        <w:t>. The Company and the Sponsor have entered into an Administrative Services Agreement, substantially in the form filed as an exhibit to the Registration Statement (the “</w:t>
      </w:r>
      <w:r>
        <w:rPr>
          <w:rFonts w:ascii="Arial" w:cs="Arial" w:eastAsia="Arial" w:hAnsi="Arial"/>
          <w:sz w:val="18"/>
          <w:szCs w:val="18"/>
          <w:u w:val="single" w:color="auto"/>
          <w:color w:val="auto"/>
        </w:rPr>
        <w:t>Services Agreement</w:t>
      </w:r>
      <w:r>
        <w:rPr>
          <w:rFonts w:ascii="Arial" w:cs="Arial" w:eastAsia="Arial" w:hAnsi="Arial"/>
          <w:sz w:val="18"/>
          <w:szCs w:val="18"/>
          <w:color w:val="auto"/>
        </w:rPr>
        <w:t>”) pursuant to which the Sponsor will make available to the Company general and administrative services including office space, utilities and administrative support for the Company’s use for $10,000 per month payable until the earlier of the consummation by the Company of a Business Combination or the liquidation of the Trust Account, on the terms and subject to the conditions set forth in the Services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2.21.4.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Company and the Initial Stockholders have entered into a Registration Rights Agreement, substantially in the form filed as an exhibit to the Registration Statement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whereby such parties will be entitled to certain registration rights with respect to the securities they hold or may hold, as set forth in such Registration Rights Agreement and described more fully in the Registration Statement, the Statutory Prospectus and the Prospectus.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2.21.5. </w:t>
      </w:r>
      <w:r>
        <w:rPr>
          <w:rFonts w:ascii="Arial" w:cs="Arial" w:eastAsia="Arial" w:hAnsi="Arial"/>
          <w:sz w:val="18"/>
          <w:szCs w:val="18"/>
          <w:u w:val="single" w:color="auto"/>
          <w:color w:val="auto"/>
        </w:rPr>
        <w:t>Loans</w:t>
      </w:r>
      <w:r>
        <w:rPr>
          <w:rFonts w:ascii="Arial" w:cs="Arial" w:eastAsia="Arial" w:hAnsi="Arial"/>
          <w:sz w:val="18"/>
          <w:szCs w:val="18"/>
          <w:color w:val="auto"/>
        </w:rPr>
        <w:t>. The Sponsor has agreed to lend to the Company up to an aggregate of $300,000 to be used for a portion of the expenses of the Offering (the “</w:t>
      </w:r>
      <w:r>
        <w:rPr>
          <w:rFonts w:ascii="Arial" w:cs="Arial" w:eastAsia="Arial" w:hAnsi="Arial"/>
          <w:sz w:val="18"/>
          <w:szCs w:val="18"/>
          <w:u w:val="single" w:color="auto"/>
          <w:color w:val="auto"/>
        </w:rPr>
        <w:t>Insider Loan</w:t>
      </w:r>
      <w:r>
        <w:rPr>
          <w:rFonts w:ascii="Arial" w:cs="Arial" w:eastAsia="Arial" w:hAnsi="Arial"/>
          <w:sz w:val="18"/>
          <w:szCs w:val="18"/>
          <w:color w:val="auto"/>
        </w:rPr>
        <w:t>”). As of September 30, 2021, the Company has borrowed $100,091 from the Sponsor. The Insider Loan does not bear any interest and is repayable by the Company upon the consummation of the Offering.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 pursuant to which the funds held in the Trust Account may be released under limited circumstances. The Trust Agreement shall not be amended, modified, or otherwise changed in any way that modifies the rights or obligations of the Company without the prior written consent of the Representative.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has entered into a warrant agreement with respect to the Warrants underlying the Units and the Placement Warrants and certain other warrants that may be issued by the Company with the Trustee, substantially in the form filed as an exhibit to the Registration Statement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No Existing Non-Competition Agreements</w:t>
      </w:r>
      <w:r>
        <w:rPr>
          <w:rFonts w:ascii="Arial" w:cs="Arial" w:eastAsia="Arial" w:hAnsi="Arial"/>
          <w:sz w:val="18"/>
          <w:szCs w:val="18"/>
          <w:color w:val="auto"/>
        </w:rPr>
        <w:t>. No Insider is subject to any non-competition agreement or non-solicitation agreement with any employer or prior employer which could materially affect his ability to be an employee, officer and/or director of the Company, except as disclosed in the Registration Statement.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 or money market funds meeting the conditions of Rule 2a-7 under the Investment Company Act.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Securities as herein contemplated and the application of the net proceeds therefrom as described in the Statutory Prospectus and Prospectus will not be required, to register as an “investment company” under the Investment Company Act.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the Company, on the one hand, and any Insider, on the other hand, which is required by the Securities Act, the Exchange Act or the Regulations to be described in the Registration Statement, the Statutory Prospectus and the Prospectus which is not so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Statutory Prospectus and Prospectus. The Company has not extended or maintained credit, arranged for the extension of credit, or renewed an extension of credit, in the form of a personal loan to or for any director or officer of the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or on the Closing Date will be, in material compliance with the provisions of the Sarbanes-Oxley Act of 2002, as amended, and the rules and regulations promulgated thereunder and related or similar rules or regulations promulgated by any governmental or self-regulatory entity or agency, that are applicable to it as of the date hereof.</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Distribution of Offering Material by the Company</w:t>
      </w:r>
      <w:r>
        <w:rPr>
          <w:rFonts w:ascii="Arial" w:cs="Arial" w:eastAsia="Arial" w:hAnsi="Arial"/>
          <w:sz w:val="18"/>
          <w:szCs w:val="18"/>
          <w:color w:val="auto"/>
        </w:rPr>
        <w:t>. The Company has not distributed and will not distribute, prior to the later of the Closing Date and the completion of the distribution of the Units, any offering material in connection with the offering and sale of the Units other than the Statutory Prospectus and the Prospectus, in each case as supplemented and amended.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Nasdaq Stock Market</w:t>
      </w:r>
      <w:r>
        <w:rPr>
          <w:rFonts w:ascii="Arial" w:cs="Arial" w:eastAsia="Arial" w:hAnsi="Arial"/>
          <w:sz w:val="18"/>
          <w:szCs w:val="18"/>
          <w:color w:val="auto"/>
        </w:rPr>
        <w:t>. The Public Securities have been authorized for listing, subject to official notice of issuance and evidence of satisfactory distribution, on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and the Company knows of no reason or set of facts that is likely to adversely affect such authorization.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Board of Directors</w:t>
      </w:r>
      <w:r>
        <w:rPr>
          <w:rFonts w:ascii="Arial" w:cs="Arial" w:eastAsia="Arial" w:hAnsi="Arial"/>
          <w:sz w:val="18"/>
          <w:szCs w:val="18"/>
          <w:color w:val="auto"/>
        </w:rPr>
        <w:t>. As of the Effective Date, the Board of Directors of the Company will be comprised of the persons set forth as “Directors” or “Director nominees” under the heading of the Statutory Prospectus and the Prospectus captioned “Management.” As of the Effective Date, the qualifications of the persons serving as board members and the overall composition of the board will comply with the Sarbanes-Oxley Act of 2002 and the rules promulgated thereunder and the rules of Nasdaq that are, in each case, applicable to the Company. As of the Effective Date, the Company will have an Audit Committee that satisfies the applicable requirements under the Sarbanes-Oxley Act of 2002 and the rules promulgated thereunder and the rules of Nasdaq.</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 From its formation through the date hereof, the Company has been and is an “emerging growth company,” as defined in Section 2(a) of the Securities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u w:val="single" w:color="auto"/>
          <w:color w:val="auto"/>
        </w:rPr>
        <w:t>No Disqualification Events</w:t>
      </w:r>
      <w:r>
        <w:rPr>
          <w:rFonts w:ascii="Arial" w:cs="Arial" w:eastAsia="Arial" w:hAnsi="Arial"/>
          <w:sz w:val="17"/>
          <w:szCs w:val="17"/>
          <w:color w:val="auto"/>
        </w:rPr>
        <w:t>. Neither the Company, nor any of its predecessors or any affiliated issuer, nor any director, executive officer, or other officer of the Company participating in the Offering, nor any beneficial owner of 20% or more of the Company’s outstanding voting equity securities, calculated on the basis of voting power, nor any promoter (as that term is defined in Rule 405 under the Securities Act) connected with the Company in any capacity at the Applicable Time (each, a “</w:t>
      </w:r>
      <w:r>
        <w:rPr>
          <w:rFonts w:ascii="Arial" w:cs="Arial" w:eastAsia="Arial" w:hAnsi="Arial"/>
          <w:sz w:val="17"/>
          <w:szCs w:val="17"/>
          <w:u w:val="single" w:color="auto"/>
          <w:color w:val="auto"/>
        </w:rPr>
        <w:t>Company Covered Person</w:t>
      </w:r>
      <w:r>
        <w:rPr>
          <w:rFonts w:ascii="Arial" w:cs="Arial" w:eastAsia="Arial" w:hAnsi="Arial"/>
          <w:sz w:val="17"/>
          <w:szCs w:val="17"/>
          <w:color w:val="auto"/>
        </w:rPr>
        <w:t>” and, together, “</w:t>
      </w:r>
      <w:r>
        <w:rPr>
          <w:rFonts w:ascii="Arial" w:cs="Arial" w:eastAsia="Arial" w:hAnsi="Arial"/>
          <w:sz w:val="17"/>
          <w:szCs w:val="17"/>
          <w:u w:val="single" w:color="auto"/>
          <w:color w:val="auto"/>
        </w:rPr>
        <w:t>Company Covered Persons</w:t>
      </w:r>
      <w:r>
        <w:rPr>
          <w:rFonts w:ascii="Arial" w:cs="Arial" w:eastAsia="Arial" w:hAnsi="Arial"/>
          <w:sz w:val="17"/>
          <w:szCs w:val="17"/>
          <w:color w:val="auto"/>
        </w:rPr>
        <w:t>”) is subject to any of the “Bad Actor” disqualifications described in Rule 506(d)(1)(i) to (viii) under the Securities Act (a “</w:t>
      </w:r>
      <w:r>
        <w:rPr>
          <w:rFonts w:ascii="Arial" w:cs="Arial" w:eastAsia="Arial" w:hAnsi="Arial"/>
          <w:sz w:val="17"/>
          <w:szCs w:val="17"/>
          <w:u w:val="single" w:color="auto"/>
          <w:color w:val="auto"/>
        </w:rPr>
        <w:t>Disqualification Event</w:t>
      </w:r>
      <w:r>
        <w:rPr>
          <w:rFonts w:ascii="Arial" w:cs="Arial" w:eastAsia="Arial" w:hAnsi="Arial"/>
          <w:sz w:val="17"/>
          <w:szCs w:val="17"/>
          <w:color w:val="auto"/>
        </w:rPr>
        <w:t>”), except for a Disqualification Event covered by Rule 506(d)(2) or (d)(3). The Company has exercised reasonable care to determine whether any Company Covered Person is subject to a Disqualification Event. The Company has complied, to the extent applicable, with its disclosure obligations under Rule 506(e), and has furnished to the Underwriters a copy of any disclosures provided thereunder.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spacing w:after="0" w:line="271"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u w:val="single" w:color="auto"/>
          <w:color w:val="auto"/>
        </w:rPr>
        <w:t>Free-Writing Prospectus and Testing-the-Waters</w:t>
      </w:r>
      <w:r>
        <w:rPr>
          <w:rFonts w:ascii="Arial" w:cs="Arial" w:eastAsia="Arial" w:hAnsi="Arial"/>
          <w:sz w:val="17"/>
          <w:szCs w:val="17"/>
          <w:color w:val="auto"/>
        </w:rPr>
        <w:t>. The Company has not made any offer relating to the Public Securities that would constitute an issuer free writing prospectus, as defined in Rule 433 under the Act, or that would otherwise constitute a “free writing prospectus” as defined in Rule 405. The Company: (a) has not engaged in any Testing-the-Waters Communication other than Testing-the-Waters Communications with the consent of the Representative with entities that are “qualified institutional buyers” within the meaning of Rule 144A under the Securities Act or institutions that are accredited investors within the meaning of Rule 501 under the Act and (b) has not authorized anyone to engage in Testing-the-Waters Communications other than its officers and the Representative and individuals engaged by the Representative. The Company has not distributed any written Testing-the-Waters Communications. “Testing-the-Waters Communication” means any oral or written communication with potential investors undertaken in reliance on Section 5(d) of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as follows: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any Preliminary Prospectus or the Prospectus proposed to be filed after the Effective Date and the Company shall not file any such amendment or supplement to which the Representative reasonably objects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Compliance</w:t>
      </w:r>
      <w:r>
        <w:rPr>
          <w:rFonts w:ascii="Arial" w:cs="Arial" w:eastAsia="Arial" w:hAnsi="Arial"/>
          <w:sz w:val="16"/>
          <w:szCs w:val="16"/>
          <w:color w:val="auto"/>
        </w:rPr>
        <w:t>. During the time when a Prospectus is required to be delivered under the Securities Act, the Company will use its best efforts to comply with all requirements imposed upon it by the Securities Act, the Regulations, and the Exchange Act, and by the regulations under the Exchange Act, as from time to time in force, so far as necessary to permit the continuance of sales of or dealings in the Securities in accordance with the provisions hereof and the Statutory Prospectus and the Prospectus. If at any time when a Prospectus relating to the Securities is required to be delivered under the Securities Act, any event shall have occurred as a result of which, in the opinion of counsel for the Company or counsel to the Underwriters, the Prospectus, as then amended or supplemented, includes an untrue statement of a material fact or omits to state any material fact required to be stated therein or necessary to make the statements therein, in the light of the circumstances under which they were made, not misleading, or if it is necessary at any time to amend or supplement the Prospectus to comply with the Securities Act, the Company will notify the Representative promptly and prepare and file with the Commission, subject to Section 3.1 hereof, an appropriate amendment or supplement in accordance with Section 10 of the Securities Act.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Underwriters) with the Commission pursuant to the requirements of Rule 424 under the Securities Act.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The Company will use its best efforts to maintain the registration of the Public Securities under the provisions of the Exchange Act (except in connection with a going-private transaction) for a period of five years from the Effective Date, or until the Company is required to be liquidated or is acquired, if earlier, or, in the case of the Warrants, until the Warrants expire and are no longer exercisable or have been exercised or redeemed in full. The Company will not deregister the Public Securities under the Exchange Act without the prior written consent of the Representative.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Exchange Act Filings</w:t>
      </w:r>
      <w:r>
        <w:rPr>
          <w:rFonts w:ascii="Arial" w:cs="Arial" w:eastAsia="Arial" w:hAnsi="Arial"/>
          <w:sz w:val="17"/>
          <w:szCs w:val="17"/>
          <w:color w:val="auto"/>
        </w:rPr>
        <w:t>. From the Effective Date until the earlier of the Company’s initial Business Combination, or its liquidation and dissolution, the Company shall timely file with the Commission via the Electronic Data Gathering, Analysis and Retrieval System (“</w:t>
      </w:r>
      <w:r>
        <w:rPr>
          <w:rFonts w:ascii="Arial" w:cs="Arial" w:eastAsia="Arial" w:hAnsi="Arial"/>
          <w:sz w:val="17"/>
          <w:szCs w:val="17"/>
          <w:u w:val="single" w:color="auto"/>
          <w:color w:val="auto"/>
        </w:rPr>
        <w:t>EDGAR</w:t>
      </w:r>
      <w:r>
        <w:rPr>
          <w:rFonts w:ascii="Arial" w:cs="Arial" w:eastAsia="Arial" w:hAnsi="Arial"/>
          <w:sz w:val="17"/>
          <w:szCs w:val="17"/>
          <w:color w:val="auto"/>
        </w:rPr>
        <w:t>”) such statements and reports as are required to be filed by a company with a class of securities registered under Section 12(b) of the Exchange Act.</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Sarbanes-Oxley Compliance</w:t>
      </w:r>
      <w:r>
        <w:rPr>
          <w:rFonts w:ascii="Arial" w:cs="Arial" w:eastAsia="Arial" w:hAnsi="Arial"/>
          <w:sz w:val="16"/>
          <w:szCs w:val="16"/>
          <w:color w:val="auto"/>
        </w:rPr>
        <w:t>. As soon as it is legally required to do so, the Company shall take all actions necessary to obtain and thereafter maintain material compliance with each applicable provision of the Sarbanes-Oxley Act of 2002 and the rules and regulations promulgated thereunder and related or similar rules and regulations promulgated by any other governmental or self-regulatory entity or agency with jurisdiction over the Company.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Free-Writing Prospectus</w:t>
      </w:r>
      <w:r>
        <w:rPr>
          <w:rFonts w:ascii="Arial" w:cs="Arial" w:eastAsia="Arial" w:hAnsi="Arial"/>
          <w:sz w:val="18"/>
          <w:szCs w:val="18"/>
          <w:color w:val="auto"/>
        </w:rPr>
        <w:t>. The Company agrees that it will not make any offer relating to the Public Securities that would constitute an issuer free writing prospectus, as defined in Rule 433 under the Securities Act, or that would otherwise constitute a “free writing prospectus” as defined in Rule 405 under the Securities Act.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Delivery to Underwriters of Prospectuses</w:t>
      </w:r>
      <w:r>
        <w:rPr>
          <w:rFonts w:ascii="Arial" w:cs="Arial" w:eastAsia="Arial" w:hAnsi="Arial"/>
          <w:sz w:val="16"/>
          <w:szCs w:val="16"/>
          <w:color w:val="auto"/>
        </w:rPr>
        <w:t>. The Company will deliver to the Underwriters, without charge and from time to time during the period when the Prospectus is required to be delivered under the Securities Act or the Exchange Act, such number of copies of each Preliminary Prospectus and the Prospectus as the Underwriters may reasonably request and, as soon as the Registration Statement or any amendment or supplement thereto becomes effective, deliver to the Underwriters, upon their request, two manually executed Registration Statements, including exhibits, and all post-effective amendments thereto and copies of all exhibits filed therewith or incorporated therein by reference and all manually executed consents of certified experts.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foreign or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that, in the reasonable judgment of the Company, makes any statement of a material fact made in the Registration Statement or the Prospectus untrue or that requires the making of any changes in the Registration Statement or the Prospectus in order to make the statements therein, and in light of the circumstances under which they were made, not misleading. If the Commission or any foreign or state securities commission shall enter a stop order or suspend such qualification at any time, the Company will make every reasonable effort to obtain promptly the lifting of such order.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Affiliated Transactions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3.6.1. </w:t>
      </w:r>
      <w:r>
        <w:rPr>
          <w:rFonts w:ascii="Arial" w:cs="Arial" w:eastAsia="Arial" w:hAnsi="Arial"/>
          <w:sz w:val="18"/>
          <w:szCs w:val="18"/>
          <w:u w:val="single" w:color="auto"/>
          <w:color w:val="auto"/>
        </w:rPr>
        <w:t>Business Combinations</w:t>
      </w:r>
      <w:r>
        <w:rPr>
          <w:rFonts w:ascii="Arial" w:cs="Arial" w:eastAsia="Arial" w:hAnsi="Arial"/>
          <w:sz w:val="18"/>
          <w:szCs w:val="18"/>
          <w:color w:val="auto"/>
        </w:rPr>
        <w:t>. The Company will not consummate a Business Combination with any entity that is affiliated with any Insider unless (i) the Company obtains an opinion from an independent investment banking firm or another independent entity that commonly renders valuation opinions that the Business Combination is fair to the Company from a financial point of view and (ii) a majority of the Company’s disinterested and independent directors (if there are any) approve such transaction.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3.6.2. </w:t>
      </w:r>
      <w:r>
        <w:rPr>
          <w:rFonts w:ascii="Arial" w:cs="Arial" w:eastAsia="Arial" w:hAnsi="Arial"/>
          <w:sz w:val="18"/>
          <w:szCs w:val="18"/>
          <w:u w:val="single" w:color="auto"/>
          <w:color w:val="auto"/>
        </w:rPr>
        <w:t>Compensation to Insiders</w:t>
      </w:r>
      <w:r>
        <w:rPr>
          <w:rFonts w:ascii="Arial" w:cs="Arial" w:eastAsia="Arial" w:hAnsi="Arial"/>
          <w:sz w:val="18"/>
          <w:szCs w:val="18"/>
          <w:color w:val="auto"/>
        </w:rPr>
        <w:t>. Except as disclosed in the Registration Statement, the Statutory Prospectus and the Prospectus, the Company shall not pay any of the Insiders or any of their affiliates any fees or compensation from the Company, for services rendered to the Company prior to, or in connection with, the consummation of a Business Combination.</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Financial Public Relations Firm</w:t>
      </w:r>
      <w:r>
        <w:rPr>
          <w:rFonts w:ascii="Arial" w:cs="Arial" w:eastAsia="Arial" w:hAnsi="Arial"/>
          <w:sz w:val="17"/>
          <w:szCs w:val="17"/>
          <w:color w:val="auto"/>
        </w:rPr>
        <w:t>. Promptly after the execution of a definitive agreement for a Business Combination, the Company shall retain a financial public relations firm reasonably acceptable to the Representative for a term to be agreed on by the Company and the Representative.</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Reports to the Representative</w:t>
      </w:r>
      <w:r>
        <w:rPr>
          <w:rFonts w:ascii="Arial" w:cs="Arial" w:eastAsia="Arial" w:hAnsi="Arial"/>
          <w:sz w:val="16"/>
          <w:szCs w:val="16"/>
          <w:color w:val="auto"/>
        </w:rPr>
        <w:t>. For a period of five years from the Effective Date or until such earlier time upon which the Company is required to be liquidated or is no longer required to file reports under the Exchange Act, the Company will furnish to the Representative and counsel to the Underwriters copies of such financial statements and other periodic and special reports as the Company from time to time furnishes generally to holders of any class of its securities, and promptly furnish to the Underwriters, (i) a copy of each periodic report the Company shall be required to file with the Commission, (ii) a copy of every press release and every news item and article with respect to the Company or its affairs that was released by the Company, (iii) a copy of each current Report on Form 8-K or Schedules 13D, 13G, TO or 13E-4 received or prepared by the Company, (iv) two (2) copies of each registration statement filed by the Company with the Commission under the Securities Act, and (v) such additional documents and information with respect to the Company and the affairs of any future subsidiaries of the Company as the Representative may from time to time reasonably request; provided the Representative shall sign, if requested by the Company, a Regulation FD compliant confidentiality agreement which is reasonably acceptable to the Representative and counsel to the Underwriters in connection with the Representative’s receipt of such information. Documents filed with the Commission pursuant to its EDGAR system shall be deemed to have been delivered to the Representative pursuant to this Section.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spacing w:after="0" w:line="34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Transfer Agent</w:t>
      </w:r>
      <w:r>
        <w:rPr>
          <w:rFonts w:ascii="Arial" w:cs="Arial" w:eastAsia="Arial" w:hAnsi="Arial"/>
          <w:sz w:val="16"/>
          <w:szCs w:val="16"/>
          <w:color w:val="auto"/>
        </w:rPr>
        <w:t>. For a period of five years following the Effective Date or until such earlier time upon which the Company is required to be liquidated, the Company shall retain a transfer agent and warrant agent acceptable to the Representative. The Trustee is acceptable to the Representative.</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hereby agrees to pay on each of the Closing Date and the Option Closing Date, if any, to the extent not paid at the Closing Date, all Company expenses incident to the performance of the obligations of the Company under this Agreement, including but not limited to</w:t>
      </w:r>
    </w:p>
    <w:p>
      <w:pPr>
        <w:jc w:val="both"/>
        <w:ind w:firstLine="8"/>
        <w:spacing w:after="0" w:line="281" w:lineRule="auto"/>
        <w:tabs>
          <w:tab w:leader="none" w:pos="21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Company’s legal and accounting fees and disbursements, (ii) the preparation, printing, filing, mailing and delivery (including the payment of postage with respect to such mailing) of the Registration Statement, the Statutory Prospectus and the Prospectus, including any pre or post effective amendments or supplements thereto, and the printing and mailing of this Agreement and related documents, including the cost of all copies thereof and any amendments thereof or supplements thereto supplied to the Underwriters in quantities as may be required by the Underwriters, (iii) fees incurred in connection with conducting background checks of the Company’s management team, (iv) the preparation, printing, engraving, issuance and delivery of the Units, the Class A Shares and the Warrants included in the Units, including any transfer or other taxes payable thereon, (v) filing fees incurred in registering the Offering with FINRA, (vi) fees, costs and expenses incurred in listing the Securities on Nasdaq or such other stock exchanges as the Company and the Underwriters together determine, (vii) all fees and disbursements of the transfer, warrant and rights agent, (viii) all of the Company’s expenses associated with “due diligence” and “road show” meetings arranged by the Representative and any presentations made available by way of a net roadshow, including without limitation trips for the Company’s management to meet with prospective investors, all travel, food and lodging expenses associated with such trips incurred by the Company or such management, (ix) the preparation, binding and delivery of bound transaction “bibles,” in quantities and form and style reasonably satisfactory to the Representative and Lucite cube mementos in such quantities as the Representative and the Company may mutually agree,</w:t>
      </w:r>
    </w:p>
    <w:p>
      <w:pPr>
        <w:spacing w:after="0" w:line="7" w:lineRule="exact"/>
        <w:rPr>
          <w:rFonts w:ascii="Arial" w:cs="Arial" w:eastAsia="Arial" w:hAnsi="Arial"/>
          <w:sz w:val="16"/>
          <w:szCs w:val="16"/>
          <w:color w:val="auto"/>
        </w:rPr>
      </w:pPr>
    </w:p>
    <w:p>
      <w:pPr>
        <w:jc w:val="both"/>
        <w:ind w:firstLine="8"/>
        <w:spacing w:after="0" w:line="286" w:lineRule="auto"/>
        <w:tabs>
          <w:tab w:leader="none" w:pos="27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reasonable fees and expenses of counsel to the Underwriters and (xi) all other costs and expenses customarily borne by an issuer incident to the performance of its obligations hereunder which are not otherwise specifically provided for in this Section 3.10; subject to a maximum amount of $200,000. If the Representative elects not to proceed with the Offering for any reason (other than the reasons described in the next sentence), the Company shall reimburse the Representative for its out-of-pocket expenses in an aggregate amount of up to $75,000 (less any amounts previously paid by the Company pursuant to the engagement letter dated February 16, 2021 between the Sponsor and the Representative). If the Representative elects not to proceed with the Offering because the Company has materially breached any of its representations, warranties or obligations hereunder, or has failed to expeditiously proceed with the Offering or to cooperate with the Representative in requesting effectiveness of the Registration Statement at such time as the Representative may reasonably deem appropriate, the Company shall reimburse the Representative in full for its out-of-pocket accountable expenses actually incurred through such date, including, without limitation, reasonable fees and disbursements of counsel to the Underwriters.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and Private Placement and received by it in a manner consistent with the application described under the caption “Use of Proceeds” in the Prospectus.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Delivery of Earnings Statements to Security Holders</w:t>
      </w:r>
      <w:r>
        <w:rPr>
          <w:rFonts w:ascii="Arial" w:cs="Arial" w:eastAsia="Arial" w:hAnsi="Arial"/>
          <w:sz w:val="17"/>
          <w:szCs w:val="17"/>
          <w:color w:val="auto"/>
        </w:rPr>
        <w:t>. The Company will make generally available to its security holders as soon as practicable, but not later than the first day of the fifteenth full calendar month following the Effective Date, an earnings statement (which need not be certified by independent public or independent certified public accountants unless required by the Securities Act or the Regulations, but which shall satisfy the provisions of Rule 158(a) under the Securities Act) covering a period of at least twelve consecutive months beginning after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Notice to FINRA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3.13.1. </w:t>
      </w:r>
      <w:r>
        <w:rPr>
          <w:rFonts w:ascii="Arial" w:cs="Arial" w:eastAsia="Arial" w:hAnsi="Arial"/>
          <w:sz w:val="16"/>
          <w:szCs w:val="16"/>
          <w:u w:val="single" w:color="auto"/>
          <w:color w:val="auto"/>
        </w:rPr>
        <w:t>Notice to FINRA</w:t>
      </w:r>
      <w:r>
        <w:rPr>
          <w:rFonts w:ascii="Arial" w:cs="Arial" w:eastAsia="Arial" w:hAnsi="Arial"/>
          <w:sz w:val="16"/>
          <w:szCs w:val="16"/>
          <w:color w:val="auto"/>
        </w:rPr>
        <w:t>. For a period of ninety (90) days after the date of the Prospectus, in the event any person or entity (regardless of any FINRA affiliation or association) is engaged, in writing, to assist the Company in its search for a Target Business or to provide any other services in connection therewith, the Company will provide the following to FINRA and the Representative prior to the consummation of the Business Combination:</w:t>
      </w:r>
    </w:p>
    <w:p>
      <w:pPr>
        <w:spacing w:after="0" w:line="2" w:lineRule="exact"/>
        <w:rPr>
          <w:sz w:val="20"/>
          <w:szCs w:val="20"/>
          <w:color w:val="auto"/>
        </w:rPr>
      </w:pPr>
    </w:p>
    <w:p>
      <w:pPr>
        <w:jc w:val="both"/>
        <w:ind w:firstLine="8"/>
        <w:spacing w:after="0" w:line="295" w:lineRule="auto"/>
        <w:tabs>
          <w:tab w:leader="none" w:pos="23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complete details of all services and copies of agreements governing such services; and (ii) justification as to why the person or entity providing the merger and acquisition services should not be considered an “underwriter and related person” with respect to the Offering, as such term is defined in Rule 5110 of the FINRA Manual. The Company also agrees that, if required by law, proper disclosure of such arrangement or potential arrangement will be made in the tender offer documents or proxy statement which the Company will file with the Commission in connection with the Business Combination.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342" w:lineRule="auto"/>
        <w:rPr>
          <w:sz w:val="20"/>
          <w:szCs w:val="20"/>
          <w:color w:val="auto"/>
        </w:rPr>
      </w:pPr>
      <w:r>
        <w:rPr>
          <w:rFonts w:ascii="Arial" w:cs="Arial" w:eastAsia="Arial" w:hAnsi="Arial"/>
          <w:sz w:val="16"/>
          <w:szCs w:val="16"/>
          <w:color w:val="auto"/>
        </w:rPr>
        <w:t xml:space="preserve">3.13.2. </w:t>
      </w:r>
      <w:r>
        <w:rPr>
          <w:rFonts w:ascii="Arial" w:cs="Arial" w:eastAsia="Arial" w:hAnsi="Arial"/>
          <w:sz w:val="16"/>
          <w:szCs w:val="16"/>
          <w:u w:val="single" w:color="auto"/>
          <w:color w:val="auto"/>
        </w:rPr>
        <w:t>FINRA</w:t>
      </w:r>
      <w:r>
        <w:rPr>
          <w:rFonts w:ascii="Arial" w:cs="Arial" w:eastAsia="Arial" w:hAnsi="Arial"/>
          <w:sz w:val="16"/>
          <w:szCs w:val="16"/>
          <w:color w:val="auto"/>
        </w:rPr>
        <w:t>. The Company shall advise the Representative (who shall make an appropriate filing with FINRA) if it is aware that any 10% or greater stockholder of the Company becomes an affiliate or associated person of a FINRA member participating in the distribution of the Public Securities.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3.13.3. </w:t>
      </w:r>
      <w:r>
        <w:rPr>
          <w:rFonts w:ascii="Arial" w:cs="Arial" w:eastAsia="Arial" w:hAnsi="Arial"/>
          <w:sz w:val="18"/>
          <w:szCs w:val="18"/>
          <w:u w:val="single" w:color="auto"/>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Stabilization</w:t>
      </w:r>
      <w:r>
        <w:rPr>
          <w:rFonts w:ascii="Arial" w:cs="Arial" w:eastAsia="Arial" w:hAnsi="Arial"/>
          <w:sz w:val="17"/>
          <w:szCs w:val="17"/>
          <w:color w:val="auto"/>
        </w:rPr>
        <w:t>. Neither the Company, nor to its knowledge, after reasonable inquiry, any of its employees, directors or stockholders (without the consent of the Representative) has taken and the Company will not take, and has directed its employees, directors and stockholders not to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Payment of Deferred Underwriting Commission on Business Combination</w:t>
      </w:r>
      <w:r>
        <w:rPr>
          <w:rFonts w:ascii="Arial" w:cs="Arial" w:eastAsia="Arial" w:hAnsi="Arial"/>
          <w:sz w:val="18"/>
          <w:szCs w:val="18"/>
          <w:color w:val="auto"/>
        </w:rPr>
        <w:t>. Upon the consummation of the Company’s initial Business Combination, the Company agrees that it will cause the Trustee to pay the Deferred Underwriting Commission directly from the Trust Account to the Underwriters, in accordance with Section 1.3.</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Internal Controls</w:t>
      </w:r>
      <w:r>
        <w:rPr>
          <w:rFonts w:ascii="Arial" w:cs="Arial" w:eastAsia="Arial" w:hAnsi="Arial"/>
          <w:sz w:val="18"/>
          <w:szCs w:val="18"/>
          <w:color w:val="auto"/>
        </w:rPr>
        <w:t>.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Accountants</w:t>
      </w:r>
      <w:r>
        <w:rPr>
          <w:rFonts w:ascii="Arial" w:cs="Arial" w:eastAsia="Arial" w:hAnsi="Arial"/>
          <w:sz w:val="17"/>
          <w:szCs w:val="17"/>
          <w:color w:val="auto"/>
        </w:rPr>
        <w:t>. Until the earlier of five years from the Effective Date or until such earlier time upon which the Company is required to be liquidated, the Company shall retain Marcum or another independent registered public accounting firm reasonably acceptable to the Representative.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Form 8-K</w:t>
      </w:r>
      <w:r>
        <w:rPr>
          <w:rFonts w:ascii="Arial" w:cs="Arial" w:eastAsia="Arial" w:hAnsi="Arial"/>
          <w:sz w:val="18"/>
          <w:szCs w:val="18"/>
          <w:color w:val="auto"/>
        </w:rPr>
        <w:t>. The Company shall, on or prior to the date hereof, retain its independent registered public accounting firm to audit the balance sheet of the Company as of the Closing Date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reflecting the receipt by the Company of the proceeds of the Offering and the Private Placement. Within four (4) Business Days after the Closing Date, the Company shall file a Current Report on Form 8-K with the Commission, which Report shall contain the Company’s Audited Financial Statements. Promptly after the Option Closing Date, if the Over-Allotment Option is exercised after the Closing Date, the Company shall file with the Commission a Current Report on Form 8-K or an amendment to the Form 8-K to provide updated financial information to reflect the exercise of such option.</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Corporate Proceedings</w:t>
      </w:r>
      <w:r>
        <w:rPr>
          <w:rFonts w:ascii="Arial" w:cs="Arial" w:eastAsia="Arial" w:hAnsi="Arial"/>
          <w:sz w:val="17"/>
          <w:szCs w:val="17"/>
          <w:color w:val="auto"/>
        </w:rPr>
        <w:t>. All corporate proceedings and other legal matters necessary to carry out the provisions of this Agreement and the transactions contemplated hereby shall have been done to the reasonable satisfaction of the Representative or counsel to the Underwriters.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shall cause the proceeds of the Offering to be held in the Trust Account to be invested only as provided for in the Trust Agreement and disclosed in the Prospectus. The Company will otherwise conduct its business in a manner so that it will not become subject to the Investment Company Act. Furthermore, once the Company consummates a Business Combination, it shall be engaged in a business other than that of investing, reinvesting, owning, holding or trading securities.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Amendments to Charter Documents</w:t>
      </w:r>
      <w:r>
        <w:rPr>
          <w:rFonts w:ascii="Arial" w:cs="Arial" w:eastAsia="Arial" w:hAnsi="Arial"/>
          <w:sz w:val="18"/>
          <w:szCs w:val="18"/>
          <w:color w:val="auto"/>
        </w:rPr>
        <w:t>. The Company covenants and agrees, that prior to its initial Business Combination it will not seek to amend or modify its Charter Documents, except as set forth therein. The Company acknowledges that the purchasers of the Public Securities in the Offering shall be deemed to be third party beneficiaries of this Agreement and specifically this Section 3.21.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spacing w:after="0" w:line="259"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the Representative’s prior written consent (not to be unreasonably withheld), for a period of forty (40) days after the Closing Date. Notwithstanding the foregoing, in no event shall the Company be prohibited from issuing any press releases or engaging in any other publicity required by law, except that including the name of any Underwriter therein shall require the prior written consent of such Underwriter.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maintain directors’ and officers’ insurance (including, without limitation, insurance covering the Company, its directors and officers for liabilities or losses arising in connection with this Offering, including, without limitation, liabilities or losses arising under the Securities Act, the Exchange Act, the Regulations and any applicable foreign securities laws).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Underwriters, at the Company’s expense, promptly, but in no event later than two (2) Business Days from the effective date of this Agreement, an Electronic Prospectus to be used by the Underwriters in connection with the Offering. As used herein, the term “Electronic Prospectus” means a form of prospectus, and any amendment or supplement thereto, that meets each of the following conditions: (i) it shall be encoded in an electronic format, satisfactory to the Representative, that may be transmitted electronically by the Underwriters to offerees and purchasers of the Units for at least the period during which a prospectus relating to the Units is required to be delivered under the Securities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On the Closing Date, the Company shall cause to be deposited into the Trust Account from proceeds from the Private Placement an amount such that the amount of the funds in the Trust Account shall be equal to $253,750,000, or $10.15 per Public Share sold in the Offering. On the Option Closing Date, if any, the Company shall cause to be deposited an amount of additional proceeds from the additional Placement Units sold on the Option Closing Date into the Trust Account such that the amount of funds in the Trust Account shall be $291,812,500, or $10.15 per Public Share sold in the Offering.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Future Financings</w:t>
      </w:r>
      <w:r>
        <w:rPr>
          <w:rFonts w:ascii="Arial" w:cs="Arial" w:eastAsia="Arial" w:hAnsi="Arial"/>
          <w:sz w:val="18"/>
          <w:szCs w:val="18"/>
          <w:color w:val="auto"/>
        </w:rPr>
        <w:t>. The Company agrees that neither it, nor any successor or subsidiary of the Company, will consummate any public or private equity or debt financing prior to the consummation of a Business Combination, unless all investors in such financing expressly waive, in writing, any rights in or claims against the Trust Account.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3.27. </w:t>
      </w:r>
      <w:r>
        <w:rPr>
          <w:rFonts w:ascii="Arial" w:cs="Arial" w:eastAsia="Arial" w:hAnsi="Arial"/>
          <w:sz w:val="16"/>
          <w:szCs w:val="16"/>
          <w:u w:val="single" w:color="auto"/>
          <w:color w:val="auto"/>
        </w:rPr>
        <w:t>Amendments to Agreements</w:t>
      </w:r>
      <w:r>
        <w:rPr>
          <w:rFonts w:ascii="Arial" w:cs="Arial" w:eastAsia="Arial" w:hAnsi="Arial"/>
          <w:sz w:val="16"/>
          <w:szCs w:val="16"/>
          <w:color w:val="auto"/>
        </w:rPr>
        <w:t>. The Company shall not amend, modify, waive any provision of, or otherwise change the Warrant Agreement, Trust Agreement, Registration Rights Agreement, Private Placement Unit Purchase Agreement, the Services Agreement, or any Insider Letter without the prior written consent of the Representative which will not be unreasonably withheld. Furthermore, the Trust Agreement shall provide that the trustee is required to obtain a joint written instruction signed by both the Company and the Representative with respect to the transfer of the funds held in the Trust Account from the Trust Account, prior to commencing any liquidation of the assets of the Trust Account in connection with the consummation of any Business Combination, and such provision of the Trust Agreement shall not be permitted to be amended without the prior written consent of the Representative.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Nasdaq</w:t>
      </w:r>
      <w:r>
        <w:rPr>
          <w:rFonts w:ascii="Arial" w:cs="Arial" w:eastAsia="Arial" w:hAnsi="Arial"/>
          <w:sz w:val="18"/>
          <w:szCs w:val="18"/>
          <w:color w:val="auto"/>
        </w:rPr>
        <w:t>. Until the consummation of a Business Combination, the Company will use its best efforts to maintain the listing of the Public Securities on Nasdaq or a national securities exchange acceptable to the Representative.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Placement Warrants outstanding from time to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Underwriters in writing, prior to the Closing Date, of (i) any Disqualification Event relating to any Company Covered Person and (ii) any event that would, with the passage of time, become a Disqualification Event relating to any Company Covered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Disqualification of S-1</w:t>
      </w:r>
      <w:r>
        <w:rPr>
          <w:rFonts w:ascii="Arial" w:cs="Arial" w:eastAsia="Arial" w:hAnsi="Arial"/>
          <w:sz w:val="18"/>
          <w:szCs w:val="18"/>
          <w:color w:val="auto"/>
        </w:rPr>
        <w:t>. Until the earlier of seven years from the date hereof or until the Warrants have either expired and are no longer exercisable or have all been exercised, the Company will not take any action or actions that prevent or disqualify the Company’s use of Form S-1 (or other appropriate form) for the registration of the Class A Shares issuable upon exercise of the Warrants under the Securities Act.</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Emerging Growth Company Status</w:t>
      </w:r>
      <w:r>
        <w:rPr>
          <w:rFonts w:ascii="Arial" w:cs="Arial" w:eastAsia="Arial" w:hAnsi="Arial"/>
          <w:sz w:val="17"/>
          <w:szCs w:val="17"/>
          <w:color w:val="auto"/>
        </w:rPr>
        <w:t>. The Company will promptly notify the Representative if the Company ceases to be an Emerging Growth Company at any time prior to the earlier of five years after the consummation of the Company’s initial Business Combination, or the liquidation of the Trust Account if a Business Combination is not consummated as required by its Charter Documents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3.33. </w:t>
      </w:r>
      <w:r>
        <w:rPr>
          <w:rFonts w:ascii="Arial" w:cs="Arial" w:eastAsia="Arial" w:hAnsi="Arial"/>
          <w:sz w:val="17"/>
          <w:szCs w:val="17"/>
          <w:u w:val="single" w:color="auto"/>
          <w:color w:val="auto"/>
        </w:rPr>
        <w:t>Review of Financial Statements</w:t>
      </w:r>
      <w:r>
        <w:rPr>
          <w:rFonts w:ascii="Arial" w:cs="Arial" w:eastAsia="Arial" w:hAnsi="Arial"/>
          <w:sz w:val="17"/>
          <w:szCs w:val="17"/>
          <w:color w:val="auto"/>
        </w:rPr>
        <w:t>. Until the earlier of five years from the Effective Date or until the liquidation of the Trust Account if a Business Combination is not consummated by the Termination Date, the Company, at its expense, shall cause its regularly engaged independent certified public accountants to review (but not audit) the Company’s financial statements for each of the first three fiscal quarters prior to the announcement of quarterly financial information and the filing of the Company’s quarterly report on Form 10-Q pursuant to the Exchange Act.</w:t>
      </w:r>
    </w:p>
    <w:p>
      <w:pPr>
        <w:spacing w:after="0" w:line="171" w:lineRule="exact"/>
        <w:rPr>
          <w:sz w:val="20"/>
          <w:szCs w:val="20"/>
          <w:color w:val="auto"/>
        </w:rPr>
      </w:pPr>
    </w:p>
    <w:p>
      <w:pPr>
        <w:jc w:val="both"/>
        <w:ind w:firstLine="8"/>
        <w:spacing w:after="0" w:line="259" w:lineRule="auto"/>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Underwriters to purchase and pay for the Units, as 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Effectiveness of Registration Statement</w:t>
      </w:r>
      <w:r>
        <w:rPr>
          <w:rFonts w:ascii="Arial" w:cs="Arial" w:eastAsia="Arial" w:hAnsi="Arial"/>
          <w:sz w:val="18"/>
          <w:szCs w:val="18"/>
          <w:color w:val="auto"/>
        </w:rPr>
        <w:t>. The Registration Statement shall have become effective not later than 5:00 p.m., New York City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 Clearance</w:t>
      </w:r>
      <w:r>
        <w:rPr>
          <w:rFonts w:ascii="Arial" w:cs="Arial" w:eastAsia="Arial" w:hAnsi="Arial"/>
          <w:sz w:val="18"/>
          <w:szCs w:val="18"/>
          <w:color w:val="auto"/>
        </w:rPr>
        <w:t>. By the Effective Date, the Underwriters shall have received a letter of no objection from FINRA as to the amount of compensation allowable or payable to the Underwriters as described in the Registration Statement.</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No Commission Stop Order</w:t>
      </w:r>
      <w:r>
        <w:rPr>
          <w:rFonts w:ascii="Arial" w:cs="Arial" w:eastAsia="Arial" w:hAnsi="Arial"/>
          <w:sz w:val="17"/>
          <w:szCs w:val="17"/>
          <w:color w:val="auto"/>
        </w:rPr>
        <w:t>. At the Closing Date and on each Option Closing Date, the Commission shall have not issued any order or threatened to issue any order preventing or suspending the use of any Preliminary Prospectus, the Prospectus or any part thereof, and has not instituted or, to the Company’s knowledge, after reasonable inquiry, threatened to institute any proceedings with respect to such an order.</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Nasdaq</w:t>
      </w:r>
      <w:r>
        <w:rPr>
          <w:rFonts w:ascii="Arial" w:cs="Arial" w:eastAsia="Arial" w:hAnsi="Arial"/>
          <w:sz w:val="18"/>
          <w:szCs w:val="18"/>
          <w:color w:val="auto"/>
        </w:rPr>
        <w:t>. The Securities shall have been approved for listing on Nasdaq, subject to official notice of issuance and evidence of satisfactory distribution, satisfactory evidence of which shall have been provided to the Representative.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Company Counsel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Closing Date and Option Closing Date Opinions of Counsel</w:t>
      </w:r>
      <w:r>
        <w:rPr>
          <w:rFonts w:ascii="Arial" w:cs="Arial" w:eastAsia="Arial" w:hAnsi="Arial"/>
          <w:sz w:val="18"/>
          <w:szCs w:val="18"/>
          <w:color w:val="auto"/>
        </w:rPr>
        <w:t>. On the Closing Date and the Option Closing Date, if any, the Representative shall have received the favorable opinions and negative assurance statements of Loeb &amp; Loeb LLP, dated the Closing Date and the Option Closing Date, if any, addressed to the Representative as representative for the several Underwriters and in form and substance satisfactory to the Representative and counsel to the Underwriters.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Reliance</w:t>
      </w:r>
      <w:r>
        <w:rPr>
          <w:rFonts w:ascii="Arial" w:cs="Arial" w:eastAsia="Arial" w:hAnsi="Arial"/>
          <w:sz w:val="18"/>
          <w:szCs w:val="18"/>
          <w:color w:val="auto"/>
        </w:rPr>
        <w:t>. In rendering such opinions, such counsel may rely as to matters of fact, to the extent they deem proper, on certificates or other written statements of officers of the Company and officers of departments of various jurisdictions having custody of documents respecting the corporate existence or good standing of the Company, provided that copies of any such statements or certificates shall be delivered to counsel to the Underwriters, if requested.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Comfort Letter</w:t>
      </w:r>
      <w:r>
        <w:rPr>
          <w:rFonts w:ascii="Arial" w:cs="Arial" w:eastAsia="Arial" w:hAnsi="Arial"/>
          <w:sz w:val="17"/>
          <w:szCs w:val="17"/>
          <w:color w:val="auto"/>
        </w:rPr>
        <w:t>. At the time this Agreement is executed, and at the Closing Date and Option Closing Date, if any, the Representative shall have received a letter, addressed to the Representative as representative for the several Underwriters and in form and substance satisfactory in all respects (including the non-material nature of the changes or decreases, if any, referred to in Section 4.3.3 below) to the Representative from Marcum dated, respectively, as of the date of this Agreement and as of the Closing Date and Option Closing Date, if any:</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4.3.1. Confirming that they are independent accountants with respect to the Company within the meaning of the Securities Act and the applicable Regulations and that they have not, during the periods covered by the financial statements included in the Registration Statement, Preliminary Prospectus, Statutory Prospectus and the Prospectus, provided to the Company any non-audit services, as such term is used in Section 10A(g) of the Exchange Act;</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4.3.2. Stating that, in their opinion, the financial statements of the Company included in the Registration Statement, the Statutory Prospectus and the Prospectus comply as to form in all material respects with the applicable accounting requirements of the Securities Act and the Regulations thereunder;</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4.3.3. Stating that, on the basis of their review, which included a reading of the latest available unaudited interim financial statements of the Company (with an indication of the date of the latest available unaudited interim financial statements),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that would lead them to believe that (a) at a date immediately prior to the Effective Date, Closing Date or Option Closing Date, as the case may be, there was any change in the share capital or long-term debt of the Company, or any decrease in the stockholders’ equity of the Company as compared with amounts shown in the balance sheet of the Company as of September 30, 2021 included in the Registration Statement, the Statutory Prospectus and the Prospectus, other than as set forth in or contemplated by the Registration Statement, the Statutory Prospectus and the Prospectus or, if there was any decrease, setting forth the amount of such decrease and (b) during the period from September 30, 2021 to a specified date immediately prior to the Effective Date, Closing Date or Option Closing Date, as the case may be, there were any changes in revenues, net earnings (losses) or net earnings (losses) per Class A Share, in each case as compared with the Statement of Operations for the period from March 2, 2021 (inception) to September 30, 2021 included in the Registration Statement, the Statutory Prospectus and the Prospectus, or, if there was any such change, setting forth the amount of such change;</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4.3.4. Setting forth, at a date not later than five days prior to the Effective Date, the amount of liabilities of the Company (including a breakdown of commercial paper and notes payable to banks);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4.3.5. Stating that they have compared specific dollar amounts, numbers of shares, percentages of revenues and earnings, statements and other financial information pertaining to the Company set forth in the Registration Statement, the Statutory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generally accepted auditing standards) set forth in the letter and found them to be in agreement, and</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4.3.6. Statements as to such other matters incident to the transaction contemplated hereby as the Representative or counsel to the Underwriters may reasonably request, including that Marcum is registered with the PCAOB.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4.4.1.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At each of the Closing Date and the Option Closing Date, if any, the Representative shall have received a certificate of the Company signed by the Chairman of the Board or the Chief Executive Officer and the Secretary or Assistant Secretary of the Company (in their capacities as such),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Section 4 hereof have been satisfied as of such date and that, as of Closing Date and the Option Closing Date, as the case may be, the representations and warranties of the Company set forth in Section 2 hereof are true and correct. In addition, the Representative will have received such other and further certificates of officers of the Company (in their capacities as such) as the Representative may reasonably request.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648"/>
        <w:spacing w:after="0" w:line="272"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At each of the Closing Date and the Option Closing Date, if any, the Representative shall have received a certificate of the Company signed by the Secretary or Assistant Secretary of the Company, dated the Closing Date or the Option Date, as the case may be, respectively, certifying (i) that the Charter Documents are true and complete, have not been modified and are in full force and effect, (ii) that the resolutions of the Company’s Board of Directors relating to the public offering contemplated by this Agreement are in full force and effect and have not been modified or rescinded, (iii) as to the accuracy and completeness of all correspondence between the Company or its counsel and the Commission, (iv) as to the accuracy and completeness of all correspondence between the Company or its counsel and Nasdaq and (v) as to the incumbency of the officers of the Company. The documents referred to in such certificate shall be attached to such certificate.</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involving a prospective material adverse change in the condition (financial or otherwise), prospects or the business activities of the Company from the latest dates as of which such condition is set forth in the Registration Statement and the Prospectus, (ii) no action suit or proceeding, at law or in equity, shall have been pending or threatened against the Company or any Insider before or by any court or federal, foreign or state commission, board or other administrative agency wherein an unfavorable decision, ruling or finding may materially adversely affect the business, operations, or financial condition or income of the Company, except as set forth in the Registration Statement and the Prospectus, (iii) no stop order shall have been issued under the Securities Act and no proceedings therefor shall have been initiated or, to the Company’s knowledge, after reasonable inquiry, threatened, by the Commission, and (iv) the Registration Statement, the Statutory Prospectus and the Prospectus and any amendments or supplements thereto shall contain all material statements which are required to be stated therein in accordance with the Securities Act and the Regulations and shall conform in all material respects to the requirements of the Securities Act and the Regulations, and neither the Registration Statement, the Statutory Prospectus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Delivery of Agreements</w:t>
      </w:r>
      <w:r>
        <w:rPr>
          <w:rFonts w:ascii="Arial" w:cs="Arial" w:eastAsia="Arial" w:hAnsi="Arial"/>
          <w:sz w:val="18"/>
          <w:szCs w:val="18"/>
          <w:color w:val="auto"/>
        </w:rPr>
        <w:t>. On the Effective Date, the Company shall have delivered to the Representative executed copies of the Transaction Documents.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Placement Units</w:t>
      </w:r>
      <w:r>
        <w:rPr>
          <w:rFonts w:ascii="Arial" w:cs="Arial" w:eastAsia="Arial" w:hAnsi="Arial"/>
          <w:sz w:val="18"/>
          <w:szCs w:val="18"/>
          <w:color w:val="auto"/>
        </w:rPr>
        <w:t>. On the Closing Date and the Option Closing Date, as applicable, the Placement Units have been purchased as provided for in the Private Placement Unit Purchase Agreement and the requisite portion of the purchase price for such securities specified herein and therein shall be deposited into the Trust Account.</w:t>
      </w:r>
    </w:p>
    <w:p>
      <w:pPr>
        <w:spacing w:after="0" w:line="184"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Indemnification of the Underwriters</w:t>
      </w:r>
      <w:r>
        <w:rPr>
          <w:rFonts w:ascii="Arial" w:cs="Arial" w:eastAsia="Arial" w:hAnsi="Arial"/>
          <w:sz w:val="18"/>
          <w:szCs w:val="18"/>
          <w:color w:val="auto"/>
        </w:rPr>
        <w:t>. The Company agrees to indemnify and hold harmless each Underwriter, its affiliates and their respective partners, members, directors, officers, employees and agents, and each person, if any, who controls each Underwriter or any affiliate within the meaning of Section 15 of the Securities Act or Section 20 of the Exchange Act as follows:</w:t>
      </w:r>
    </w:p>
    <w:p>
      <w:pPr>
        <w:spacing w:after="0" w:line="184" w:lineRule="exact"/>
        <w:rPr>
          <w:sz w:val="20"/>
          <w:szCs w:val="20"/>
          <w:color w:val="auto"/>
        </w:rPr>
      </w:pPr>
    </w:p>
    <w:p>
      <w:pPr>
        <w:jc w:val="both"/>
        <w:ind w:firstLine="656"/>
        <w:spacing w:after="0" w:line="273" w:lineRule="auto"/>
        <w:tabs>
          <w:tab w:leader="none" w:pos="89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Statutory Prospectus, any Testing-the-Waters Communication or the Prospectus (or any amendment or supplement to the foregoing), or the omission or alleged omission therefrom of a material fact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jc w:val="both"/>
        <w:ind w:firstLine="656"/>
        <w:spacing w:after="0" w:line="301" w:lineRule="auto"/>
        <w:tabs>
          <w:tab w:leader="none" w:pos="9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provided that (subject to Section 5.1(d)) any such settlement is effected with the written consent of the Company, which consent shall not unreasonably be delayed, conditioned or withheld; and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ind w:firstLine="656"/>
        <w:spacing w:after="0" w:line="255" w:lineRule="auto"/>
        <w:tabs>
          <w:tab w:leader="none" w:pos="90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solely in reliance upon and in conformity with the Underwriters’ Information.</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Each Underwriter agrees, severally and not jointly, to indemnify and hold harmless the Company, and its directors,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Section 5.1.1, as incurred, but only with respect to untrue statements or omissions, or alleged untrue statements or omissions, made in the Registration Statement, any preliminary prospectus, the Statutory Prospectus, any Testing-the-Waters Communication or the Prospectus (or any amendment or supplement to the foregoing), solely in reliance upon and in conformity with the Underwriters’ Information.</w:t>
      </w:r>
    </w:p>
    <w:p>
      <w:pPr>
        <w:spacing w:after="0" w:line="16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Any party that proposes to assert the right to be indemnified under this Section 5.1 will, promptly after receipt of notice of commencement of any action against such party in respect of which a claim is to be made against an indemnifying party or parties under this Section 5.1,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5.1 and (ii) any liability that it may have to any indemnified party under the foregoing provision of this Section 5.1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(A) the employment of counsel by the indemnified party has been authorized in writing by the indemnifying party, (B) the indemnified party has reasonably concluded (based on advice of counsel) that there may be legal defenses available to it or other indemnified parties that are different from or in addition to those available to the indemnifying party, (C)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(D)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(plus local counsel)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5 (whether or not any indemnified party is a party thereto), unless such settlement, compromise or consent (x) includes an express and unconditional release of each indemnified party, in form and substance reasonably satisfactory to such indemnified party, from all liability arising out of such litigation, investigation, proceeding or claim and (y)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648"/>
        <w:spacing w:after="0" w:line="255"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Settlement Without Consent if Failure to Reimburse</w:t>
      </w:r>
      <w:r>
        <w:rPr>
          <w:rFonts w:ascii="Arial" w:cs="Arial" w:eastAsia="Arial" w:hAnsi="Arial"/>
          <w:sz w:val="18"/>
          <w:szCs w:val="18"/>
          <w:color w:val="auto"/>
        </w:rPr>
        <w:t>. If an indemnified party shall have requested an indemnifying party to reimburse the indemnified party for reasonable fees and expenses of counsel, such indemnifying party agrees that it shall be liable for any settlement of the nature contemplated by Section 5.1.1(b)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the foregoing paragraphs of Section 5.1 is applicable in accordance with its terms but for any reason is held to be unavailable or insufficient from the Company or the Underwriters, the Company and the Underwriters will contribute to the total losses, claims, liabilities, expenses and damages (including any investigative, legal and other expenses reasonably incurred in connection with, and any amount paid in settlement of, any action, suit or proceeding or any claim asserted) to which any indemnified party may be subject in such proportion as shall be appropriate to reflect the relative benefits received by the Company on the one hand and the Underwriters on the other hand. The relative benefits received by the Company on the one hand and the Underwriters on the other hand shall be deemed to be in the same proportion as the total net proceeds from the sale of the Units (before deducting expenses) received by the Company bear to the total compensation received by the Underwriters (before deducting expenses) from the sale of Units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Underwriters,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5.2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5.2 shall be deemed to include, for the purpose of this Section 5.2, any legal or other expenses reasonably incurred by such indemnified party in connection with investigating or defending any such action or claim to the extent consistent with Section 5.1.3. Notwithstanding the foregoing provisions of Section 5.1 and this Section 5.2, the Underwriters shall not be required to contribute any amount in excess of the commissions actually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5.2, any person who controls a party to this Agreement within the meaning of the Securities Act, any affiliates of the respective Underwriters and any officers, directors, partners, employees or agents of the Underwriters or their respective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5.2, will notify any such party or parties from whom contribution may be sought, but the omission to so notify will not relieve that party or parties from whom contribution may be sought from any other obligation it or they may have under this Section 5.2 except to the extent that the failure to so notify such other party materially prejudiced the substantive rights or defenses of the party from whom contribution is sought. Except for a settlement entered into pursuant to the last sentence of Section 5.1.3, no party will be liable for contribution with respect to any action or claim settled without its written consent if such consent is required pursuant to Section 5.1.3.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ind w:left="180" w:hanging="172"/>
        <w:spacing w:after="0"/>
        <w:tabs>
          <w:tab w:leader="none" w:pos="1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w:t>
      </w:r>
      <w:r>
        <w:rPr>
          <w:rFonts w:ascii="Arial" w:cs="Arial" w:eastAsia="Arial" w:hAnsi="Arial"/>
          <w:sz w:val="18"/>
          <w:szCs w:val="18"/>
          <w:color w:val="auto"/>
        </w:rPr>
        <w:t>. If any Underwriter or Underwriters shall default in its or their obligations to purchase the Firm Units and if the number of the Firm Units with respect to which such default relates does not exceed in the aggregate 10% of the number of Firm Units that all Underwriters have agreed to purchase hereunder, then such Firm Units to which the default relates shall be purchased by the non-defaulting Underwriters in proportion to their respective commitments hereunder.</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w:t>
      </w:r>
      <w:r>
        <w:rPr>
          <w:rFonts w:ascii="Arial" w:cs="Arial" w:eastAsia="Arial" w:hAnsi="Arial"/>
          <w:sz w:val="17"/>
          <w:szCs w:val="17"/>
          <w:color w:val="auto"/>
        </w:rPr>
        <w:t>. In the event that the default addressed in Section 6.1 above relates to more than 10% of the Firm Units, the Representative may, in its discretion, arrange for it or for another party or parties to purchase such Firm Units to which such default relates on the terms contained herein. If within one (1) Business Day after such default relating to more than 10% of the Firm Units the Representative do not arrange for the purchase of such Firm Units, then the Company shall be entitled to a further period of one (1) Business Day within which to procure another party or parties satisfactory to the Representative to purchase said Firm Units on such terms. In the event that neither the Representative nor the Company arrange for the purchase of the Firm Units to which a default relates as provided in this Section 6, this Agreement may be terminated by the Representative or the Company without liability on the part of the Company (except as provided in Sections 3.10, 5, and 9.3 hereof) or the several Underwriters (except as provided in Section 5 hereof); provided that nothing herein shall relieve a defaulting Underwriter of its liability, if any, to the other several Underwriters and to the Company for damages occasioned by its default hereunder.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Postponement of Closing Date</w:t>
      </w:r>
      <w:r>
        <w:rPr>
          <w:rFonts w:ascii="Arial" w:cs="Arial" w:eastAsia="Arial" w:hAnsi="Arial"/>
          <w:sz w:val="17"/>
          <w:szCs w:val="17"/>
          <w:color w:val="auto"/>
        </w:rPr>
        <w:t>. In the event that the Firm Units to which the default relates are to be purchased by the non-defaulting Underwriters, or are to be purchased by another party or parties as aforesaid, the Representative or the Company shall have the right to postpone the Closing Date for a reasonable period, but not in any event exceeding five (5) Business Days, in order to effect whatever changes may thereby be made necessary in the Registration Statement and/or the Prospectus, as the case may be, or in any other documents and arrangements, and the Company agrees to file promptly any amendment to, or to supplement, the Registration Statement and/or the Prospectus, as the case may be, that in the reasonable opinion of counsel for the Underwriters may thereby be made necessary. The term “Underwriter” as used in this Agreement shall include any party substituted under this Section 6 with like effect as if it had originally been a party to this Agreement with respect to such securities.</w:t>
      </w:r>
    </w:p>
    <w:p>
      <w:pPr>
        <w:spacing w:after="0" w:line="177"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consummation of a Business Combination, it shall not issue shares of any class of its common stock Shares or any options or other securities convertible into shares of any class of such common stock, or any shares of its preferred stock or other securities of the Company which participate in any manner in the Trust Account or which vote as a class with the Class A Shares on a Business Combination.</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it will use its reasonable best efforts prior to commencing its due diligence investigation of any prospective Target Business or obtaining the services of any vendor to have such Target Business and/or vendor acknowledge in writing whether through a letter of intent, memorandum of understanding or other similar document (and subsequently acknowledges the same in any definitive document replacing any of the foregoing), that (a) it has read the Prospectus and understands that the Company has established the Trust Account, initially in an amount of $253,750,000 (without giving effect to any exercise of the Over-Allotment Option) for the benefit of the Public Stockholders and that, except for a portion of the interest earned on the amounts held in the Trust Account, the Company may disburse monies from the Trust Account only (i) to the Public Stockholders in the event they elect to redeem Class A Shares contained in the Public Securities in connection with the consummation of a Business Combination, (ii) to the Public Stockholders if the Company fails to consummate a Business Combination within the time period set forth in the Charter Documents, or (iii) to the Company after or concurrently with the consummation of a Business Combination and (b) for and in consideration of the Company (i) agreeing to evaluate such Target Business for purposes of consummating a Business Combination with it or</w:t>
      </w:r>
    </w:p>
    <w:p>
      <w:pPr>
        <w:spacing w:after="0" w:line="5" w:lineRule="exact"/>
        <w:rPr>
          <w:sz w:val="20"/>
          <w:szCs w:val="20"/>
          <w:color w:val="auto"/>
        </w:rPr>
      </w:pPr>
    </w:p>
    <w:p>
      <w:pPr>
        <w:jc w:val="both"/>
        <w:ind w:firstLine="8"/>
        <w:spacing w:after="0" w:line="292" w:lineRule="auto"/>
        <w:tabs>
          <w:tab w:leader="none" w:pos="26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agreeing to engage the services of the vendor, as the case may be, such Target Business or vendor agrees that it does not have any right, title, interest or claim of any kind in or to any monies in the Trust Account (“</w:t>
      </w:r>
      <w:r>
        <w:rPr>
          <w:rFonts w:ascii="Arial" w:cs="Arial" w:eastAsia="Arial" w:hAnsi="Arial"/>
          <w:sz w:val="16"/>
          <w:szCs w:val="16"/>
          <w:u w:val="single" w:color="auto"/>
          <w:color w:val="auto"/>
        </w:rPr>
        <w:t>Claim</w:t>
      </w:r>
      <w:r>
        <w:rPr>
          <w:rFonts w:ascii="Arial" w:cs="Arial" w:eastAsia="Arial" w:hAnsi="Arial"/>
          <w:sz w:val="16"/>
          <w:szCs w:val="16"/>
          <w:color w:val="auto"/>
        </w:rPr>
        <w:t>”)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Exhibits A and B, respectively. The Company may forego obtaining such waivers only if the Company shall have received the approval of its Chief Executive Officer and the approving vote of at least a majority of its Board of Directors.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Insider Letters</w:t>
      </w:r>
      <w:r>
        <w:rPr>
          <w:rFonts w:ascii="Arial" w:cs="Arial" w:eastAsia="Arial" w:hAnsi="Arial"/>
          <w:sz w:val="18"/>
          <w:szCs w:val="18"/>
          <w:color w:val="auto"/>
        </w:rPr>
        <w:t>. The Company shall not take any action or omit to take any action which would cause a breach of any of the Insider Letters and will not allow any amendments to, or waivers of, such Insider Letters without the prior written consent of the Representative, which consent shall not be unreasonably withheld.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Rule 419</w:t>
      </w:r>
      <w:r>
        <w:rPr>
          <w:rFonts w:ascii="Arial" w:cs="Arial" w:eastAsia="Arial" w:hAnsi="Arial"/>
          <w:sz w:val="18"/>
          <w:szCs w:val="18"/>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Tender Offer Documents, Proxy Materials and Other Information</w:t>
      </w:r>
      <w:r>
        <w:rPr>
          <w:rFonts w:ascii="Arial" w:cs="Arial" w:eastAsia="Arial" w:hAnsi="Arial"/>
          <w:sz w:val="17"/>
          <w:szCs w:val="17"/>
          <w:color w:val="auto"/>
        </w:rPr>
        <w:t>. The Company shall provide to the Representative or counsel to the Underwriters (if so instructed by the Representative) with 10 copies of all tender offer documents or proxy information and all related material filed with the Commission in connection with a Business Combination concurrently with such filing with the Commission. Documents filed with the Commission pursuant to its EDGAR system shall be deemed to have been provided to the Representative pursuant to this Section. In addition, the Company shall furnish any other state in which its initial public offering was registered, such information as may be requested by such state.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shall promptly notify the Representative if the Company ceases to be an Emerging Growth Company at any time prior to the completion of the distribution of the Securities within the meaning of the Securities Act.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Target Fair Market Value</w:t>
      </w:r>
      <w:r>
        <w:rPr>
          <w:rFonts w:ascii="Arial" w:cs="Arial" w:eastAsia="Arial" w:hAnsi="Arial"/>
          <w:sz w:val="17"/>
          <w:szCs w:val="17"/>
          <w:color w:val="auto"/>
        </w:rPr>
        <w:t>. The Company agrees that the Target Business that it acquires must have a fair market value equal to at least 80% of the balance in the Trust Account at the time of signing the definitive agreement for the Business Combination with such Target Business (excluding taxes payable and the Deferred Underwriting Commissions). The fair market value of such business must be determined by the Board of Directors of the Company based upon standards generally accepted by the financial community, such as actual and potential sales, earnings, cash flow and book value. If the Board of Directors of the Company is not able to independently determine that the target business meets such fair market value requirement, the Company will obtain an opinion from an independent investment banking firm or another independent entity that commonly renders valuation opinions with respect to the satisfaction of such criteria. The Company is not required to obtain an opinion as to the fair market value if the Company’s Board of Directors independently determines that the Target Business does have sufficient fair market value.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The Representative shall have an irrevocable right of first refusal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for a period of fifteen (15) months from the closing of a Business Combination, to act as sole investment banker, sole book-runner, and/or sole placement agent, at the Representative’s sole discretion, for each and every future public and private equity and debt offering, including all equity linked financings (each, a “</w:t>
      </w:r>
      <w:r>
        <w:rPr>
          <w:rFonts w:ascii="Arial" w:cs="Arial" w:eastAsia="Arial" w:hAnsi="Arial"/>
          <w:sz w:val="16"/>
          <w:szCs w:val="16"/>
          <w:u w:val="single" w:color="auto"/>
          <w:color w:val="auto"/>
        </w:rPr>
        <w:t>Subject Transaction</w:t>
      </w:r>
      <w:r>
        <w:rPr>
          <w:rFonts w:ascii="Arial" w:cs="Arial" w:eastAsia="Arial" w:hAnsi="Arial"/>
          <w:sz w:val="16"/>
          <w:szCs w:val="16"/>
          <w:color w:val="auto"/>
        </w:rPr>
        <w:t xml:space="preserve">”), during such fifteen (15) month period, of the Company, or any successor to or subsidiary of the Company, on terms and conditions customary for the Representative for such Subject Transactions. The Representative shall have the sole right to determine whether any other broker dealer shall participate in the Subject Transactions and the economic terms of such participation. For the avoidance of any doubt, the Company shall not retain, engage or solicit any additional investment banker, book-runner, financial advisor, underwriter and/or placement agent in a Subject Transaction during the fifteen (15) month period referred to above without the express written consent of the Representative. The Right of First Refusal shall also encompass the time period leading up to the closing of the Business Combination while the Company is still a special purpose acquisition company. The Company shall notify the Representative of its intention to pursue a Subject Transaction, including the material terms thereof, by providing written notice thereof by registered mail or overnight courier service addressed to the Representative. If the Representative fails to exercise its Right of First Refusal with respect to any Subject Transaction within ten (10) Business Days after the mailing of such written notice, then the Representative shall have no further claim or right with respect to the Subject Transaction. The Representative may elect, in its sole and absolute discretion, not to exercise its Right of First Refusal with respect to any Subject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election by the Representative shall not adversely affect the Representative’s Right of First Refusal with respect to any other Subject Transaction during the fifteen (15) month period agreed to above. The terms and conditions of any such engagements shall be set forth in separate agreements and may be subject to, among other things, satisfactory completion of due diligence by the Representative, market conditions, the absence of a material adverse change to the Company’s business, financial condition and prospects, approval of the Representative’s internal committee and any other conditions that the Representative may deem appropriate for transactions of such nature.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firstLine="8"/>
        <w:spacing w:after="0" w:line="272" w:lineRule="auto"/>
        <w:tabs>
          <w:tab w:leader="none" w:pos="18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Representations and Agreements to Survive Delivery</w:t>
      </w:r>
      <w:r>
        <w:rPr>
          <w:rFonts w:ascii="Arial" w:cs="Arial" w:eastAsia="Arial" w:hAnsi="Arial"/>
          <w:sz w:val="17"/>
          <w:szCs w:val="17"/>
          <w:color w:val="auto"/>
        </w:rPr>
        <w:t>. Except as the context otherwise requires, all representations, warranties and agreements contained in this Agreement shall be deemed to be representations, warranties and agreements as of the Closing Date or the Option Closing Date, if any, and such representations, warranties and agreements of the Underwriters and the Company, including the indemnity agreements contained in Section 5 hereof, shall remain operative and in full force and effect regardless of any investigation made by or on behalf of the Underwriters, the Company or any Controlling Person, and shall survive termination of this Agreement or the issuance and delivery of the Public Securities to the Underwriters until the earlier of the expiration of any applicable statute of limitations and the seventh (7th) anniversary of the later of the Closing Date or the Option Closing Date, if any, at which time the representations, warranties and agreements shall terminate and be of no further force and effect.</w:t>
      </w:r>
    </w:p>
    <w:p>
      <w:pPr>
        <w:spacing w:after="0" w:line="177" w:lineRule="exact"/>
        <w:rPr>
          <w:rFonts w:ascii="Arial" w:cs="Arial" w:eastAsia="Arial" w:hAnsi="Arial"/>
          <w:sz w:val="17"/>
          <w:szCs w:val="17"/>
          <w:color w:val="auto"/>
        </w:rPr>
      </w:pPr>
    </w:p>
    <w:p>
      <w:pPr>
        <w:ind w:left="180" w:hanging="172"/>
        <w:spacing w:after="0"/>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Effective Date of This Agreement and Termination Thereof</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Effective Date at the time the Registration Statement is declared effective by the Commission.</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shall have the right to terminate this Agreement at any time prior to the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Global Select Market, the Nasdaq Global Market, or the Nasdaq Capital Market or quoted on the OTCBB shall have been suspended, or minimum or maximum prices for trading shall have been fixed, or maximum ranges for prices for securities shall have been fixed, or maximum ranges for prices for securities shall have been required by FINRA or by order of the Commission or any other government authority having jurisdiction, or (iii) if the United States shall have become involved in a new war or an increase in existing major hostilities, or (iv) if a banking moratorium has been declared by a New York State or Federal authority, or (v) if a moratorium on foreign exchange trading has been declared which materially adversely impacts the United States securities market, or</w:t>
      </w:r>
    </w:p>
    <w:p>
      <w:pPr>
        <w:spacing w:after="0" w:line="1" w:lineRule="exact"/>
        <w:rPr>
          <w:sz w:val="20"/>
          <w:szCs w:val="20"/>
          <w:color w:val="auto"/>
        </w:rPr>
      </w:pPr>
    </w:p>
    <w:p>
      <w:pPr>
        <w:jc w:val="both"/>
        <w:ind w:firstLine="8"/>
        <w:spacing w:after="0" w:line="252" w:lineRule="auto"/>
        <w:tabs>
          <w:tab w:leader="none" w:pos="31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Company shall have sustained a material loss by fire, flood, accident, hurricane, earthquake, theft, sabotage or other calamity or malicious act which, whether or not such loss shall have been insured, will, in the Representative’s sole opinion, make it inadvisable to proceed with the delivery of the Units, or (vii) if the Company is in material breach of any of its representations, warranties or covenants hereunder, or (viii) if the Representative shall have become aware after the date hereof of such a material adverse change in the conditions of the Company, or such adverse material change in general market conditions, including without limitation as a result of terrorist activities after the date hereof, as in the Representative’s sole judgment would make it impracticable to proceed with the offering, sale and/or delivery of the Units or to enforce contracts made by the Underwriters for the sale of the Public Securities.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In the event that this Agreement shall not be carried out for any reason whatsoever, within the time specified herein or any extensions thereof pursuant to the terms herein, (i) the obligations of the Company to pay the out-of-pocket expenses related to the transactions contemplated herein shall be governed by Section 3.10 hereof and (ii) the Company shall reimburse the Representative for any costs and expenses incurred in connection with enforcing any provisions of this Agreement.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Section 5 shall not be in any way affected by such election or termination or failure to carry out the terms of this Agreement or any part hereof.</w:t>
      </w:r>
    </w:p>
    <w:p>
      <w:pPr>
        <w:spacing w:after="0" w:line="184" w:lineRule="exact"/>
        <w:rPr>
          <w:sz w:val="20"/>
          <w:szCs w:val="20"/>
          <w:color w:val="auto"/>
        </w:rPr>
      </w:pPr>
    </w:p>
    <w:p>
      <w:pPr>
        <w:ind w:left="280" w:hanging="272"/>
        <w:spacing w:after="0"/>
        <w:tabs>
          <w:tab w:leader="none" w:pos="2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and shall be deemed given when so mailed, delivered or faxed or if mailed, two days after such mailing.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Benchmark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T. Rallo,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jrallo@efhuttongroup.com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t>with a 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Lucosky Brookman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Wood Avenue South,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Woodbridge, NJ 08830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M. Lucosky,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(732) 395-4400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jlucosky@lucbro.com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Avenue,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Roman Livson,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roman@burkhan.world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Alex Weniger-Araujo,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(212) 658-9332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aweniger@loeb.com</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by a written instrument executed by each of the parties hereto.</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Transaction Documents and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solely to the benefit of and shall be binding upon the Representative, the Underwriters, the Company and the controlling persons, directors, agents, partners, members, employees and officers referred to in Section 5 hereof, and their respective successors, legal representatives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the Underwriters.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Waiver of Immunity</w:t>
      </w:r>
      <w:r>
        <w:rPr>
          <w:rFonts w:ascii="Arial" w:cs="Arial" w:eastAsia="Arial" w:hAnsi="Arial"/>
          <w:sz w:val="17"/>
          <w:szCs w:val="17"/>
          <w:color w:val="auto"/>
        </w:rPr>
        <w:t>. To the extent that the Company may be entitled in any jurisdiction in which judicial proceedings may at any time be commenced hereunder, to claim for itself or its revenues or assets any immunity, including sovereign immunity, from suit, jurisdiction, attachment in aid of execution of a judgment or prior to a judgment, execution of a judgment or any other legal process with respect to its obligations hereunder and to the extent that in any such jurisdiction there may be attributed to the Company such an immunity (whether or not claimed), the Company hereby irrevocably agrees not to claim and irrevocably waives such immunity to the maximum extent permitted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spacing w:after="0" w:line="268"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Company and the Representative irrevocably submit to the nonexclusive jurisdiction of the Supreme Court of the State of New York sitting in the City and County of New York and of the United States District Court for the Southern District of New York, over any suit, action or proceeding arising out of or relating to this Agreement, the Registration Statement, the Statutory Prospectus and the Prospectus or the offering of the Securities. Each of the Company and the Representative irrevocably waives, to the fullest extent permitted by law, any objection that they may now or hereafter have to the laying of venue of any such suit, action or proceeding brought in such a court and any claim that any such suit, action or proceeding brought in such a court has been brought in an inconvenient forum. Any such process or summons to be served upon the Company or the Representative may be served by transmitting a copy thereof by registered or certified mail, return receipt requested, postage prepaid, addressed to it at the address set forth in Section 10.1 hereof. Such mailing shall be deemed personal service and shall be legal and binding upon the Company or the Representative in any action, proceeding or claim. Each of the Company and the Representative waives, to the fullest extent permitted by law, any other requirements of or objections to personal jurisdiction with respect thereto. Notwithstanding the foregoing, any action based on this Agreement may be instituted by the Underwriters in any competent court. The Company agrees that the Underwriters shall be entitled to recover all of their reasonable attorneys’ fees and expenses relating to any action or proceeding and/or incurred in connection with the preparation therefor if any of them are the prevailing party in such action or proceeding.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Delivery of a signed counterpart of this Agreement by facsimile or e-mail/pdf transmission shall constitute valid and sufficient delivery thereof.</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affect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Company acknowledges and agrees that (i) the purchase and sale of the Units pursuant to this Agreement is an arm’s-length commercial transaction pursuant to a contractual relationship between the Company and the Underwriters, (ii) in connection therewith and with the process leading to such transaction, each Underwriter is acting solely as a principal and not the agent or fiduciary of the Company, (iii) the Underwriters have not assumed an advisory or fiduciary responsibility in favor of the Company with respect to the offering contemplated hereby or the process leading thereto (irrespective of whether the Underwriters have advised or are currently advising the Company on other matters) or any other obligation to the Company except the obligations expressly set forth in this Agreement, (iv) in no event do the parties intend that the Underwriters act or be responsible as a fiduciary to the Company, its management, stockholders, creditors or any other person in connection with any activity that the Underwriters may undertake or have undertaken in furtherance of this offering of the Company’s securities, either before or after the date hereof and (v) the Company has consulted its own legal and financial advisors to the extent it deemed appropriate.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agrees that it will not claim that the Underwriters have rendered advisory services of any nature or respect or owe a fiduciary or similar duty to the Company, in connection with such transaction or the process leading thereto. The Company and the Underwriters agree that they are each responsible for making their own independent judgment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9019"/>
          </w:cols>
          <w:pgMar w:left="1440" w:top="908"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230" w:name="page231"/>
    <w:bookmarkEnd w:id="230"/>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BURTECH ACQUISITION CORP.</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 HUTTON, division of Benchmark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tbl>
      <w:tblPr>
        <w:tblLayout w:type="fixed"/>
        <w:tblInd w:w="1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00" w:type="dxa"/>
            <w:vAlign w:val="bottom"/>
          </w:tcPr>
          <w:p>
            <w:pPr>
              <w:ind w:left="2740"/>
              <w:spacing w:after="0"/>
              <w:rPr>
                <w:sz w:val="20"/>
                <w:szCs w:val="20"/>
                <w:color w:val="auto"/>
              </w:rPr>
            </w:pPr>
            <w:r>
              <w:rPr>
                <w:rFonts w:ascii="Arial" w:cs="Arial" w:eastAsia="Arial" w:hAnsi="Arial"/>
                <w:sz w:val="18"/>
                <w:szCs w:val="18"/>
                <w:b w:val="1"/>
                <w:bCs w:val="1"/>
                <w:color w:val="auto"/>
                <w:w w:val="95"/>
              </w:rPr>
              <w:t>SCHEDULE A</w:t>
            </w:r>
          </w:p>
        </w:tc>
      </w:tr>
      <w:tr>
        <w:trPr>
          <w:trHeight w:val="414"/>
        </w:trPr>
        <w:tc>
          <w:tcPr>
            <w:tcW w:w="4200" w:type="dxa"/>
            <w:vAlign w:val="bottom"/>
          </w:tcPr>
          <w:p>
            <w:pPr>
              <w:spacing w:after="0"/>
              <w:rPr>
                <w:sz w:val="24"/>
                <w:szCs w:val="24"/>
                <w:color w:val="auto"/>
              </w:rPr>
            </w:pPr>
          </w:p>
        </w:tc>
        <w:tc>
          <w:tcPr>
            <w:tcW w:w="7040" w:type="dxa"/>
            <w:vAlign w:val="bottom"/>
            <w:gridSpan w:val="2"/>
          </w:tcPr>
          <w:p>
            <w:pPr>
              <w:jc w:val="center"/>
              <w:ind w:right="4090"/>
              <w:spacing w:after="0"/>
              <w:rPr>
                <w:sz w:val="20"/>
                <w:szCs w:val="20"/>
                <w:color w:val="auto"/>
              </w:rPr>
            </w:pPr>
            <w:r>
              <w:rPr>
                <w:rFonts w:ascii="Arial" w:cs="Arial" w:eastAsia="Arial" w:hAnsi="Arial"/>
                <w:sz w:val="18"/>
                <w:szCs w:val="18"/>
                <w:b w:val="1"/>
                <w:bCs w:val="1"/>
                <w:color w:val="auto"/>
              </w:rPr>
              <w:t>BURTECH ACQUISITION CORP.</w:t>
            </w:r>
          </w:p>
        </w:tc>
      </w:tr>
      <w:tr>
        <w:trPr>
          <w:trHeight w:val="234"/>
        </w:trPr>
        <w:tc>
          <w:tcPr>
            <w:tcW w:w="4200" w:type="dxa"/>
            <w:vAlign w:val="bottom"/>
          </w:tcPr>
          <w:p>
            <w:pPr>
              <w:spacing w:after="0"/>
              <w:rPr>
                <w:sz w:val="20"/>
                <w:szCs w:val="20"/>
                <w:color w:val="auto"/>
              </w:rPr>
            </w:pPr>
          </w:p>
        </w:tc>
        <w:tc>
          <w:tcPr>
            <w:tcW w:w="7040" w:type="dxa"/>
            <w:vAlign w:val="bottom"/>
            <w:gridSpan w:val="2"/>
          </w:tcPr>
          <w:p>
            <w:pPr>
              <w:jc w:val="center"/>
              <w:ind w:right="4090"/>
              <w:spacing w:after="0"/>
              <w:rPr>
                <w:sz w:val="20"/>
                <w:szCs w:val="20"/>
                <w:color w:val="auto"/>
              </w:rPr>
            </w:pPr>
            <w:r>
              <w:rPr>
                <w:rFonts w:ascii="Arial" w:cs="Arial" w:eastAsia="Arial" w:hAnsi="Arial"/>
                <w:sz w:val="18"/>
                <w:szCs w:val="18"/>
                <w:b w:val="1"/>
                <w:bCs w:val="1"/>
                <w:color w:val="auto"/>
                <w:w w:val="89"/>
              </w:rPr>
              <w:t>25,000,000 Units</w:t>
            </w:r>
          </w:p>
        </w:tc>
      </w:tr>
      <w:tr>
        <w:trPr>
          <w:trHeight w:val="216"/>
        </w:trPr>
        <w:tc>
          <w:tcPr>
            <w:tcW w:w="4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r>
      <w:tr>
        <w:trPr>
          <w:trHeight w:val="191"/>
        </w:trPr>
        <w:tc>
          <w:tcPr>
            <w:tcW w:w="4200" w:type="dxa"/>
            <w:vAlign w:val="bottom"/>
            <w:tcBorders>
              <w:left w:val="single" w:sz="8" w:color="auto"/>
            </w:tcBorders>
          </w:tcPr>
          <w:p>
            <w:pPr>
              <w:jc w:val="center"/>
              <w:ind w:left="3050"/>
              <w:spacing w:after="0" w:line="191" w:lineRule="exact"/>
              <w:rPr>
                <w:sz w:val="20"/>
                <w:szCs w:val="20"/>
                <w:color w:val="auto"/>
              </w:rPr>
            </w:pPr>
            <w:r>
              <w:rPr>
                <w:rFonts w:ascii="Arial" w:cs="Arial" w:eastAsia="Arial" w:hAnsi="Arial"/>
                <w:sz w:val="18"/>
                <w:szCs w:val="18"/>
                <w:b w:val="1"/>
                <w:bCs w:val="1"/>
                <w:color w:val="auto"/>
                <w:w w:val="96"/>
              </w:rPr>
              <w:t>Underwriter</w:t>
            </w:r>
          </w:p>
        </w:tc>
        <w:tc>
          <w:tcPr>
            <w:tcW w:w="314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Number of Firm Units to be</w:t>
            </w:r>
          </w:p>
        </w:tc>
      </w:tr>
      <w:tr>
        <w:trPr>
          <w:trHeight w:val="234"/>
        </w:trPr>
        <w:tc>
          <w:tcPr>
            <w:tcW w:w="4200" w:type="dxa"/>
            <w:vAlign w:val="bottom"/>
            <w:tcBorders>
              <w:left w:val="single" w:sz="8" w:color="auto"/>
              <w:bottom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09"/>
        </w:trPr>
        <w:tc>
          <w:tcPr>
            <w:tcW w:w="42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8"/>
              </w:rPr>
              <w:t>EF Hutton, division of Benchmark Investments, LLC</w:t>
            </w:r>
          </w:p>
        </w:tc>
        <w:tc>
          <w:tcPr>
            <w:tcW w:w="314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25,000,000</w:t>
            </w:r>
          </w:p>
        </w:tc>
      </w:tr>
      <w:tr>
        <w:trPr>
          <w:trHeight w:val="209"/>
        </w:trPr>
        <w:tc>
          <w:tcPr>
            <w:tcW w:w="4200" w:type="dxa"/>
            <w:vAlign w:val="bottom"/>
            <w:tcBorders>
              <w:left w:val="single" w:sz="8" w:color="auto"/>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r>
      <w:tr>
        <w:trPr>
          <w:trHeight w:val="210"/>
        </w:trPr>
        <w:tc>
          <w:tcPr>
            <w:tcW w:w="4200" w:type="dxa"/>
            <w:vAlign w:val="bottom"/>
            <w:tcBorders>
              <w:left w:val="single" w:sz="8" w:color="auto"/>
              <w:bottom w:val="single" w:sz="8" w:color="auto"/>
            </w:tcBorders>
          </w:tcPr>
          <w:p>
            <w:pPr>
              <w:jc w:val="center"/>
              <w:ind w:left="3050"/>
              <w:spacing w:after="0"/>
              <w:rPr>
                <w:sz w:val="20"/>
                <w:szCs w:val="20"/>
                <w:color w:val="auto"/>
              </w:rPr>
            </w:pPr>
            <w:r>
              <w:rPr>
                <w:rFonts w:ascii="Arial" w:cs="Arial" w:eastAsia="Arial" w:hAnsi="Arial"/>
                <w:sz w:val="18"/>
                <w:szCs w:val="18"/>
                <w:b w:val="1"/>
                <w:bCs w:val="1"/>
                <w:color w:val="auto"/>
              </w:rPr>
              <w:t>TOTAL</w:t>
            </w:r>
          </w:p>
        </w:tc>
        <w:tc>
          <w:tcPr>
            <w:tcW w:w="314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25,000,000</w:t>
            </w:r>
          </w:p>
        </w:tc>
      </w:tr>
      <w:tr>
        <w:trPr>
          <w:trHeight w:val="425"/>
        </w:trPr>
        <w:tc>
          <w:tcPr>
            <w:tcW w:w="4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UNDERSIGNED, in order to form a corporation for the purposes herein stated, under and pursuant to the provisions of the General Corporation Law of the State of Delaware, hereby certifies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BurTech Acquisition Corp. (hereinafter called the "Corporation").</w:t>
      </w:r>
    </w:p>
    <w:p>
      <w:pPr>
        <w:spacing w:after="0" w:line="225"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registered office of the Corporation is to be located at 3411 Silverside Road, Tatnall Building, #104, in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Wilmington, in the County of New Castle, Delaware 19810. The name of its Registered Agent at such address is Corporate Creations Network Inc.</w:t>
      </w:r>
    </w:p>
    <w:p>
      <w:pPr>
        <w:spacing w:after="0" w:line="14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Delaware.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name and mailing address of the incorporator is: Jaszick Maldonado, c/o Loeb &amp; Loeb LLP, 345 Park Avenue, New York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NY 10154.</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The total number of shares which the Corporation shall have authority to issue is ten million (10,000,000)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$0.0001 par value.</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SIXTH</w:t>
      </w:r>
      <w:r>
        <w:rPr>
          <w:rFonts w:ascii="Arial" w:cs="Arial" w:eastAsia="Arial" w:hAnsi="Arial"/>
          <w:sz w:val="17"/>
          <w:szCs w:val="17"/>
          <w:color w:val="auto"/>
        </w:rPr>
        <w:t>: A Director of the Corporation shall not be liable to the Corporation or its stockholders for monetary damages for breach of</w:t>
      </w:r>
      <w:r>
        <w:rPr>
          <w:rFonts w:ascii="Arial" w:cs="Arial" w:eastAsia="Arial" w:hAnsi="Arial"/>
          <w:sz w:val="17"/>
          <w:szCs w:val="17"/>
          <w:b w:val="1"/>
          <w:bCs w:val="1"/>
          <w:color w:val="auto"/>
        </w:rPr>
        <w:t xml:space="preserve"> </w:t>
      </w:r>
      <w:r>
        <w:rPr>
          <w:rFonts w:ascii="Arial" w:cs="Arial" w:eastAsia="Arial" w:hAnsi="Arial"/>
          <w:sz w:val="17"/>
          <w:szCs w:val="17"/>
          <w:color w:val="auto"/>
        </w:rPr>
        <w:t>fiduciary duty as a Director of the Corporation, except to the extent that exculpation from liability is not permitted under the General Corporation Law of the State of Delaware as in effect at the time such liability is determined. No amendment or repeal of this paragraph shall apply to or have any effect on the liability or alleged liability of any Director of the Corporation for or with respect to any acts or omissions of such Director occurring</w:t>
      </w:r>
    </w:p>
    <w:p>
      <w:pPr>
        <w:spacing w:after="0" w:line="16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In furtherance and not in imitation of the powers conferred by statute, the Board of Directors of the Corporation is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make, alter or repeal the By-Laws of the Corporation; provided, however, that no By-Laws hereafter adopted by the Board of Directors or stockholders shall invalidate any prior act of the Directors which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3" w:name="page234"/>
    <w:bookmarkEnd w:id="233"/>
    <w:p>
      <w:pPr>
        <w:jc w:val="both"/>
        <w:ind w:firstLine="1296"/>
        <w:spacing w:after="0" w:line="287" w:lineRule="auto"/>
        <w:rPr>
          <w:sz w:val="20"/>
          <w:szCs w:val="20"/>
          <w:color w:val="auto"/>
        </w:rPr>
      </w:pPr>
      <w:r>
        <w:rPr>
          <w:rFonts w:ascii="Arial" w:cs="Arial" w:eastAsia="Arial" w:hAnsi="Arial"/>
          <w:sz w:val="16"/>
          <w:szCs w:val="16"/>
          <w:b w:val="1"/>
          <w:bCs w:val="1"/>
          <w:color w:val="auto"/>
        </w:rPr>
        <w:t>EIGHTH</w:t>
      </w:r>
      <w:r>
        <w:rPr>
          <w:rFonts w:ascii="Arial" w:cs="Arial" w:eastAsia="Arial" w:hAnsi="Arial"/>
          <w:sz w:val="16"/>
          <w:szCs w:val="16"/>
          <w:color w:val="auto"/>
        </w:rPr>
        <w:t>: The Corporation shall, to the maximum extent permitted from time to time under the law of the State of Delaware, indemnify</w:t>
      </w:r>
      <w:r>
        <w:rPr>
          <w:rFonts w:ascii="Arial" w:cs="Arial" w:eastAsia="Arial" w:hAnsi="Arial"/>
          <w:sz w:val="16"/>
          <w:szCs w:val="16"/>
          <w:b w:val="1"/>
          <w:bCs w:val="1"/>
          <w:color w:val="auto"/>
        </w:rPr>
        <w:t xml:space="preserve"> </w:t>
      </w:r>
      <w:r>
        <w:rPr>
          <w:rFonts w:ascii="Arial" w:cs="Arial" w:eastAsia="Arial" w:hAnsi="Arial"/>
          <w:sz w:val="16"/>
          <w:szCs w:val="16"/>
          <w:color w:val="auto"/>
        </w:rPr>
        <w:t>and upon 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or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benefits of the heirs and legal representatives of such person. Any person seeking indemnification under this paragraph shall be deemed to have met the standard of conduct required for such indemnification unless the contrary shall be established. Any repeal or modification of the foregoing provisions of this paragraph shall not adversely affect any right or protection of a Director or officer of the Corporation with respect to any acts or omissions of such Director or officer occurring prior to such repeal or modification.</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In furtherance of and not in limitation of powers conferred by statute, it is further provided:</w:t>
      </w:r>
    </w:p>
    <w:p>
      <w:pPr>
        <w:spacing w:after="0" w:line="229" w:lineRule="exact"/>
        <w:rPr>
          <w:sz w:val="20"/>
          <w:szCs w:val="20"/>
          <w:color w:val="auto"/>
        </w:rPr>
      </w:pPr>
    </w:p>
    <w:p>
      <w:pPr>
        <w:ind w:left="1980" w:hanging="676"/>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Election of Directors need not be by written ballot unless the By-Laws of the Corporation so provide.</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Meetings of stockholders may be held within or without the State of Delaware, as the By Laws may provide.</w:t>
      </w:r>
    </w:p>
    <w:p>
      <w:pPr>
        <w:spacing w:after="0" w:line="225" w:lineRule="exact"/>
        <w:rPr>
          <w:rFonts w:ascii="Arial" w:cs="Arial" w:eastAsia="Arial" w:hAnsi="Arial"/>
          <w:sz w:val="18"/>
          <w:szCs w:val="18"/>
          <w:color w:val="auto"/>
        </w:rPr>
      </w:pPr>
    </w:p>
    <w:p>
      <w:pPr>
        <w:ind w:firstLine="1304"/>
        <w:spacing w:after="0" w:line="277" w:lineRule="auto"/>
        <w:tabs>
          <w:tab w:leader="none" w:pos="202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extent permitted by law, the books of the Corporation may be kept outside the State of Delaware at such place or places as may be designated from time to time by the Board of Directors or in the By-Laws of the Corporation.</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Except as otherwise provided herein, the Corporation reserves the right to amend, alter, change or repeal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Certificate of Incorporation, in the manner now or hereafter prescribed by statute, and all rights conferred upon stockholders herein are granted subject to this reservation.</w:t>
      </w:r>
    </w:p>
    <w:p>
      <w:pPr>
        <w:spacing w:after="0" w:line="17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being the incorporator herein before named, has executed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March, 2021.</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Jaszick Maldonado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Jaszick Maldonado, Incorporator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19, 2021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BurTech Acquisition Corp.,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ind w:right="300" w:firstLine="656"/>
        <w:spacing w:after="0" w:line="277" w:lineRule="auto"/>
        <w:tabs>
          <w:tab w:leader="none" w:pos="8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name of the Corporation is “</w:t>
      </w:r>
      <w:r>
        <w:rPr>
          <w:rFonts w:ascii="Arial" w:cs="Arial" w:eastAsia="Arial" w:hAnsi="Arial"/>
          <w:sz w:val="18"/>
          <w:szCs w:val="18"/>
          <w:b w:val="1"/>
          <w:bCs w:val="1"/>
          <w:i w:val="1"/>
          <w:iCs w:val="1"/>
          <w:color w:val="auto"/>
        </w:rPr>
        <w:t>BurTech Acquisition Corp.</w:t>
      </w:r>
      <w:r>
        <w:rPr>
          <w:rFonts w:ascii="Arial" w:cs="Arial" w:eastAsia="Arial" w:hAnsi="Arial"/>
          <w:sz w:val="18"/>
          <w:szCs w:val="18"/>
          <w:color w:val="auto"/>
        </w:rPr>
        <w:t>”. The original certificate of incorporation of the Corporation was filed with the Secretary of State of the State of Delaware on March 2, 2021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656"/>
        <w:spacing w:after="0" w:line="263" w:lineRule="auto"/>
        <w:tabs>
          <w:tab w:leader="none" w:pos="8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Corporation has neither received payment for, nor issued any of its capital stock. This Amended and Restated Certificate of 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which both restates and amends the provisions of the Original Certificate, was duly adopted in accordance with Sections 241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Certificate shall become effective on the date of filing with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BurTech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3411 Silverside Road, Tatnall Building, #104, Wilmington, County of New Castle, Delaware 19810, and the name of the Corporation’s registered agent at such address is Corporate Creations Network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including</w:t>
      </w:r>
    </w:p>
    <w:p>
      <w:pPr>
        <w:ind w:right="380" w:firstLine="8"/>
        <w:spacing w:after="0" w:line="260" w:lineRule="auto"/>
        <w:tabs>
          <w:tab w:leader="none" w:pos="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280,000,000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20,000,000 shares of Class B Common Stock (the “</w:t>
      </w:r>
      <w:r>
        <w:rPr>
          <w:rFonts w:ascii="Arial" w:cs="Arial" w:eastAsia="Arial" w:hAnsi="Arial"/>
          <w:sz w:val="18"/>
          <w:szCs w:val="18"/>
          <w:b w:val="1"/>
          <w:bCs w:val="1"/>
          <w:i w:val="1"/>
          <w:i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rFonts w:ascii="Arial" w:cs="Arial" w:eastAsia="Arial" w:hAnsi="Arial"/>
          <w:sz w:val="18"/>
          <w:szCs w:val="18"/>
          <w:color w:val="auto"/>
        </w:rPr>
      </w:pPr>
    </w:p>
    <w:p>
      <w:pPr>
        <w:ind w:left="640" w:right="580" w:firstLine="652"/>
        <w:spacing w:after="0" w:line="277" w:lineRule="auto"/>
        <w:tabs>
          <w:tab w:leader="none" w:pos="150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ind w:left="640" w:right="100" w:firstLine="652"/>
        <w:spacing w:after="0" w:line="263" w:lineRule="auto"/>
        <w:tabs>
          <w:tab w:leader="none" w:pos="155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ind w:left="640" w:firstLine="652"/>
        <w:spacing w:after="0" w:line="270" w:lineRule="auto"/>
        <w:tabs>
          <w:tab w:leader="none" w:pos="160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Except as otherwise required by law or this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Certificate (including any Preferred Stock Designation) or the DGCL.</w:t>
      </w:r>
    </w:p>
    <w:p>
      <w:pPr>
        <w:spacing w:after="0" w:line="180" w:lineRule="exact"/>
        <w:rPr>
          <w:rFonts w:ascii="Arial" w:cs="Arial" w:eastAsia="Arial" w:hAnsi="Arial"/>
          <w:sz w:val="17"/>
          <w:szCs w:val="17"/>
          <w:color w:val="auto"/>
        </w:rPr>
      </w:pPr>
    </w:p>
    <w:p>
      <w:pPr>
        <w:ind w:left="900" w:hanging="25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225" w:lineRule="exact"/>
        <w:rPr>
          <w:rFonts w:ascii="Arial" w:cs="Arial" w:eastAsia="Arial" w:hAnsi="Arial"/>
          <w:sz w:val="18"/>
          <w:szCs w:val="18"/>
          <w:color w:val="auto"/>
        </w:rPr>
      </w:pPr>
    </w:p>
    <w:p>
      <w:pPr>
        <w:ind w:left="1500" w:hanging="208"/>
        <w:spacing w:after="0"/>
        <w:tabs>
          <w:tab w:leader="none" w:pos="150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Shares of Class B Common Stock shall be convertible into shares of Class A Common Stock on a one-for-one basis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upon the consummation of the Business Combination (as defined below).</w:t>
      </w:r>
    </w:p>
    <w:p>
      <w:pPr>
        <w:spacing w:after="0" w:line="211" w:lineRule="exact"/>
        <w:rPr>
          <w:sz w:val="20"/>
          <w:szCs w:val="20"/>
          <w:color w:val="auto"/>
        </w:rPr>
      </w:pPr>
    </w:p>
    <w:p>
      <w:pPr>
        <w:ind w:left="640" w:firstLine="652"/>
        <w:spacing w:after="0" w:line="255" w:lineRule="auto"/>
        <w:tabs>
          <w:tab w:leader="none" w:pos="159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Notwithstanding the Initial Conversion Ratio, in the case that additional shares of Class A Common Stock, or equity-linked securities, are issued or deemed issued in excess of the amounts sold in the Corporation’s initial public offering of securities and related to the closing of the initial Business Combination, all issued and outstanding shares of Class B Common Stock shall automatically convert into shares of Class A Common Stock at the time of the closing of the Corporation’s initial merger, capital stock exchange, asset acquisition, stock purchase, reorganization or similar business combination with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at a ratio for which:</w:t>
      </w:r>
    </w:p>
    <w:p>
      <w:pPr>
        <w:spacing w:after="0" w:line="192" w:lineRule="exact"/>
        <w:rPr>
          <w:sz w:val="20"/>
          <w:szCs w:val="20"/>
          <w:color w:val="auto"/>
        </w:rPr>
      </w:pPr>
    </w:p>
    <w:p>
      <w:pPr>
        <w:ind w:left="1620" w:right="40" w:hanging="328"/>
        <w:spacing w:after="0" w:line="257" w:lineRule="auto"/>
        <w:tabs>
          <w:tab w:leader="none" w:pos="1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numerator shall be equal to the sum of (A) 25% of all shares of Class A Common Stock issued or issuable (upon the conversion or exercise of any equity-linked securities or otherwise) by the Corporation, related to or in connection with the consummation of the initial Business Combination (excluding any securities issued or issuable to any seller in the initial Business Combination) plus (B) the number of shares of Class B Common Stock issued and outstanding prior to the closing of the initial Business Combination; and</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6" w:name="page237"/>
    <w:bookmarkEnd w:id="236"/>
    <w:p>
      <w:pPr>
        <w:ind w:left="1160" w:right="120" w:hanging="328"/>
        <w:spacing w:after="0" w:line="182" w:lineRule="auto"/>
        <w:tabs>
          <w:tab w:leader="none" w:pos="1160" w:val="left"/>
        </w:tabs>
        <w:numPr>
          <w:ilvl w:val="0"/>
          <w:numId w:val="134"/>
        </w:numPr>
        <w:rPr>
          <w:rFonts w:ascii="Arial" w:cs="Arial" w:eastAsia="Arial" w:hAnsi="Arial"/>
          <w:sz w:val="34"/>
          <w:szCs w:val="34"/>
          <w:color w:val="auto"/>
          <w:vertAlign w:val="subscript"/>
        </w:rPr>
      </w:pPr>
      <w:r>
        <w:rPr>
          <w:rFonts w:ascii="Arial" w:cs="Arial" w:eastAsia="Arial" w:hAnsi="Arial"/>
          <w:sz w:val="17"/>
          <w:szCs w:val="17"/>
          <w:color w:val="auto"/>
        </w:rPr>
        <w:t>the denominator shall be the number of shares of Class B Common Stock issued and outstanding prior to the closing of the initial Business Combination.</w:t>
      </w:r>
    </w:p>
    <w:p>
      <w:pPr>
        <w:spacing w:after="0" w:line="230" w:lineRule="exact"/>
        <w:rPr>
          <w:sz w:val="20"/>
          <w:szCs w:val="20"/>
          <w:color w:val="auto"/>
        </w:rPr>
      </w:pPr>
    </w:p>
    <w:p>
      <w:pPr>
        <w:ind w:left="180" w:right="60"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ind w:left="180" w:firstLine="648"/>
        <w:spacing w:after="0" w:line="275" w:lineRule="auto"/>
        <w:rPr>
          <w:sz w:val="20"/>
          <w:szCs w:val="20"/>
          <w:color w:val="auto"/>
        </w:rPr>
      </w:pPr>
      <w:r>
        <w:rPr>
          <w:rFonts w:ascii="Arial" w:cs="Arial" w:eastAsia="Arial" w:hAnsi="Arial"/>
          <w:sz w:val="17"/>
          <w:szCs w:val="17"/>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Certificate without a proportionate and corresponding subdivision, combination or similar reclassification or recapitalization of the outstanding shares of Class B Common Stock.</w:t>
      </w:r>
    </w:p>
    <w:p>
      <w:pPr>
        <w:spacing w:after="0" w:line="176" w:lineRule="exact"/>
        <w:rPr>
          <w:sz w:val="20"/>
          <w:szCs w:val="20"/>
          <w:color w:val="auto"/>
        </w:rPr>
      </w:pPr>
    </w:p>
    <w:p>
      <w:pPr>
        <w:ind w:left="180" w:right="160" w:firstLine="648"/>
        <w:spacing w:after="0" w:line="293" w:lineRule="auto"/>
        <w:rPr>
          <w:sz w:val="20"/>
          <w:szCs w:val="20"/>
          <w:color w:val="auto"/>
        </w:rPr>
      </w:pPr>
      <w:r>
        <w:rPr>
          <w:rFonts w:ascii="Arial" w:cs="Arial" w:eastAsia="Arial" w:hAnsi="Arial"/>
          <w:sz w:val="16"/>
          <w:szCs w:val="16"/>
          <w:color w:val="auto"/>
        </w:rPr>
        <w:t xml:space="preserve">Each share of Class B Common Stock shall convert into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Class A Common Stock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and the denominator of which shall be the total number of issued and outstanding shares of Class B Common Stock at the time of conversion.</w:t>
      </w:r>
    </w:p>
    <w:p>
      <w:pPr>
        <w:spacing w:after="0" w:line="164" w:lineRule="exact"/>
        <w:rPr>
          <w:sz w:val="20"/>
          <w:szCs w:val="20"/>
          <w:color w:val="auto"/>
        </w:rPr>
      </w:pPr>
    </w:p>
    <w:p>
      <w:pPr>
        <w:ind w:left="180" w:right="40" w:firstLine="652"/>
        <w:spacing w:after="0" w:line="285" w:lineRule="auto"/>
        <w:tabs>
          <w:tab w:leader="none" w:pos="1143"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Voting. </w:t>
      </w:r>
      <w:r>
        <w:rPr>
          <w:rFonts w:ascii="Arial" w:cs="Arial" w:eastAsia="Arial" w:hAnsi="Arial"/>
          <w:sz w:val="16"/>
          <w:szCs w:val="16"/>
          <w:color w:val="auto"/>
        </w:rPr>
        <w:t>Except as otherwise required by law or this Certificate (including any Preferred Stock Designation), for so long as</w:t>
      </w:r>
      <w:r>
        <w:rPr>
          <w:rFonts w:ascii="Arial" w:cs="Arial" w:eastAsia="Arial" w:hAnsi="Arial"/>
          <w:sz w:val="16"/>
          <w:szCs w:val="16"/>
          <w:i w:val="1"/>
          <w:iCs w:val="1"/>
          <w:color w:val="auto"/>
        </w:rPr>
        <w:t xml:space="preserve"> </w:t>
      </w:r>
      <w:r>
        <w:rPr>
          <w:rFonts w:ascii="Arial" w:cs="Arial" w:eastAsia="Arial" w:hAnsi="Arial"/>
          <w:sz w:val="16"/>
          <w:szCs w:val="16"/>
          <w:color w:val="auto"/>
        </w:rPr>
        <w:t>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7" w:name="page238"/>
    <w:bookmarkEnd w:id="237"/>
    <w:p>
      <w:pPr>
        <w:ind w:right="140" w:firstLine="1304"/>
        <w:spacing w:after="0" w:line="259"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ind w:right="180" w:firstLine="1304"/>
        <w:spacing w:after="0" w:line="275" w:lineRule="auto"/>
        <w:tabs>
          <w:tab w:leader="none" w:pos="1551"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of the Corporation. </w:t>
      </w:r>
      <w:r>
        <w:rPr>
          <w:rFonts w:ascii="Arial" w:cs="Arial" w:eastAsia="Arial" w:hAnsi="Arial"/>
          <w:sz w:val="17"/>
          <w:szCs w:val="17"/>
          <w:color w:val="auto"/>
        </w:rPr>
        <w:t>Subject to applicable law, the rights, if any, of the holders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7260" w:type="dxa"/>
            <w:vAlign w:val="bottom"/>
            <w:gridSpan w:val="3"/>
          </w:tcPr>
          <w:p>
            <w:pPr>
              <w:jc w:val="center"/>
              <w:ind w:right="387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3980" w:type="dxa"/>
            <w:vAlign w:val="bottom"/>
          </w:tcPr>
          <w:p>
            <w:pPr>
              <w:spacing w:after="0"/>
              <w:rPr>
                <w:sz w:val="20"/>
                <w:szCs w:val="20"/>
                <w:color w:val="auto"/>
              </w:rPr>
            </w:pPr>
          </w:p>
        </w:tc>
        <w:tc>
          <w:tcPr>
            <w:tcW w:w="7260" w:type="dxa"/>
            <w:vAlign w:val="bottom"/>
            <w:gridSpan w:val="3"/>
          </w:tcPr>
          <w:p>
            <w:pPr>
              <w:jc w:val="center"/>
              <w:ind w:right="3890"/>
              <w:spacing w:after="0"/>
              <w:rPr>
                <w:sz w:val="20"/>
                <w:szCs w:val="20"/>
                <w:color w:val="auto"/>
              </w:rPr>
            </w:pPr>
            <w:r>
              <w:rPr>
                <w:rFonts w:ascii="Arial" w:cs="Arial" w:eastAsia="Arial" w:hAnsi="Arial"/>
                <w:sz w:val="18"/>
                <w:szCs w:val="18"/>
                <w:b w:val="1"/>
                <w:bCs w:val="1"/>
                <w:color w:val="auto"/>
                <w:w w:val="99"/>
              </w:rPr>
              <w:t>INCORPORATOR</w:t>
            </w:r>
          </w:p>
        </w:tc>
      </w:tr>
      <w:tr>
        <w:trPr>
          <w:trHeight w:val="432"/>
        </w:trPr>
        <w:tc>
          <w:tcPr>
            <w:tcW w:w="11240" w:type="dxa"/>
            <w:vAlign w:val="bottom"/>
            <w:gridSpan w:val="4"/>
          </w:tcPr>
          <w:p>
            <w:pPr>
              <w:ind w:left="660"/>
              <w:spacing w:after="0"/>
              <w:rPr>
                <w:sz w:val="20"/>
                <w:szCs w:val="20"/>
                <w:color w:val="auto"/>
              </w:rPr>
            </w:pPr>
            <w:r>
              <w:rPr>
                <w:rFonts w:ascii="Arial" w:cs="Arial" w:eastAsia="Arial" w:hAnsi="Arial"/>
                <w:sz w:val="18"/>
                <w:szCs w:val="18"/>
                <w:color w:val="auto"/>
              </w:rPr>
              <w:t>The name and mailing address of the sole incorporator of the Corporation are as follows:</w:t>
            </w:r>
          </w:p>
        </w:tc>
      </w:tr>
      <w:tr>
        <w:trPr>
          <w:trHeight w:val="439"/>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Address</w:t>
            </w: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Jaszick Maldonado, c/o Loeb &amp; Loeb LLP</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345 Park Avenue</w:t>
            </w:r>
          </w:p>
        </w:tc>
      </w:tr>
      <w:tr>
        <w:trPr>
          <w:trHeight w:val="230"/>
        </w:trPr>
        <w:tc>
          <w:tcPr>
            <w:tcW w:w="39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New York, NY 10154</w:t>
            </w:r>
          </w:p>
        </w:tc>
      </w:tr>
    </w:tbl>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Board Powers.</w:t>
      </w:r>
      <w:r>
        <w:rPr>
          <w:rFonts w:ascii="Arial" w:cs="Arial" w:eastAsia="Arial" w:hAnsi="Arial"/>
          <w:sz w:val="16"/>
          <w:szCs w:val="16"/>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Election.</w:t>
      </w:r>
      <w:r>
        <w:rPr>
          <w:rFonts w:ascii="Arial" w:cs="Arial" w:eastAsia="Arial" w:hAnsi="Arial"/>
          <w:sz w:val="17"/>
          <w:szCs w:val="17"/>
          <w:color w:val="auto"/>
        </w:rPr>
        <w:t xml:space="preserve"> Unless and except to the extent that the Bylaws shall so require, the election of directors need not be by written ballot.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to adopt, amend, alter, change, add or repeal the Bylaws. The Bylaws also may be adopted, amended, altered or repealed by the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Limitation of Director Liability</w:t>
      </w:r>
      <w:r>
        <w:rPr>
          <w:rFonts w:ascii="Arial" w:cs="Arial" w:eastAsia="Arial" w:hAnsi="Arial"/>
          <w:sz w:val="16"/>
          <w:szCs w:val="16"/>
          <w:color w:val="auto"/>
        </w:rPr>
        <w:t>. A director of the Corporation shall not be personally liable to the Corporation or its stockholders for monetary damages for any breach of fiduciary duty by such director as a director, except for liability (i) for any breach of the director’s duty of loyalty to the Corporation or its stockholders, (ii) for acts or omissions not in good faith or which involve intentional misconduct or a knowing violation of law,</w:t>
      </w:r>
    </w:p>
    <w:p>
      <w:pPr>
        <w:spacing w:after="0" w:line="2" w:lineRule="exact"/>
        <w:rPr>
          <w:sz w:val="20"/>
          <w:szCs w:val="20"/>
          <w:color w:val="auto"/>
        </w:rPr>
      </w:pPr>
    </w:p>
    <w:p>
      <w:pPr>
        <w:ind w:right="80" w:firstLine="8"/>
        <w:spacing w:after="0" w:line="253" w:lineRule="auto"/>
        <w:tabs>
          <w:tab w:leader="none" w:pos="31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by the stockholders of the Corporation shall not adversely affect any right or protection of a director of the Corporation with respect to events occurring prior to the time of such repeal or modification.</w:t>
      </w:r>
    </w:p>
    <w:p>
      <w:pPr>
        <w:spacing w:after="0" w:line="19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INSOLVENCY; SALE, LEASE OR EXCHANGE OF ASSETS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Corporation reserves the right to amend, alter, change, add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all rights, preferences and privileges herein conferred upon stockholders, directors or any other persons by and pursuant to this Certificate in its present form or as hereafter amended are granted subject to the right reserved in this Article.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t>IN WITNESS WHEREOF, the undersigned has executed this Certificate as of the date first set forth above.</w:t>
      </w:r>
    </w:p>
    <w:p>
      <w:pPr>
        <w:spacing w:after="0" w:line="24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Jaszick Maldonado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Jaszick Maldonado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Incorporator</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40" w:name="page241"/>
    <w:bookmarkEnd w:id="240"/>
    <w:p>
      <w:pPr>
        <w:ind w:left="10360"/>
        <w:spacing w:after="0"/>
        <w:rPr>
          <w:sz w:val="20"/>
          <w:szCs w:val="20"/>
          <w:color w:val="auto"/>
        </w:rPr>
      </w:pPr>
      <w:r>
        <w:rPr>
          <w:rFonts w:ascii="Arial" w:cs="Arial" w:eastAsia="Arial" w:hAnsi="Arial"/>
          <w:sz w:val="17"/>
          <w:szCs w:val="17"/>
          <w:b w:val="1"/>
          <w:bCs w:val="1"/>
          <w:color w:val="auto"/>
        </w:rPr>
        <w:t>Exhibit 3.3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registered office of the corporation shall be located in such place as may be provided from time to time in the Certificate of Incorporation.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(the “Board”) may from time to time determine or as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the corporation shall be held wholly or partially by means of remote communication or at such place, within or without the State of Delaware, on such date and at such time as may be determined by the Board of Directors and as shall be designated in the notice of said meeting.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held wholly or partially by means of remote communication or at any place, within or without the State of Delaware, and may be called by resolution of the Board of Directors, or by the Chief Executive Officer, or by the holders of not less than one-quarter of all of the shares entitled to vote at the meeting.</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Notice and Purpose of Meetings</w:t>
      </w:r>
      <w:r>
        <w:rPr>
          <w:rFonts w:ascii="Arial" w:cs="Arial" w:eastAsia="Arial" w:hAnsi="Arial"/>
          <w:sz w:val="17"/>
          <w:szCs w:val="17"/>
          <w:color w:val="auto"/>
        </w:rPr>
        <w:t>. Written or printed notice of the meeting stating the place, day and hour of the meeting and, in case of a special meeting, stating the purpose or purposes for which the meeting is called, and in case of a meeting held by remote communication stating such means, shall be delivered not less than ten nor more than sixty days before the date of the meeting, either personally, or by telegram, facsimile or cable or other electronic means</w:t>
      </w:r>
      <w:r>
        <w:rPr>
          <w:rFonts w:ascii="Arial" w:cs="Arial" w:eastAsia="Arial" w:hAnsi="Arial"/>
          <w:sz w:val="17"/>
          <w:szCs w:val="17"/>
          <w:b w:val="1"/>
          <w:bCs w:val="1"/>
          <w:color w:val="auto"/>
        </w:rPr>
        <w:t>,</w:t>
      </w:r>
      <w:r>
        <w:rPr>
          <w:rFonts w:ascii="Arial" w:cs="Arial" w:eastAsia="Arial" w:hAnsi="Arial"/>
          <w:sz w:val="17"/>
          <w:szCs w:val="17"/>
          <w:color w:val="auto"/>
        </w:rPr>
        <w:t xml:space="preserve"> by or at the direction of the Chief Executive Officer, the Secretary, or the persons calling the meeting, to each stockholder of record entitled to vote at such meeting. Such notice shall be deemed to be given at the time of receipt thereof if given personally or at the time of transmission thereof if given by telegram, telex, facsimile or cable or other electronic means.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shares of capital stock issued and outstanding and entitled to vote, represented in person or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1" w:name="page242"/>
    <w:bookmarkEnd w:id="241"/>
    <w:p>
      <w:pPr>
        <w:jc w:val="both"/>
        <w:ind w:firstLine="648"/>
        <w:spacing w:after="0" w:line="29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Voting Process</w:t>
      </w:r>
      <w:r>
        <w:rPr>
          <w:rFonts w:ascii="Arial" w:cs="Arial" w:eastAsia="Arial" w:hAnsi="Arial"/>
          <w:sz w:val="16"/>
          <w:szCs w:val="16"/>
          <w:color w:val="auto"/>
        </w:rPr>
        <w:t>. If a quorum is present or represented, the affirmative vote of a majority of the shares of stock present or represented at the meeting, by ballot, proxy or electronic ballot, shall be the act of the stockholders unless the vote of a greater number of shares of stock is required by law, by the Certificate of Incorporation or by these by-laws. Each outstanding share of stock having voting power, shall be entitled to one vote on each matter submitted to a vote at a meeting of stockholders. A shareholder may vote either in person, by proxy executed in writing by the stockholder or by his duly authorized attorney-in-fact, or by an electronic ballot from which it can be determined that the ballot was authorized by a stockholder or proxyholder. The term, validity and enforceability of any proxy shall be determined in accordance with the General Corporation Law of the State of Delaware.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Written Consent of Stockholders Without a Meeting</w:t>
      </w:r>
      <w:r>
        <w:rPr>
          <w:rFonts w:ascii="Arial" w:cs="Arial" w:eastAsia="Arial" w:hAnsi="Arial"/>
          <w:sz w:val="18"/>
          <w:szCs w:val="18"/>
          <w:color w:val="auto"/>
        </w:rPr>
        <w:t>. Whenever the stockholders are required or permitted to take any action by vote, such action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 The Board of Directors may adopt such rules and regulations, not inconsistent with the Certificate of Incorporation or these by-laws or applicable laws, as it may deem proper for the conduct of its meetings and the management of the Corporation.</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Qualifications, Term</w:t>
      </w:r>
      <w:r>
        <w:rPr>
          <w:rFonts w:ascii="Arial" w:cs="Arial" w:eastAsia="Arial" w:hAnsi="Arial"/>
          <w:sz w:val="16"/>
          <w:szCs w:val="16"/>
          <w:color w:val="auto"/>
        </w:rPr>
        <w:t>. The Board of Directors shall consist of one or more members. The number of directors shall be fixed initially by the Incorporator and may thereafter be changed from time to time by resolution of the Board of Directors or of the shareholders. Directors need not be residents of the State of Delaware nor stockholders of the corporation. The directors shall be elected at the annual meeting of the stockholders, and each director elected shall serve until the next succeeding annual meeting and until his successor shall have been elected and qualified.</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number of directors may be filled by a majority of the directors then in office, though less than a quorum, and the directors so chosen shall hold office until the next annual election and until their successors are duly elected and shall qualify. A vacancy created by the removal of a director by the stockholders may be filled by the stockholders.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ind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Board of Directors, regular or special, may be held either within or without the State of Delaware.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First Meeting</w:t>
      </w:r>
      <w:r>
        <w:rPr>
          <w:rFonts w:ascii="Arial" w:cs="Arial" w:eastAsia="Arial" w:hAnsi="Arial"/>
          <w:sz w:val="16"/>
          <w:szCs w:val="16"/>
          <w:color w:val="auto"/>
        </w:rPr>
        <w:t>. The first meeting of each newly elected Board of Directors shall be held immediately following and at the place of the annual meeting of stockholders and no other notice of such meeting shall be necessary to the newly elected directors in order legally to constitute the meeting, provided a quorum shall be present, or it may convene at such place and time as shall be fixed by the consent in writing of all the directors.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upon such notice, or without notice, and at such time and at such place as shall from time to time be determined by the Board.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Chief Executive Officer or by the number of directors who then legally constitute a quorum. Notice of each special meeting shall, if mailed, be addressed to each director at least ten nor more than sixty days prior to the date on which the meeting is to be held.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 Waiver</w:t>
      </w:r>
      <w:r>
        <w:rPr>
          <w:rFonts w:ascii="Arial" w:cs="Arial" w:eastAsia="Arial" w:hAnsi="Arial"/>
          <w:sz w:val="18"/>
          <w:szCs w:val="18"/>
          <w:color w:val="auto"/>
        </w:rPr>
        <w:t>. Attendance of a director at any meeting shall constitute a waiver of notice of such meeting, except where a director attends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Quorum</w:t>
      </w:r>
      <w:r>
        <w:rPr>
          <w:rFonts w:ascii="Arial" w:cs="Arial" w:eastAsia="Arial" w:hAnsi="Arial"/>
          <w:sz w:val="16"/>
          <w:szCs w:val="16"/>
          <w:color w:val="auto"/>
        </w:rPr>
        <w:t>. Two-thirds of the directors then in office shall constitute a quorum for the transaction of business unless a greater number is required by law, by the Certificate of Incorporation or by these by-laws. If a quorum shall not be present at any meeting of directors, the directors present thereat may adjourn the meeting from time to time, without notice other than announcement at the meeting, until a quorum shall be present.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 meeting of the directors may be taken without a meeting if a consent in writing or by electronic transmission, setting forth the action so taken, shall be signed by all of the directors entitled to vote with respect to the subject matter thereof. In addition, meetings of the Board of Directors may be held by means of conference telephone or voice communication as permitted by the General Corporation Law of the State of Delaware.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w:t>
      </w:r>
      <w:r>
        <w:rPr>
          <w:rFonts w:ascii="Arial" w:cs="Arial" w:eastAsia="Arial" w:hAnsi="Arial"/>
          <w:sz w:val="18"/>
          <w:szCs w:val="18"/>
          <w:color w:val="auto"/>
        </w:rPr>
        <w:t>. Except as otherwise provided by law or in the Certificate of Incorporation or these by-laws, if a quorum is present, the affirmative vote of a majority of the members of the Board of Directors will be required for any 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12.</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Any director may be removed, either for or without cause, at any time by action of the holders of a majority of the outstanding shares of stock entitled to vote thereon, either at a meeting of the holders of such shares or, whenever permitted by law, without a meeting by their written consents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Executive Committee</w:t>
      </w:r>
      <w:r>
        <w:rPr>
          <w:rFonts w:ascii="Arial" w:cs="Arial" w:eastAsia="Arial" w:hAnsi="Arial"/>
          <w:sz w:val="18"/>
          <w:szCs w:val="18"/>
          <w:color w:val="auto"/>
        </w:rPr>
        <w:t>. The Board of Directors may, by resolution adopted by a majority of the whole Board, designate one or more of its members to constitute members or alternate members of an Executive Committee.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Powers and Authority of Executive Committee</w:t>
      </w:r>
      <w:r>
        <w:rPr>
          <w:rFonts w:ascii="Arial" w:cs="Arial" w:eastAsia="Arial" w:hAnsi="Arial"/>
          <w:sz w:val="17"/>
          <w:szCs w:val="17"/>
          <w:color w:val="auto"/>
        </w:rPr>
        <w:t>. The Executive Committee shall have and may exercise, between meetings of the Board of Directors, all the powers and authority of the Board in the management of the business and affairs of the Company, including, the right to authorize the purchase of stock, except that the Executive Committee shall not have such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or authorizing the declaration of a dividend.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Other Committees</w:t>
      </w:r>
      <w:r>
        <w:rPr>
          <w:rFonts w:ascii="Arial" w:cs="Arial" w:eastAsia="Arial" w:hAnsi="Arial"/>
          <w:sz w:val="18"/>
          <w:szCs w:val="18"/>
          <w:color w:val="auto"/>
        </w:rPr>
        <w:t>. The Board of Directors may, by resolution adopted by a majority of the whole Board, designate one or more other committees, each of which shall, except as otherwise prescribed by law, have such authority of the Board as shall be specified in the resolution of the Board designating such committee. A majority of all the members of such committee may determine its action and fix the time and place of its meeting, unless the Board shall otherwise provide. The Board shall have the power at any time to change the membership of, to fill all vacancies in and to discharge any such committee, either with or without cause.</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Procedure; Meetings; Quorum</w:t>
      </w:r>
      <w:r>
        <w:rPr>
          <w:rFonts w:ascii="Arial" w:cs="Arial" w:eastAsia="Arial" w:hAnsi="Arial"/>
          <w:sz w:val="16"/>
          <w:szCs w:val="16"/>
          <w:color w:val="auto"/>
        </w:rPr>
        <w:t>. Regular meetings of the Executive Committee or any other committee of the Board of Directors, of which no notice shall be necessary, may be held at such times and places as shall be fixed by resolution adopted by a majority of the members thereof. Special meetings of the Executive Committee or any other committee of the Board shall be called at the request of any member thereof. So far as applicable, the provisions of Article III of these by-laws relating to notice, quorum and voting requirements applicable to meetings of the Board shall govern meetings of the Executive Committee or any other committee of the Board. The Executive Committee and each other committee of the Board shall keep written minutes of its proceedings and circulate summaries of such written minutes to the Board before or at the next meeting of the Board.</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w:t>
      </w:r>
      <w:r>
        <w:rPr>
          <w:rFonts w:ascii="Arial" w:cs="Arial" w:eastAsia="Arial" w:hAnsi="Arial"/>
          <w:sz w:val="17"/>
          <w:szCs w:val="17"/>
          <w:color w:val="auto"/>
        </w:rPr>
        <w:t>. The Board of Directors at its first meeting after each annual meeting of stockholders shall choose one or more Chief Executive Officers and a Secretary, none of whom need be a member of the Board. The Board may also choose a Chairman from among the directors, one or more Executive Vice Presidents, one or more Vice Presidents, Assistant Secretaries, Treasurers and Assistant Treasurers. The Board may appoint such other officers and agents as it shall deem necessary, who shall hold their offices for such terms and shall exercise such powers and perform such duties as shall be determined from time to time by the Board. The same person may hold two or more offices.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Compensation</w:t>
      </w:r>
      <w:r>
        <w:rPr>
          <w:rFonts w:ascii="Arial" w:cs="Arial" w:eastAsia="Arial" w:hAnsi="Arial"/>
          <w:sz w:val="18"/>
          <w:szCs w:val="18"/>
          <w:color w:val="auto"/>
        </w:rPr>
        <w:t>. The salaries or other compensation of all officers of the corporation shall be fixed by the Board of Directors. No officer shall be prevented from receiving a salary or other compensation by reason of the fact that he or she is also a director.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Removal; Vacancy</w:t>
      </w:r>
      <w:r>
        <w:rPr>
          <w:rFonts w:ascii="Arial" w:cs="Arial" w:eastAsia="Arial" w:hAnsi="Arial"/>
          <w:sz w:val="18"/>
          <w:szCs w:val="18"/>
          <w:color w:val="auto"/>
        </w:rPr>
        <w:t>. The officers of the corporation shall hold office until their successors are chosen and qualify. Any officer may be removed at any time, with or without cause, by the affirmative vote of a majority of the whole Board of Directors. Any vacancy occurring in any office of the corporation shall be filled by the Board of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shall, if one be elected, preside at all meetings of the Board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preside at all meetings of the stockholders and the Board of Directors in the absence of a Chairman, shall have general supervision over the business of the corporation and shall see that all directions and resolutions of the Board of Directors are carried into effect.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Vice President</w:t>
      </w:r>
      <w:r>
        <w:rPr>
          <w:rFonts w:ascii="Arial" w:cs="Arial" w:eastAsia="Arial" w:hAnsi="Arial"/>
          <w:sz w:val="17"/>
          <w:szCs w:val="17"/>
          <w:color w:val="auto"/>
        </w:rPr>
        <w:t>. The Vice President shall, in the absence or disability of the Chief Executive Officers, perform the duties and exercise the powers of the Chief Executive officers and shall perform such other duties and have such other powers as the Board of Directors may from time to time prescribe. The Vice President shall, in the absence or disability of the Chief Executive Officer and of the Vice President, perform the duties and exercise the powers of the Chief Executive Officer and shall perform such other duties and have such other powers as the Board of Directors may from time to time prescribe. If there shall be more than one vice president, the vice presidents shall perform such duties and exercise such powers in the absence or disability of the Chief Executive Officer and of the Vice President, in the order determined by the Board of Directors.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He shall give, or cause to be given, notice of all meetings of the stockholders and special meetings of the Board of Directors, and shall perform such other duties as may be prescribed by the Board of Directors or Chief Executive Officer, under whose supervision he shall be. He shall have custody of the corporate seal of the corporation and he, or an assistant secretary, shall have the authority to affix the same to an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if there shall be one, or if there shall be more than one, the assistant secretaries in the order determined by the Board of Directors, shall, in the absence or disability of the Secretary, perform the duties and exercise the powers of the Secretary and shall perform such other duties and have such powers as the Board of Directors may from time to time prescribe.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both"/>
        <w:ind w:firstLine="648"/>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Chairman, the Chief Executive Officer and the Board of Directors, at its regular meetings, or when the Board of Directors so requires, an account of all of his transactions as Treasurer and of the financial condition of the corporation.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if there shall be one,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Form</w:t>
      </w:r>
      <w:r>
        <w:rPr>
          <w:rFonts w:ascii="Arial" w:cs="Arial" w:eastAsia="Arial" w:hAnsi="Arial"/>
          <w:sz w:val="16"/>
          <w:szCs w:val="16"/>
          <w:color w:val="auto"/>
        </w:rPr>
        <w:t>. The shares of the capital stock of the corporation shall be represented by certificates in such form as shall be approved by the Board of Directors and shall be signed by the Chief Executive Officer, a Vice President or a Vice President, and by the Treasurer or an assistant treasurer or the Secretary or an Assistant Secretary of the corporation, and may be sealed with the seal of the corporation or a facsimile thereof.</w:t>
      </w:r>
    </w:p>
    <w:p>
      <w:pPr>
        <w:spacing w:after="0" w:line="14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and Destroyed Certificates</w:t>
      </w:r>
      <w:r>
        <w:rPr>
          <w:rFonts w:ascii="Arial" w:cs="Arial" w:eastAsia="Arial" w:hAnsi="Arial"/>
          <w:sz w:val="18"/>
          <w:szCs w:val="18"/>
          <w:color w:val="auto"/>
        </w:rPr>
        <w:t>.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cancelled and the transaction recorded upon the books of the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1. (a) The Corporation shall indemnify, subject to the requirements of subsection (d) of this Section,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656"/>
        <w:spacing w:after="0" w:line="269" w:lineRule="auto"/>
        <w:tabs>
          <w:tab w:leader="none" w:pos="14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Corporation shall indemnify, subject to the requirements of subsection (d) of this Section,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185" w:lineRule="exact"/>
        <w:rPr>
          <w:rFonts w:ascii="Arial" w:cs="Arial" w:eastAsia="Arial" w:hAnsi="Arial"/>
          <w:sz w:val="17"/>
          <w:szCs w:val="17"/>
          <w:color w:val="auto"/>
        </w:rPr>
      </w:pPr>
    </w:p>
    <w:p>
      <w:pPr>
        <w:jc w:val="both"/>
        <w:ind w:firstLine="656"/>
        <w:spacing w:after="0" w:line="286" w:lineRule="auto"/>
        <w:tabs>
          <w:tab w:leader="none" w:pos="144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subsections (a) and (b) of this Section, or in defense of any claim, issue or matter therein, the Corporation shall indemnify him against expenses (including attorneys’ fees) actually and reasonably incurred by him in connection therewith.</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40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subsections (a) and (b) of this Section.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spacing w:after="0" w:line="192" w:lineRule="exact"/>
        <w:rPr>
          <w:rFonts w:ascii="Arial" w:cs="Arial" w:eastAsia="Arial" w:hAnsi="Arial"/>
          <w:sz w:val="18"/>
          <w:szCs w:val="18"/>
          <w:color w:val="auto"/>
        </w:rPr>
      </w:pPr>
    </w:p>
    <w:p>
      <w:pPr>
        <w:jc w:val="both"/>
        <w:ind w:firstLine="656"/>
        <w:spacing w:after="0" w:line="301" w:lineRule="auto"/>
        <w:tabs>
          <w:tab w:leader="none" w:pos="138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Expenses incurred by a director, officer, employee or agent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incurred by other employees and agents may be so paid upon such terms and conditions, if any, as the Board of Directors deems appropriate.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both"/>
        <w:ind w:firstLine="656"/>
        <w:spacing w:after="0" w:line="301" w:lineRule="auto"/>
        <w:tabs>
          <w:tab w:leader="none" w:pos="147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limit the Corporation from providing any other indemnification or advancement of expenses permitted by law nor shall they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57" w:lineRule="exact"/>
        <w:rPr>
          <w:rFonts w:ascii="Arial" w:cs="Arial" w:eastAsia="Arial" w:hAnsi="Arial"/>
          <w:sz w:val="16"/>
          <w:szCs w:val="16"/>
          <w:color w:val="auto"/>
        </w:rPr>
      </w:pPr>
    </w:p>
    <w:p>
      <w:pPr>
        <w:jc w:val="both"/>
        <w:ind w:firstLine="656"/>
        <w:spacing w:after="0" w:line="279" w:lineRule="auto"/>
        <w:tabs>
          <w:tab w:leader="none" w:pos="143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71" w:lineRule="exact"/>
        <w:rPr>
          <w:rFonts w:ascii="Arial" w:cs="Arial" w:eastAsia="Arial" w:hAnsi="Arial"/>
          <w:sz w:val="17"/>
          <w:szCs w:val="17"/>
          <w:color w:val="auto"/>
        </w:rPr>
      </w:pPr>
    </w:p>
    <w:p>
      <w:pPr>
        <w:jc w:val="both"/>
        <w:ind w:firstLine="656"/>
        <w:spacing w:after="0" w:line="293" w:lineRule="auto"/>
        <w:tabs>
          <w:tab w:leader="none" w:pos="143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For the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color w:val="auto"/>
        </w:rPr>
      </w:pPr>
    </w:p>
    <w:p>
      <w:pPr>
        <w:jc w:val="both"/>
        <w:ind w:firstLine="656"/>
        <w:spacing w:after="0" w:line="273" w:lineRule="auto"/>
        <w:tabs>
          <w:tab w:leader="none" w:pos="145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any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50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by the Board of Directors, continue as to a person who has ceased to be a director, officer, employee or agent of the Corporation and shall inure to the benefit of the heirs executors and administrators of such a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and may be changed, by resolution of the Board of Directors.</w:t>
      </w:r>
    </w:p>
    <w:p>
      <w:pPr>
        <w:spacing w:after="0" w:line="2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1. These by-laws may be altered, amended, supplemented or repealed or new by-laws may be adopted (a) at any regular or special meeting of stockholders at which a quorum is present or represented, by the affirmative vote of the holders of a majority of the shares entitled to vote, provided notice of the proposed alteration, amendment or repeal be contained in the notice of such meeting, or (b) by a resolution adopted by a majority of the whole Board of Directors at any regular or special meeting of the Board. The stockholders shall have authority to change or repeal any by-laws adopted by the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ind w:left="104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434" w:lineRule="exact"/>
        <w:rPr>
          <w:sz w:val="20"/>
          <w:szCs w:val="20"/>
          <w:color w:val="auto"/>
        </w:rPr>
      </w:pPr>
    </w:p>
    <w:p>
      <w:pPr>
        <w:sectPr>
          <w:pgSz w:w="11900" w:h="16838" w:orient="portrait"/>
          <w:cols w:equalWidth="0" w:num="2">
            <w:col w:w="9980" w:space="720"/>
            <w:col w:w="540"/>
          </w:cols>
          <w:pgMar w:left="320" w:top="12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21" w:lineRule="exact"/>
        <w:rPr>
          <w:sz w:val="20"/>
          <w:szCs w:val="20"/>
          <w:color w:val="auto"/>
        </w:rPr>
      </w:pPr>
    </w:p>
    <w:p>
      <w:pPr>
        <w:ind w:left="9800"/>
        <w:spacing w:after="0"/>
        <w:rPr>
          <w:sz w:val="20"/>
          <w:szCs w:val="20"/>
          <w:color w:val="auto"/>
        </w:rPr>
      </w:pPr>
      <w:r>
        <w:rPr>
          <w:rFonts w:ascii="Arial" w:cs="Arial" w:eastAsia="Arial" w:hAnsi="Arial"/>
          <w:sz w:val="16"/>
          <w:szCs w:val="16"/>
          <w:b w:val="1"/>
          <w:bCs w:val="1"/>
          <w:color w:val="auto"/>
        </w:rPr>
        <w:t>CUSIP 123013-203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ectPr>
          <w:pgSz w:w="11900" w:h="16838" w:orient="portrait"/>
          <w:cols w:equalWidth="0" w:num="1">
            <w:col w:w="11240"/>
          </w:cols>
          <w:pgMar w:left="320" w:top="121" w:right="339" w:bottom="1440" w:gutter="0" w:footer="0" w:header="0"/>
          <w:type w:val="continuous"/>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UNITS CONSISTING OF ONE SHARE OF CLASS A COMMON STOCK AND ONE WARRANT,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WARRANT ENTITLING THE HOLDER TO PURCHASE ONE SHARE OF CLASS A COMMON STOCK</w:t>
      </w:r>
    </w:p>
    <w:p>
      <w:pPr>
        <w:spacing w:after="0" w:line="211" w:lineRule="exact"/>
        <w:rPr>
          <w:sz w:val="20"/>
          <w:szCs w:val="20"/>
          <w:color w:val="auto"/>
        </w:rPr>
      </w:pPr>
    </w:p>
    <w:p>
      <w:pPr>
        <w:ind w:left="440"/>
        <w:spacing w:after="0"/>
        <w:tabs>
          <w:tab w:leader="none" w:pos="3240" w:val="left"/>
          <w:tab w:leader="none" w:pos="478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8"/>
          <w:szCs w:val="18"/>
          <w:color w:val="auto"/>
        </w:rPr>
        <w:t>is the owner of</w:t>
      </w:r>
      <w:r>
        <w:rPr>
          <w:sz w:val="20"/>
          <w:szCs w:val="20"/>
          <w:color w:val="auto"/>
        </w:rPr>
        <w:tab/>
      </w:r>
      <w:r>
        <w:rPr>
          <w:rFonts w:ascii="Arial" w:cs="Arial" w:eastAsia="Arial" w:hAnsi="Arial"/>
          <w:sz w:val="16"/>
          <w:szCs w:val="16"/>
          <w:color w:val="auto"/>
        </w:rPr>
        <w:t>Units.</w:t>
      </w:r>
    </w:p>
    <w:p>
      <w:pPr>
        <w:spacing w:after="0" w:line="225"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Each Unit (“</w:t>
      </w:r>
      <w:r>
        <w:rPr>
          <w:rFonts w:ascii="Arial" w:cs="Arial" w:eastAsia="Arial" w:hAnsi="Arial"/>
          <w:sz w:val="16"/>
          <w:szCs w:val="16"/>
          <w:b w:val="1"/>
          <w:bCs w:val="1"/>
          <w:i w:val="1"/>
          <w:iCs w:val="1"/>
          <w:color w:val="auto"/>
        </w:rPr>
        <w:t>Unit</w:t>
      </w:r>
      <w:r>
        <w:rPr>
          <w:rFonts w:ascii="Arial" w:cs="Arial" w:eastAsia="Arial" w:hAnsi="Arial"/>
          <w:sz w:val="16"/>
          <w:szCs w:val="16"/>
          <w:color w:val="auto"/>
        </w:rPr>
        <w:t>”) consists of one (1) share of Class A common stock, par value $0.0001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BurTech Acquisition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one redeemable warrant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Only whole Warrants are exercisable. Each whole Warrant entitles the holder to purchase one (1) share (subject to adjustment) of Common Stock for $11.50 per share (subject to adjustment). Each Warrant will become exercisable on the later of (i) thirty (30) days after the Company’s completion of a merger, capital stock exchange, asset acquisition, stock purchase, reorganization or other similar business combination with one or more businesses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and (ii) twelve (12) months from the closing of the Company’s initial public offering, and will expire unless exercised before 5:00 p.m., New York City Time, on the date that is five (5) years after the date on which the Company completes its initial Business Combination, or earlier upon redemption or liquidation (the “</w:t>
      </w:r>
      <w:r>
        <w:rPr>
          <w:rFonts w:ascii="Arial" w:cs="Arial" w:eastAsia="Arial" w:hAnsi="Arial"/>
          <w:sz w:val="16"/>
          <w:szCs w:val="16"/>
          <w:b w:val="1"/>
          <w:bCs w:val="1"/>
          <w:i w:val="1"/>
          <w:iCs w:val="1"/>
          <w:color w:val="auto"/>
        </w:rPr>
        <w:t>Expiration</w:t>
      </w:r>
    </w:p>
    <w:p>
      <w:pPr>
        <w:spacing w:after="0" w:line="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b w:val="1"/>
          <w:bCs w:val="1"/>
          <w:i w:val="1"/>
          <w:iCs w:val="1"/>
          <w:color w:val="auto"/>
        </w:rPr>
        <w:t>Date</w:t>
      </w:r>
      <w:r>
        <w:rPr>
          <w:rFonts w:ascii="Arial" w:cs="Arial" w:eastAsia="Arial" w:hAnsi="Arial"/>
          <w:sz w:val="16"/>
          <w:szCs w:val="16"/>
          <w:color w:val="auto"/>
        </w:rPr>
        <w:t>”). The Common Stock and Warrants comprising the Units represented by this certificate are not transferable separately prior to , 2021,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 Hutton, division of Benchmark Investments, LLC. elects to allow separate trading earlier, subject to the Company’s filing of a Current Report on Form 8-K with the Securities and Exchange Commission containing an audited balance sheet reflecting the Company’s receipt of the gross proceeds of the Company’s initial public offering and issuing a press release announcing when separate trading will begin. No fractional Warrants will be issued upon</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separation of the Units. The terms of the Warrants are governed by a Warrant Agreement, dated as of , 2021, between the Company and Continental Stock Transfer &amp; Trust Company, as Warrant Agent, and are subject to the terms and provisions contained therein, all of which terms and provisions the holder of this certificate consents to by acceptance hereof. A copy of the Warrant Agreement is on file at the office of Continental Stock Transfer &amp; Trust</w:t>
      </w:r>
    </w:p>
    <w:p>
      <w:pPr>
        <w:spacing w:after="0" w:line="2"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Company at 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10004, and are available to any Warrant holder or Rights holder on written request and without cost.</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 the facsimile signature of a duly authorized signatory of the Company.</w:t>
      </w:r>
    </w:p>
    <w:p>
      <w:pPr>
        <w:spacing w:after="0" w:line="200" w:lineRule="exact"/>
        <w:rPr>
          <w:sz w:val="20"/>
          <w:szCs w:val="20"/>
          <w:color w:val="auto"/>
        </w:rPr>
      </w:pPr>
    </w:p>
    <w:p>
      <w:pPr>
        <w:spacing w:after="0" w:line="26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6"/>
          <w:szCs w:val="16"/>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right="300" w:firstLine="441"/>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stock or series thereof of the Company and the qualifications, limitations, or restrictions of such preferences and/or rights.</w:t>
      </w:r>
    </w:p>
    <w:p>
      <w:pPr>
        <w:spacing w:after="0" w:line="18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TEN COM</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20" w:type="dxa"/>
            <w:vAlign w:val="bottom"/>
          </w:tcPr>
          <w:p>
            <w:pPr>
              <w:ind w:left="100"/>
              <w:spacing w:after="0"/>
              <w:rPr>
                <w:sz w:val="20"/>
                <w:szCs w:val="20"/>
                <w:color w:val="auto"/>
              </w:rPr>
            </w:pPr>
            <w:r>
              <w:rPr>
                <w:rFonts w:ascii="Arial" w:cs="Arial" w:eastAsia="Arial" w:hAnsi="Arial"/>
                <w:sz w:val="18"/>
                <w:szCs w:val="18"/>
                <w:color w:val="auto"/>
              </w:rPr>
              <w:t>as tenants in common</w:t>
            </w:r>
          </w:p>
        </w:tc>
        <w:tc>
          <w:tcPr>
            <w:tcW w:w="2380" w:type="dxa"/>
            <w:vAlign w:val="bottom"/>
          </w:tcPr>
          <w:p>
            <w:pPr>
              <w:ind w:left="220"/>
              <w:spacing w:after="0"/>
              <w:rPr>
                <w:sz w:val="20"/>
                <w:szCs w:val="20"/>
                <w:color w:val="auto"/>
              </w:rPr>
            </w:pPr>
            <w:r>
              <w:rPr>
                <w:rFonts w:ascii="Arial" w:cs="Arial" w:eastAsia="Arial" w:hAnsi="Arial"/>
                <w:sz w:val="18"/>
                <w:szCs w:val="18"/>
                <w:color w:val="auto"/>
              </w:rPr>
              <w:t>UNIF GIFT MIN ACT</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Custodian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TEN ENT</w:t>
            </w: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  as tenants by the entireties</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(Cust)</w:t>
            </w:r>
          </w:p>
        </w:tc>
        <w:tc>
          <w:tcPr>
            <w:tcW w:w="5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(Minor)</w:t>
            </w:r>
          </w:p>
        </w:tc>
      </w:tr>
      <w:tr>
        <w:trPr>
          <w:trHeight w:val="403"/>
        </w:trPr>
        <w:tc>
          <w:tcPr>
            <w:tcW w:w="920" w:type="dxa"/>
            <w:vAlign w:val="bottom"/>
          </w:tcPr>
          <w:p>
            <w:pPr>
              <w:spacing w:after="0"/>
              <w:rPr>
                <w:sz w:val="20"/>
                <w:szCs w:val="20"/>
                <w:color w:val="auto"/>
              </w:rPr>
            </w:pPr>
            <w:r>
              <w:rPr>
                <w:rFonts w:ascii="Arial" w:cs="Arial" w:eastAsia="Arial" w:hAnsi="Arial"/>
                <w:sz w:val="18"/>
                <w:szCs w:val="18"/>
                <w:color w:val="auto"/>
              </w:rPr>
              <w:t>JT TEN</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w w:val="93"/>
              </w:rPr>
              <w:t>as joint tenants with right of survivorship and not as tenants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80" w:type="dxa"/>
            <w:vAlign w:val="bottom"/>
            <w:gridSpan w:val="3"/>
          </w:tcPr>
          <w:p>
            <w:pPr>
              <w:ind w:left="60"/>
              <w:spacing w:after="0"/>
              <w:rPr>
                <w:sz w:val="20"/>
                <w:szCs w:val="20"/>
                <w:color w:val="auto"/>
              </w:rPr>
            </w:pPr>
            <w:r>
              <w:rPr>
                <w:rFonts w:ascii="Arial" w:cs="Arial" w:eastAsia="Arial" w:hAnsi="Arial"/>
                <w:sz w:val="18"/>
                <w:szCs w:val="18"/>
                <w:color w:val="auto"/>
              </w:rPr>
              <w:t>under Uniform Gifts to Minors Act</w:t>
            </w:r>
          </w:p>
        </w:tc>
      </w:tr>
      <w:tr>
        <w:trPr>
          <w:trHeight w:val="230"/>
        </w:trPr>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in common</w:t>
            </w: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15"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-130175</wp:posOffset>
            </wp:positionV>
            <wp:extent cx="31203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 assign and transfer unto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Units represented by the within Certificate, and do hereby irrevocably constitute and appoint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 to transfer the said Units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426085</wp:posOffset>
            </wp:positionV>
            <wp:extent cx="42773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500" w:right="100"/>
        <w:spacing w:after="0" w:line="266"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 assignment must correspond with the name as written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face of the certificate in every particular, without alteration or enlargement or any change whatever.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926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color w:val="auto"/>
        </w:rPr>
        <w:t>As more fully described, and subject to the terms and conditions described in, the Company’s final prospectus for its initial public offering dated</w:t>
      </w:r>
    </w:p>
    <w:p>
      <w:pPr>
        <w:spacing w:after="0" w:line="35" w:lineRule="exact"/>
        <w:rPr>
          <w:sz w:val="20"/>
          <w:szCs w:val="20"/>
          <w:color w:val="auto"/>
        </w:rPr>
      </w:pPr>
    </w:p>
    <w:p>
      <w:pPr>
        <w:ind w:firstLine="818"/>
        <w:spacing w:after="0" w:line="267"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2021, the holder(s) of this certificate shall be entitled to receive a pro-rata portion of certain funds held in the trust account established in connection with the Company’s initial public offering only in the event that (i) the Company redeems the shares of Common Stock sold in the Company’s initial public offering and liquidates because it does not consummate an initial business combination by the date set forth in the Company’s Amended and Restated Certificate of Incorporation, as the same may be amended from time to time (such date being referred to herein as the “Last Date”), (ii) the Company redeems the shares of Common Stock sold in its initial public offering properly submitted in connection with a stockholder vote to amend the Company’s Amended and Restated Certificate of Incorporation to modify the substance or timing of the Company’s obligation to redeem 100% of the Common Stock if it does not consummate an initial business combination by the Last Date or with respect to any other provisions relating to stockholders’ rights or pre-initial business combination activity, or (iii) if the holder(s) seek(s) to redeem for cash his, her or its respective shares of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252" w:name="page253"/>
    <w:bookmarkEnd w:id="252"/>
    <w:p>
      <w:pPr>
        <w:ind w:left="10400"/>
        <w:spacing w:after="0"/>
        <w:rPr>
          <w:sz w:val="20"/>
          <w:szCs w:val="20"/>
          <w:color w:val="auto"/>
        </w:rPr>
      </w:pPr>
      <w:r>
        <w:rPr>
          <w:rFonts w:ascii="Arial" w:cs="Arial" w:eastAsia="Arial" w:hAnsi="Arial"/>
          <w:sz w:val="16"/>
          <w:szCs w:val="16"/>
          <w:b w:val="1"/>
          <w:bCs w:val="1"/>
          <w:color w:val="auto"/>
        </w:rPr>
        <w:t>Exhibit 4.2</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w:t>
      </w:r>
    </w:p>
    <w:p>
      <w:pPr>
        <w:spacing w:after="0" w:line="445" w:lineRule="exact"/>
        <w:rPr>
          <w:sz w:val="20"/>
          <w:szCs w:val="20"/>
          <w:color w:val="auto"/>
        </w:rPr>
      </w:pPr>
    </w:p>
    <w:p>
      <w:pPr>
        <w:sectPr>
          <w:pgSz w:w="11900" w:h="16838" w:orient="portrait"/>
          <w:cols w:equalWidth="0" w:num="2">
            <w:col w:w="9800" w:space="720"/>
            <w:col w:w="720"/>
          </w:cols>
          <w:pgMar w:left="320" w:top="12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REVERSE FOR CERTAIN DEFINITIONS</w:t>
      </w:r>
    </w:p>
    <w:p>
      <w:pPr>
        <w:spacing w:after="0" w:line="225"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auto"/>
        </w:rPr>
        <w:t>CUSIP 123013-104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ectPr>
          <w:pgSz w:w="11900" w:h="16838" w:orient="portrait"/>
          <w:cols w:equalWidth="0" w:num="1">
            <w:col w:w="11240"/>
          </w:cols>
          <w:pgMar w:left="320" w:top="121"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FULLY PAID AND NON-ASSESSABLE SHARES OF CLASS A COMMON STOCK, PAR VALUE OF $0.0001 (THE “COMMON STOCK”), 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transferable on the books of the Company in person or by duly authorized attorney upon surrender of this certificate properly endorsed.</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 will be required to redeem all of its shares of Common Stock if it is unable to complete a business combination within the time period set forth in the Company’s Amended and Restated Certificate of Incorporation, as the same may be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all as more</w:t>
      </w: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fully described in the Company’s final prospectus dated</w:t>
            </w:r>
          </w:p>
        </w:tc>
        <w:tc>
          <w:tcPr>
            <w:tcW w:w="10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signatures of its duly authorized officers.</w:t>
      </w:r>
    </w:p>
    <w:p>
      <w:pPr>
        <w:spacing w:after="0" w:line="225"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will furnish without charge to each stockholder who so requests a statement of the powers, designations, preferences and relative, participating, optional or other special rights of each class of stock or series thereof of the Company and the qualifications, limitations, or restrictions of such preferences and/or rights. This certificate and the shares represented thereby are issued and shall be held subject to all the provisions of the Charter and resolutions of the Board of Directors providing for the issue of securities (copies of which may be obtained from the secretary of the Company),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TEN COM</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20" w:type="dxa"/>
            <w:vAlign w:val="bottom"/>
          </w:tcPr>
          <w:p>
            <w:pPr>
              <w:ind w:left="100"/>
              <w:spacing w:after="0"/>
              <w:rPr>
                <w:sz w:val="20"/>
                <w:szCs w:val="20"/>
                <w:color w:val="auto"/>
              </w:rPr>
            </w:pPr>
            <w:r>
              <w:rPr>
                <w:rFonts w:ascii="Arial" w:cs="Arial" w:eastAsia="Arial" w:hAnsi="Arial"/>
                <w:sz w:val="18"/>
                <w:szCs w:val="18"/>
                <w:color w:val="auto"/>
              </w:rPr>
              <w:t>as tenants in common</w:t>
            </w:r>
          </w:p>
        </w:tc>
        <w:tc>
          <w:tcPr>
            <w:tcW w:w="2380" w:type="dxa"/>
            <w:vAlign w:val="bottom"/>
          </w:tcPr>
          <w:p>
            <w:pPr>
              <w:ind w:left="220"/>
              <w:spacing w:after="0"/>
              <w:rPr>
                <w:sz w:val="20"/>
                <w:szCs w:val="20"/>
                <w:color w:val="auto"/>
              </w:rPr>
            </w:pPr>
            <w:r>
              <w:rPr>
                <w:rFonts w:ascii="Arial" w:cs="Arial" w:eastAsia="Arial" w:hAnsi="Arial"/>
                <w:sz w:val="18"/>
                <w:szCs w:val="18"/>
                <w:color w:val="auto"/>
              </w:rPr>
              <w:t>UNIF GIFT MIN ACT</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Custodian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TEN ENT</w:t>
            </w: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  as tenants by the entireties</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(Cust)</w:t>
            </w:r>
          </w:p>
        </w:tc>
        <w:tc>
          <w:tcPr>
            <w:tcW w:w="5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(Minor)</w:t>
            </w:r>
          </w:p>
        </w:tc>
      </w:tr>
      <w:tr>
        <w:trPr>
          <w:trHeight w:val="403"/>
        </w:trPr>
        <w:tc>
          <w:tcPr>
            <w:tcW w:w="920" w:type="dxa"/>
            <w:vAlign w:val="bottom"/>
          </w:tcPr>
          <w:p>
            <w:pPr>
              <w:spacing w:after="0"/>
              <w:rPr>
                <w:sz w:val="20"/>
                <w:szCs w:val="20"/>
                <w:color w:val="auto"/>
              </w:rPr>
            </w:pPr>
            <w:r>
              <w:rPr>
                <w:rFonts w:ascii="Arial" w:cs="Arial" w:eastAsia="Arial" w:hAnsi="Arial"/>
                <w:sz w:val="18"/>
                <w:szCs w:val="18"/>
                <w:color w:val="auto"/>
              </w:rPr>
              <w:t>JT TEN</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w w:val="93"/>
              </w:rPr>
              <w:t>as joint tenants with right of survivorship and not as tenants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80" w:type="dxa"/>
            <w:vAlign w:val="bottom"/>
            <w:gridSpan w:val="3"/>
          </w:tcPr>
          <w:p>
            <w:pPr>
              <w:ind w:left="60"/>
              <w:spacing w:after="0"/>
              <w:rPr>
                <w:sz w:val="20"/>
                <w:szCs w:val="20"/>
                <w:color w:val="auto"/>
              </w:rPr>
            </w:pPr>
            <w:r>
              <w:rPr>
                <w:rFonts w:ascii="Arial" w:cs="Arial" w:eastAsia="Arial" w:hAnsi="Arial"/>
                <w:sz w:val="18"/>
                <w:szCs w:val="18"/>
                <w:color w:val="auto"/>
              </w:rPr>
              <w:t>under Uniform Gifts to Minors Act</w:t>
            </w:r>
          </w:p>
        </w:tc>
      </w:tr>
      <w:tr>
        <w:trPr>
          <w:trHeight w:val="230"/>
        </w:trPr>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in common</w:t>
            </w: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15"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-130175</wp:posOffset>
            </wp:positionV>
            <wp:extent cx="31203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sells, assigns and transfers unto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Common Stock represented by the within Certificate, and hereby irrevocably constitutes and appoints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Attorney to transfer the said shares of Common Stock on the books of the within named Company with full power of substitution in the premises.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SIGNATURE(S) MUST BE GUARANTEED BY AN ELIGIBLE GUARANTOR INSTITUTION (BANKS, STOCKBROKERS, SAVINGS AND LOAN ASSOCIATIONS AND CREDIT UNIONS WITH MEMBERSHIP IN AN APPROVED SIGNATURE GUARANTEE MEDALLION PROGRAM, PURSUANT TO S.E.C. RULE 17Ad-15 OF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color w:val="auto"/>
        </w:rPr>
        <w:t>As more fully described in, and subject to the terms and conditions described in, the Company’s final prospectus for its initial public offering dated</w:t>
      </w:r>
    </w:p>
    <w:p>
      <w:pPr>
        <w:spacing w:after="0" w:line="35" w:lineRule="exact"/>
        <w:rPr>
          <w:sz w:val="20"/>
          <w:szCs w:val="20"/>
          <w:color w:val="auto"/>
        </w:rPr>
      </w:pPr>
    </w:p>
    <w:p>
      <w:pPr>
        <w:ind w:firstLine="818"/>
        <w:spacing w:after="0" w:line="268"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2021, the holder(s) of this certificate shall be entitled to receive a pro-rata portion of certain funds held in the trust account established in connection with the Company’s initial public offering only in the event that (i) the Company redeems the shares of Common Stock sold in the Company’s initial public offering and liquidates because it does not consummate an initial business combination by the date set forth in the Charter, as the same may be amended from time to time (such date being referred to herein as the “Last Date”), (ii) the Company redeems the shares of Common Stock sold in its initial public offering properly submitted in connection with a stockholder vote to amend the Charter to modify the substance or timing of the Company’s obligation to redeem 100% of the Common Stock if it does not consummate an initial business combination by the Last Date or with respect to any other provisions relating to stockholders’ rights or pre-initial business combination activity, or (iii) if the holder(s) seek(s) to redeem for cash his, her or its respective shares of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5" w:name="page256"/>
    <w:bookmarkEnd w:id="255"/>
    <w:p>
      <w:pPr>
        <w:ind w:left="10400"/>
        <w:spacing w:after="0"/>
        <w:rPr>
          <w:sz w:val="20"/>
          <w:szCs w:val="20"/>
          <w:color w:val="auto"/>
        </w:rPr>
      </w:pPr>
      <w:r>
        <w:rPr>
          <w:rFonts w:ascii="Arial" w:cs="Arial" w:eastAsia="Arial" w:hAnsi="Arial"/>
          <w:sz w:val="16"/>
          <w:szCs w:val="16"/>
          <w:b w:val="1"/>
          <w:bCs w:val="1"/>
          <w:color w:val="auto"/>
        </w:rPr>
        <w:t>Exhibit 4.3</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________-</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980"/>
        <w:spacing w:after="0" w:line="266" w:lineRule="auto"/>
        <w:rPr>
          <w:sz w:val="20"/>
          <w:szCs w:val="20"/>
          <w:color w:val="auto"/>
        </w:rPr>
      </w:pPr>
      <w:r>
        <w:rPr>
          <w:rFonts w:ascii="Arial" w:cs="Arial" w:eastAsia="Arial" w:hAnsi="Arial"/>
          <w:sz w:val="18"/>
          <w:szCs w:val="18"/>
          <w:b w:val="1"/>
          <w:bCs w:val="1"/>
          <w:color w:val="auto"/>
        </w:rPr>
        <w:t>(SEE REVERSE SIDE FOR LEGEND) THIS WARRANT WILL BE VOID IF NOT EXERCISED PRIOR TO THE EXPIRATION DATE (DEFINED BELOW)</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692" w:lineRule="exact"/>
        <w:rPr>
          <w:sz w:val="20"/>
          <w:szCs w:val="20"/>
          <w:color w:val="auto"/>
        </w:rPr>
      </w:pPr>
    </w:p>
    <w:p>
      <w:pPr>
        <w:sectPr>
          <w:pgSz w:w="11900" w:h="16838" w:orient="portrait"/>
          <w:cols w:equalWidth="0" w:num="3">
            <w:col w:w="2040" w:space="720"/>
            <w:col w:w="6400" w:space="720"/>
            <w:col w:w="1360"/>
          </w:cols>
          <w:pgMar w:left="320" w:top="121" w:right="339" w:bottom="1440" w:gutter="0" w:footer="0" w:header="0"/>
          <w:type w:val="continuous"/>
        </w:sectPr>
      </w:pPr>
    </w:p>
    <w:p>
      <w:pPr>
        <w:spacing w:after="0" w:line="19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BURTECH ACQUISITION CORP.</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123013112</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WARRANT</w:t>
      </w:r>
    </w:p>
    <w:p>
      <w:pPr>
        <w:sectPr>
          <w:pgSz w:w="11900" w:h="16838" w:orient="portrait"/>
          <w:cols w:equalWidth="0" w:num="1">
            <w:col w:w="11240"/>
          </w:cols>
          <w:pgMar w:left="320" w:top="121" w:right="339" w:bottom="1440" w:gutter="0" w:footer="0" w:header="0"/>
          <w:type w:val="continuous"/>
        </w:sectPr>
      </w:pPr>
    </w:p>
    <w:p>
      <w:pPr>
        <w:spacing w:after="0" w:line="2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THIS CERTIFIES THAT, for value received is the registered holder of a warrant or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of BurTech Acquisition Corp.,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expiring at 5:00 p.m., New York City time, on the five year anniversary of the Company’s completion of an initial merger, capital stock exchange, asset acquisition, stock purchase, recapitalization, reorganization or other similar business combination with one or more businesses or entities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to purchase one fully paid and non-assessable share of Class A common stock, par value $0.0001 per share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for each Warrant evidenced by this Warrant Certificate. The Warrant entitles the holder thereof to purchase from the Company, commencing 30 days after the Company’s completion of an initial Business Combination, such number of Shares of the Company at the Warrant Price (as defined below), upon surrender of this Warrant Certificate and payment of the Warrant Price at the office or agency of Continental Stock Transfer</w:t>
      </w:r>
    </w:p>
    <w:p>
      <w:pPr>
        <w:spacing w:after="0" w:line="2" w:lineRule="exact"/>
        <w:rPr>
          <w:sz w:val="20"/>
          <w:szCs w:val="20"/>
          <w:color w:val="auto"/>
        </w:rPr>
      </w:pPr>
    </w:p>
    <w:p>
      <w:pPr>
        <w:jc w:val="both"/>
        <w:ind w:firstLine="8"/>
        <w:spacing w:after="0" w:line="252" w:lineRule="auto"/>
        <w:tabs>
          <w:tab w:leader="none" w:pos="2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Trust Company (the “</w:t>
      </w:r>
      <w:r>
        <w:rPr>
          <w:rFonts w:ascii="Arial" w:cs="Arial" w:eastAsia="Arial" w:hAnsi="Arial"/>
          <w:sz w:val="18"/>
          <w:szCs w:val="18"/>
          <w:u w:val="single" w:color="auto"/>
          <w:color w:val="auto"/>
        </w:rPr>
        <w:t>Warrant Agent</w:t>
      </w:r>
      <w:r>
        <w:rPr>
          <w:rFonts w:ascii="Arial" w:cs="Arial" w:eastAsia="Arial" w:hAnsi="Arial"/>
          <w:sz w:val="18"/>
          <w:szCs w:val="18"/>
          <w:color w:val="auto"/>
        </w:rPr>
        <w:t>”), but only subject to the conditions set forth herein and in the Warrant Agreement between the Company and Continental Stock Transfer &amp; Trust Company. In no event will the Company be required to net cash settle any warrant exercise. The term “</w:t>
      </w:r>
      <w:r>
        <w:rPr>
          <w:rFonts w:ascii="Arial" w:cs="Arial" w:eastAsia="Arial" w:hAnsi="Arial"/>
          <w:sz w:val="18"/>
          <w:szCs w:val="18"/>
          <w:u w:val="single" w:color="auto"/>
          <w:color w:val="auto"/>
        </w:rPr>
        <w:t>Warrant Price</w:t>
      </w:r>
      <w:r>
        <w:rPr>
          <w:rFonts w:ascii="Arial" w:cs="Arial" w:eastAsia="Arial" w:hAnsi="Arial"/>
          <w:sz w:val="18"/>
          <w:szCs w:val="18"/>
          <w:color w:val="auto"/>
        </w:rPr>
        <w:t>” as used in this Warrant Certificate refers to the price per Share at which Shares may be purchased at the time the Warrant is exercised. The initial Warrant Price per Share is equal to $11.50 per share. The Warrant Agreement provides that upon the occurrence of certain events the Warrant Price, the Redemption Trigger Price (as defined below) and the number of Shares purchasable hereunder, set forth on the face hereof, may, subject to certain conditions, be adjusted.</w:t>
      </w:r>
    </w:p>
    <w:p>
      <w:pPr>
        <w:spacing w:after="0" w:line="19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No fraction of a Share will be issued upon any exercise of a Warrant. If the holder of a Warrant would be entitled to receive a fraction of a Share upon any exercise of a Warrant, the Company shall, upon such exercise, round up to the nearest whole number the number of Shares to be issued to such holder.</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Warrant Certificates, when surrendered at the office or agency of the Warrant Agent by the registered holder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 in exchange for this Warrant Certificate, subject to the limitations provided in the Warrant Agreement, without charge except for any applicable tax or other governmental charge.</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and the Warrant Agent may deem and treat the registered holder as the absolute owner of this Warrant Certificate (notwithstanding any notation of ownership or other writing hereon made by anyone), for the purpose of any exercise hereof, of any distribution to the registered holder, and for all other purposes, and neither the Company nor the Warrant Agent shall be affected by any notice to the contrary.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Warrant does not entitle the registered holder to any of the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6" w:name="page257"/>
    <w:bookmarkEnd w:id="256"/>
    <w:p>
      <w:pPr>
        <w:jc w:val="both"/>
        <w:ind w:firstLine="324"/>
        <w:spacing w:after="0" w:line="291" w:lineRule="auto"/>
        <w:rPr>
          <w:sz w:val="20"/>
          <w:szCs w:val="20"/>
          <w:color w:val="auto"/>
        </w:rPr>
      </w:pPr>
      <w:r>
        <w:rPr>
          <w:rFonts w:ascii="Arial" w:cs="Arial" w:eastAsia="Arial" w:hAnsi="Arial"/>
          <w:sz w:val="16"/>
          <w:szCs w:val="16"/>
          <w:color w:val="auto"/>
        </w:rPr>
        <w:t>The Company reserves the right to call the Warrant at any time prior to its exercise with a notice of call in writing to the holders of record of the Warrant, giving at least 30 days’ notice of such call, at any time while the Warrant is exercisable, if the last sale price of the Shares has been at least $18.00 per share (the “</w:t>
      </w:r>
      <w:r>
        <w:rPr>
          <w:rFonts w:ascii="Arial" w:cs="Arial" w:eastAsia="Arial" w:hAnsi="Arial"/>
          <w:sz w:val="16"/>
          <w:szCs w:val="16"/>
          <w:u w:val="single" w:color="auto"/>
          <w:color w:val="auto"/>
        </w:rPr>
        <w:t>Redemption Trigger Price</w:t>
      </w:r>
      <w:r>
        <w:rPr>
          <w:rFonts w:ascii="Arial" w:cs="Arial" w:eastAsia="Arial" w:hAnsi="Arial"/>
          <w:sz w:val="16"/>
          <w:szCs w:val="16"/>
          <w:color w:val="auto"/>
        </w:rPr>
        <w:t>”) on each of 20 trading days within any 30 trading day period (the “</w:t>
      </w:r>
      <w:r>
        <w:rPr>
          <w:rFonts w:ascii="Arial" w:cs="Arial" w:eastAsia="Arial" w:hAnsi="Arial"/>
          <w:sz w:val="16"/>
          <w:szCs w:val="16"/>
          <w:u w:val="single" w:color="auto"/>
          <w:color w:val="auto"/>
        </w:rPr>
        <w:t>30-day trading period</w:t>
      </w:r>
      <w:r>
        <w:rPr>
          <w:rFonts w:ascii="Arial" w:cs="Arial" w:eastAsia="Arial" w:hAnsi="Arial"/>
          <w:sz w:val="16"/>
          <w:szCs w:val="16"/>
          <w:color w:val="auto"/>
        </w:rPr>
        <w:t>”) ending on the third business day prior to the date on which notice of such call is given and if, and only if, there is a current registration statement in effect with respect to the Shares underlying the Warrants commencing five business days prior to the 30-day trading period and continuing each day thereafter until the date of redemption. The call price of the Warrants is to be $0.01 per Warrant. Any Warrant either not exercised or tendered back to the Company by the end of the date specified in the notice of call shall be canceled on the books of the Company and have no further value except for the $0.01 call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340"/>
        <w:spacing w:after="0"/>
        <w:tabs>
          <w:tab w:leader="none" w:pos="596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6917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FORM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 in Order to Exercise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undersigned Registered Holder irrevocably elects to exercise ______________ Warrants represented by this Warrant Certificate, and to 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Class A Common Stock issuable upon the exercise of such Warrants, and requests that Certificates for such shares shall be issued in the name 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 _______________________________________________________________________</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 at the address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82371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(SIGNATURE)</w:t>
      </w:r>
    </w:p>
    <w:p>
      <w:pPr>
        <w:spacing w:after="0" w:line="23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151765</wp:posOffset>
            </wp:positionV>
            <wp:extent cx="36690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-130175</wp:posOffset>
            </wp:positionV>
            <wp:extent cx="36690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-130175</wp:posOffset>
            </wp:positionV>
            <wp:extent cx="36690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_______________________ hereby sells, assigns and transfers unto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 _______________________________________________________________________</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 NAME AND ADDRESS)</w:t>
      </w:r>
    </w:p>
    <w:p>
      <w:pPr>
        <w:spacing w:after="0" w:line="211" w:lineRule="exact"/>
        <w:rPr>
          <w:sz w:val="20"/>
          <w:szCs w:val="20"/>
          <w:color w:val="auto"/>
        </w:rPr>
      </w:pPr>
    </w:p>
    <w:p>
      <w:pPr>
        <w:spacing w:after="0"/>
        <w:tabs>
          <w:tab w:leader="none" w:pos="2140" w:val="left"/>
          <w:tab w:leader="none" w:pos="2460" w:val="left"/>
          <w:tab w:leader="none" w:pos="2840" w:val="left"/>
          <w:tab w:leader="none" w:pos="3660" w:val="left"/>
          <w:tab w:leader="none" w:pos="4660" w:val="left"/>
          <w:tab w:leader="none" w:pos="5000" w:val="left"/>
          <w:tab w:leader="none" w:pos="5440" w:val="left"/>
          <w:tab w:leader="none" w:pos="6180" w:val="left"/>
          <w:tab w:leader="none" w:pos="7160" w:val="left"/>
          <w:tab w:leader="none" w:pos="7580" w:val="left"/>
          <w:tab w:leader="none" w:pos="8240" w:val="left"/>
          <w:tab w:leader="none" w:pos="9240" w:val="left"/>
          <w:tab w:leader="none" w:pos="10180" w:val="left"/>
          <w:tab w:leader="none" w:pos="10600" w:val="left"/>
        </w:tabs>
        <w:rPr>
          <w:sz w:val="20"/>
          <w:szCs w:val="20"/>
          <w:color w:val="auto"/>
        </w:rPr>
      </w:pPr>
      <w:r>
        <w:rPr>
          <w:rFonts w:ascii="Arial" w:cs="Arial" w:eastAsia="Arial" w:hAnsi="Arial"/>
          <w:sz w:val="18"/>
          <w:szCs w:val="18"/>
          <w:color w:val="auto"/>
        </w:rPr>
        <w:t>______________________</w:t>
        <w:tab/>
        <w:t>of</w:t>
        <w:tab/>
        <w:t>the</w:t>
        <w:tab/>
        <w:t>Warrants</w:t>
        <w:tab/>
        <w:t>represented</w:t>
        <w:tab/>
        <w:t>by</w:t>
        <w:tab/>
        <w:t>this</w:t>
        <w:tab/>
        <w:t>Warrant</w:t>
        <w:tab/>
        <w:t>Certificate,</w:t>
        <w:tab/>
        <w:t>and</w:t>
        <w:tab/>
        <w:t>hereby</w:t>
        <w:tab/>
        <w:t>irrevocably</w:t>
        <w:tab/>
        <w:t>constitutes</w:t>
        <w:tab/>
        <w:t>and</w:t>
      </w:r>
      <w:r>
        <w:rPr>
          <w:sz w:val="20"/>
          <w:szCs w:val="20"/>
          <w:color w:val="auto"/>
        </w:rPr>
        <w:tab/>
      </w:r>
      <w:r>
        <w:rPr>
          <w:rFonts w:ascii="Arial" w:cs="Arial" w:eastAsia="Arial" w:hAnsi="Arial"/>
          <w:sz w:val="15"/>
          <w:szCs w:val="15"/>
          <w:color w:val="auto"/>
        </w:rPr>
        <w:t>appoints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 Attorney to transfer this Warrant Certificate on the books of the Company, with full power of substitution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8237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 SIGNATURE TO THE ASSIGNMENT OF THE</w:t>
      </w:r>
      <w:r>
        <w:rPr>
          <w:rFonts w:ascii="Arial" w:cs="Arial" w:eastAsia="Arial" w:hAnsi="Arial"/>
          <w:sz w:val="18"/>
          <w:szCs w:val="18"/>
          <w:color w:val="auto"/>
        </w:rPr>
        <w:t xml:space="preserve"> S</w:t>
      </w:r>
      <w:r>
        <w:rPr>
          <w:rFonts w:ascii="Arial" w:cs="Arial" w:eastAsia="Arial" w:hAnsi="Arial"/>
          <w:sz w:val="12"/>
          <w:szCs w:val="12"/>
          <w:color w:val="auto"/>
        </w:rPr>
        <w:t>UBSCRIPTION</w:t>
      </w:r>
      <w:r>
        <w:rPr>
          <w:rFonts w:ascii="Arial" w:cs="Arial" w:eastAsia="Arial" w:hAnsi="Arial"/>
          <w:sz w:val="18"/>
          <w:szCs w:val="18"/>
          <w:color w:val="auto"/>
        </w:rPr>
        <w:t xml:space="preserve"> F</w:t>
      </w:r>
      <w:r>
        <w:rPr>
          <w:rFonts w:ascii="Arial" w:cs="Arial" w:eastAsia="Arial" w:hAnsi="Arial"/>
          <w:sz w:val="12"/>
          <w:szCs w:val="12"/>
          <w:color w:val="auto"/>
        </w:rPr>
        <w:t>ORM MUST CORRESPOND TO THE NAME WRITTEN UPON THE FACE OF THIS</w:t>
      </w:r>
      <w:r>
        <w:rPr>
          <w:rFonts w:ascii="Arial" w:cs="Arial" w:eastAsia="Arial" w:hAnsi="Arial"/>
          <w:sz w:val="18"/>
          <w:szCs w:val="18"/>
          <w:color w:val="auto"/>
        </w:rPr>
        <w:t xml:space="preserve"> W</w:t>
      </w:r>
      <w:r>
        <w:rPr>
          <w:rFonts w:ascii="Arial" w:cs="Arial" w:eastAsia="Arial" w:hAnsi="Arial"/>
          <w:sz w:val="12"/>
          <w:szCs w:val="12"/>
          <w:color w:val="auto"/>
        </w:rPr>
        <w:t>ARRANT</w:t>
      </w:r>
      <w:r>
        <w:rPr>
          <w:rFonts w:ascii="Arial" w:cs="Arial" w:eastAsia="Arial" w:hAnsi="Arial"/>
          <w:sz w:val="18"/>
          <w:szCs w:val="18"/>
          <w:color w:val="auto"/>
        </w:rPr>
        <w:t xml:space="preserve"> C</w:t>
      </w:r>
      <w:r>
        <w:rPr>
          <w:rFonts w:ascii="Arial" w:cs="Arial" w:eastAsia="Arial" w:hAnsi="Arial"/>
          <w:sz w:val="12"/>
          <w:szCs w:val="12"/>
          <w:color w:val="auto"/>
        </w:rPr>
        <w:t>ERTIFICATE IN EVERY</w:t>
      </w:r>
      <w:r>
        <w:rPr>
          <w:rFonts w:ascii="Arial" w:cs="Arial" w:eastAsia="Arial" w:hAnsi="Arial"/>
          <w:sz w:val="18"/>
          <w:szCs w:val="18"/>
          <w:color w:val="auto"/>
        </w:rPr>
        <w:t xml:space="preserve"> </w:t>
      </w:r>
      <w:r>
        <w:rPr>
          <w:rFonts w:ascii="Arial" w:cs="Arial" w:eastAsia="Arial" w:hAnsi="Arial"/>
          <w:sz w:val="12"/>
          <w:szCs w:val="12"/>
          <w:color w:val="auto"/>
        </w:rPr>
        <w:t>PARTICULAR</w:t>
      </w:r>
      <w:r>
        <w:rPr>
          <w:rFonts w:ascii="Arial" w:cs="Arial" w:eastAsia="Arial" w:hAnsi="Arial"/>
          <w:sz w:val="17"/>
          <w:szCs w:val="17"/>
          <w:color w:val="auto"/>
        </w:rPr>
        <w:t>,</w:t>
      </w:r>
      <w:r>
        <w:rPr>
          <w:rFonts w:ascii="Arial" w:cs="Arial" w:eastAsia="Arial" w:hAnsi="Arial"/>
          <w:sz w:val="12"/>
          <w:szCs w:val="12"/>
          <w:color w:val="auto"/>
        </w:rPr>
        <w:t xml:space="preserve"> WITHOUT ALTERATION OR ENLARGEMENT OR ANY CHANGE WHATSOEVER</w:t>
      </w:r>
      <w:r>
        <w:rPr>
          <w:rFonts w:ascii="Arial" w:cs="Arial" w:eastAsia="Arial" w:hAnsi="Arial"/>
          <w:sz w:val="17"/>
          <w:szCs w:val="17"/>
          <w:color w:val="auto"/>
        </w:rPr>
        <w:t>,</w:t>
      </w:r>
      <w:r>
        <w:rPr>
          <w:rFonts w:ascii="Arial" w:cs="Arial" w:eastAsia="Arial" w:hAnsi="Arial"/>
          <w:sz w:val="12"/>
          <w:szCs w:val="12"/>
          <w:color w:val="auto"/>
        </w:rPr>
        <w:t xml:space="preserve"> AND MUST BE GUARANTEED BY A COMMERCIAL BANK OR TRUST COMPANY OR A MEMBER FIRM OF THE </w:t>
      </w:r>
      <w:r>
        <w:rPr>
          <w:rFonts w:ascii="Arial" w:cs="Arial" w:eastAsia="Arial" w:hAnsi="Arial"/>
          <w:sz w:val="17"/>
          <w:szCs w:val="17"/>
          <w:color w:val="auto"/>
        </w:rPr>
        <w:t>NYSE A</w:t>
      </w:r>
      <w:r>
        <w:rPr>
          <w:rFonts w:ascii="Arial" w:cs="Arial" w:eastAsia="Arial" w:hAnsi="Arial"/>
          <w:sz w:val="12"/>
          <w:szCs w:val="12"/>
          <w:color w:val="auto"/>
        </w:rPr>
        <w:t>MERICAN</w:t>
      </w:r>
      <w:r>
        <w:rPr>
          <w:rFonts w:ascii="Arial" w:cs="Arial" w:eastAsia="Arial" w:hAnsi="Arial"/>
          <w:sz w:val="17"/>
          <w:szCs w:val="17"/>
          <w:color w:val="auto"/>
        </w:rPr>
        <w:t>, N</w:t>
      </w:r>
      <w:r>
        <w:rPr>
          <w:rFonts w:ascii="Arial" w:cs="Arial" w:eastAsia="Arial" w:hAnsi="Arial"/>
          <w:sz w:val="12"/>
          <w:szCs w:val="12"/>
          <w:color w:val="auto"/>
        </w:rPr>
        <w:t>ASDAQ</w:t>
      </w:r>
      <w:r>
        <w:rPr>
          <w:rFonts w:ascii="Arial" w:cs="Arial" w:eastAsia="Arial" w:hAnsi="Arial"/>
          <w:sz w:val="17"/>
          <w:szCs w:val="17"/>
          <w:color w:val="auto"/>
        </w:rPr>
        <w:t>, N</w:t>
      </w:r>
      <w:r>
        <w:rPr>
          <w:rFonts w:ascii="Arial" w:cs="Arial" w:eastAsia="Arial" w:hAnsi="Arial"/>
          <w:sz w:val="12"/>
          <w:szCs w:val="12"/>
          <w:color w:val="auto"/>
        </w:rPr>
        <w:t xml:space="preserve">EW </w:t>
      </w:r>
      <w:r>
        <w:rPr>
          <w:rFonts w:ascii="Arial" w:cs="Arial" w:eastAsia="Arial" w:hAnsi="Arial"/>
          <w:sz w:val="17"/>
          <w:szCs w:val="17"/>
          <w:color w:val="auto"/>
        </w:rPr>
        <w:t>Y</w:t>
      </w:r>
      <w:r>
        <w:rPr>
          <w:rFonts w:ascii="Arial" w:cs="Arial" w:eastAsia="Arial" w:hAnsi="Arial"/>
          <w:sz w:val="12"/>
          <w:szCs w:val="12"/>
          <w:color w:val="auto"/>
        </w:rPr>
        <w:t xml:space="preserve">ORK </w:t>
      </w:r>
      <w:r>
        <w:rPr>
          <w:rFonts w:ascii="Arial" w:cs="Arial" w:eastAsia="Arial" w:hAnsi="Arial"/>
          <w:sz w:val="17"/>
          <w:szCs w:val="17"/>
          <w:color w:val="auto"/>
        </w:rPr>
        <w:t>S</w:t>
      </w:r>
      <w:r>
        <w:rPr>
          <w:rFonts w:ascii="Arial" w:cs="Arial" w:eastAsia="Arial" w:hAnsi="Arial"/>
          <w:sz w:val="12"/>
          <w:szCs w:val="12"/>
          <w:color w:val="auto"/>
        </w:rPr>
        <w:t xml:space="preserve">TOCK </w:t>
      </w:r>
      <w:r>
        <w:rPr>
          <w:rFonts w:ascii="Arial" w:cs="Arial" w:eastAsia="Arial" w:hAnsi="Arial"/>
          <w:sz w:val="17"/>
          <w:szCs w:val="17"/>
          <w:color w:val="auto"/>
        </w:rPr>
        <w:t>E</w:t>
      </w:r>
      <w:r>
        <w:rPr>
          <w:rFonts w:ascii="Arial" w:cs="Arial" w:eastAsia="Arial" w:hAnsi="Arial"/>
          <w:sz w:val="12"/>
          <w:szCs w:val="12"/>
          <w:color w:val="auto"/>
        </w:rPr>
        <w:t>XCHANGE</w:t>
      </w:r>
      <w:r>
        <w:rPr>
          <w:rFonts w:ascii="Arial" w:cs="Arial" w:eastAsia="Arial" w:hAnsi="Arial"/>
          <w:sz w:val="17"/>
          <w:szCs w:val="17"/>
          <w:color w:val="auto"/>
        </w:rPr>
        <w:t>, P</w:t>
      </w:r>
      <w:r>
        <w:rPr>
          <w:rFonts w:ascii="Arial" w:cs="Arial" w:eastAsia="Arial" w:hAnsi="Arial"/>
          <w:sz w:val="12"/>
          <w:szCs w:val="12"/>
          <w:color w:val="auto"/>
        </w:rPr>
        <w:t xml:space="preserve">ACIFIC </w:t>
      </w:r>
      <w:r>
        <w:rPr>
          <w:rFonts w:ascii="Arial" w:cs="Arial" w:eastAsia="Arial" w:hAnsi="Arial"/>
          <w:sz w:val="17"/>
          <w:szCs w:val="17"/>
          <w:color w:val="auto"/>
        </w:rPr>
        <w:t>S</w:t>
      </w:r>
      <w:r>
        <w:rPr>
          <w:rFonts w:ascii="Arial" w:cs="Arial" w:eastAsia="Arial" w:hAnsi="Arial"/>
          <w:sz w:val="12"/>
          <w:szCs w:val="12"/>
          <w:color w:val="auto"/>
        </w:rPr>
        <w:t xml:space="preserve">TOCK </w:t>
      </w:r>
      <w:r>
        <w:rPr>
          <w:rFonts w:ascii="Arial" w:cs="Arial" w:eastAsia="Arial" w:hAnsi="Arial"/>
          <w:sz w:val="17"/>
          <w:szCs w:val="17"/>
          <w:color w:val="auto"/>
        </w:rPr>
        <w:t>E</w:t>
      </w:r>
      <w:r>
        <w:rPr>
          <w:rFonts w:ascii="Arial" w:cs="Arial" w:eastAsia="Arial" w:hAnsi="Arial"/>
          <w:sz w:val="12"/>
          <w:szCs w:val="12"/>
          <w:color w:val="auto"/>
        </w:rPr>
        <w:t>XCHANGE</w:t>
      </w:r>
      <w:r>
        <w:rPr>
          <w:rFonts w:ascii="Arial" w:cs="Arial" w:eastAsia="Arial" w:hAnsi="Arial"/>
          <w:sz w:val="17"/>
          <w:szCs w:val="17"/>
          <w:color w:val="auto"/>
        </w:rPr>
        <w:t>,</w:t>
      </w:r>
      <w:r>
        <w:rPr>
          <w:rFonts w:ascii="Arial" w:cs="Arial" w:eastAsia="Arial" w:hAnsi="Arial"/>
          <w:sz w:val="12"/>
          <w:szCs w:val="12"/>
          <w:color w:val="auto"/>
        </w:rPr>
        <w:t xml:space="preserve"> OR </w:t>
      </w:r>
      <w:r>
        <w:rPr>
          <w:rFonts w:ascii="Arial" w:cs="Arial" w:eastAsia="Arial" w:hAnsi="Arial"/>
          <w:sz w:val="17"/>
          <w:szCs w:val="17"/>
          <w:color w:val="auto"/>
        </w:rPr>
        <w:t>C</w:t>
      </w:r>
      <w:r>
        <w:rPr>
          <w:rFonts w:ascii="Arial" w:cs="Arial" w:eastAsia="Arial" w:hAnsi="Arial"/>
          <w:sz w:val="12"/>
          <w:szCs w:val="12"/>
          <w:color w:val="auto"/>
        </w:rPr>
        <w:t xml:space="preserve">HICAGO </w:t>
      </w:r>
      <w:r>
        <w:rPr>
          <w:rFonts w:ascii="Arial" w:cs="Arial" w:eastAsia="Arial" w:hAnsi="Arial"/>
          <w:sz w:val="17"/>
          <w:szCs w:val="17"/>
          <w:color w:val="auto"/>
        </w:rPr>
        <w:t>S</w:t>
      </w:r>
      <w:r>
        <w:rPr>
          <w:rFonts w:ascii="Arial" w:cs="Arial" w:eastAsia="Arial" w:hAnsi="Arial"/>
          <w:sz w:val="12"/>
          <w:szCs w:val="12"/>
          <w:color w:val="auto"/>
        </w:rPr>
        <w:t xml:space="preserve">TOCK </w:t>
      </w:r>
      <w:r>
        <w:rPr>
          <w:rFonts w:ascii="Arial" w:cs="Arial" w:eastAsia="Arial" w:hAnsi="Arial"/>
          <w:sz w:val="17"/>
          <w:szCs w:val="17"/>
          <w:color w:val="auto"/>
        </w:rPr>
        <w:t>E</w:t>
      </w:r>
      <w:r>
        <w:rPr>
          <w:rFonts w:ascii="Arial" w:cs="Arial" w:eastAsia="Arial" w:hAnsi="Arial"/>
          <w:sz w:val="12"/>
          <w:szCs w:val="12"/>
          <w:color w:val="auto"/>
        </w:rPr>
        <w:t>XCHANGE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22"/>
          <w:szCs w:val="22"/>
          <w:b w:val="1"/>
          <w:bCs w:val="1"/>
          <w:color w:val="auto"/>
        </w:rPr>
        <w:t>Exhibit 4.4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AGREEMENT</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This agreement (“Agreement”) is made as of [●], 2021 between Burtech Acquisition Corp., a Delaware corporation, with offices 1300 Pennsylvania Ave NW, Suite 700, Washington, DC 20004 (“Company”), and Continental Stock Transfer &amp; Trust Company, a limited purpose trust company, with offices at 1 State Street, 30th Floor, New York, New York 10004, as warrant agent (the “Warrant Agent”, also referred to herein as the “Transfer Agent”).</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WHEREAS, the Company is engaged in a public offering (“Public Offering”) of up to 28,750,000 units (including up to 3,750,000 units subject to the Over-allotment Option (as defined below)) (“PublicUnits”), each Public Unit comprised of one share of Class A common stock of the Company, par value $0.0001 per share (“Common Stock”), and one half of one redeembable warrant, where each warrant entitles the holder to purchase one share of Common Stock at a price of $11.50 per share, subject to adjustment as described herein, and, in connection therewith, will issue and deliver up to 28,750,000 warrants (including up to 3,750,000 warrants subject to the Over-allotment Option) (the “Public Warrants”) to the public investors in connection with the Public Offering; and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“SEC”) a Registration Statement on Form S-1, File No. 333-258914 (“Registration Statement”), and a prospectus (the “Prospectus”) for the registration, under the Securities Act of 1933, as amended (“Act”), of the Public Units, the Public Warrants and the Common Stock included in the Public Units; and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WHEREAS, the Company has received binding commitments from Burtech LP, LLC (the “Sponsor”) to purchase up to an aggregate of 898,250 Units (including up to 93,750 units subject to the Over-allotment Option) (“Private Units”) which will include up to an aggregate of 898,250 warrants (including up to 93,750 warrants subject to the Over-allotment Option) (the “Private Warrants”) bearing the legend set forth in Exhibit B hereto, in a private placement transaction to occur simultaneously with the consummation of the Public Offering; and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WHEREAS, the Company may issue up to an additional 150,000 units (“Working Capital Units” and together with the Public Units and the Private Units, the “Units”) which will include up to an additional 150,000 warrants (“Working Capital Warrants”) in satisfaction of certain working capital loans the Sponsor or the Company’s officers, directors, initial stockholders (as defined in the Prospectus) or their affiliates may, but are not obligated to, make to the Company; and</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WHEREAS, following consummation of the Public Offering, the Company may issue additional warrants (“Post IPO Warrants” and together with the Public Warrants, Private Warrants and the Working Capital Warrants, the “Warrants”) in connection with, or following the consummation by the Company of, a Business Combination (defined below);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9" w:name="page260"/>
    <w:bookmarkEnd w:id="259"/>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20" w:firstLine="8"/>
        <w:spacing w:after="0" w:line="342" w:lineRule="auto"/>
        <w:tabs>
          <w:tab w:leader="none" w:pos="45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Appointment of Warrant Agent.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Form of Warrant</w:t>
      </w:r>
      <w:r>
        <w:rPr>
          <w:rFonts w:ascii="Arial" w:cs="Arial" w:eastAsia="Arial" w:hAnsi="Arial"/>
          <w:sz w:val="16"/>
          <w:szCs w:val="16"/>
          <w:color w:val="auto"/>
        </w:rPr>
        <w:t>. Each Warrant shall be issued in registered form only, shall be in substantially the form of Exhibit A hereto, the provisions of which are incorporated herein and shall be signed by, or bear the facsimile signature of, the Chairman of the Board of Directors or Chief Executive Officer and the Chief Financial Officer, Treasurer, Secretary or Assistant Secretary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Uncertificated Warrants</w:t>
      </w:r>
      <w:r>
        <w:rPr>
          <w:rFonts w:ascii="Arial" w:cs="Arial" w:eastAsia="Arial" w:hAnsi="Arial"/>
          <w:sz w:val="18"/>
          <w:szCs w:val="18"/>
          <w:color w:val="auto"/>
        </w:rPr>
        <w:t>. Notwithstanding anything herein to the contrary, any Warrant, or portion thereof, may be issued as part of, and be represented by, a Unit, and any Warrant may be issued in uncertificated or book-entry form through the Warrant Agent and/or the facilities of The Depository Trust Company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u w:val="single" w:color="auto"/>
          <w:color w:val="auto"/>
        </w:rPr>
        <w:t>Warrant Register</w:t>
      </w:r>
      <w:r>
        <w:rPr>
          <w:rFonts w:ascii="Arial" w:cs="Arial" w:eastAsia="Arial" w:hAnsi="Arial"/>
          <w:sz w:val="17"/>
          <w:szCs w:val="17"/>
          <w:color w:val="auto"/>
        </w:rPr>
        <w:t>. The Warrant Agent shall maintain books (“Warrant Register”)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jc w:val="both"/>
        <w:spacing w:after="0" w:line="25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then registered in the Warrant Register (“registered holder”)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securities comprising the Public Units will not be separately transferable until the 52nd day following the date of the Prospectus or, if such 52nd day is not on a day, other than Saturday, Sunday or federal holiday, on which banks in New York City are generally open for normal business (a “Business Day”), then on the immediately succeeding Business Day following such date, or earlier with the consent of EF Hutton, division of Benchmark Investments, LLC (the “Representative”), but in no event will the Representative allow separate trading of the securities comprising the Public Units until (i) the Company has filed a Current Report on Form 8-K which includes an audited balance sheet reflecting the receipt by the Company of the gross proceeds of the Public Offering including the proceeds received by the Company from the exercise of the underwriters’ over-allotment option in the Public Offering (the “Over-allotment Option”), if the Over-allotment Option is exercised prior to the filing of the Form 8-K, and</w:t>
      </w:r>
    </w:p>
    <w:p>
      <w:pPr>
        <w:spacing w:after="0" w:line="2" w:lineRule="exact"/>
        <w:rPr>
          <w:sz w:val="20"/>
          <w:szCs w:val="20"/>
          <w:color w:val="auto"/>
        </w:rPr>
      </w:pPr>
    </w:p>
    <w:p>
      <w:pPr>
        <w:ind w:firstLine="8"/>
        <w:spacing w:after="0" w:line="260" w:lineRule="auto"/>
        <w:tabs>
          <w:tab w:leader="none" w:pos="29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has issued a press release announcing when such separate trading shall begin (the “Detachment Date”); provided that no fractional Warrants will be issued upon separation of the Units and only whole Warrants will trade.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Warrant and Working Capital Warrant Attributes</w:t>
      </w:r>
      <w:r>
        <w:rPr>
          <w:rFonts w:ascii="Arial" w:cs="Arial" w:eastAsia="Arial" w:hAnsi="Arial"/>
          <w:sz w:val="18"/>
          <w:szCs w:val="18"/>
          <w:color w:val="auto"/>
        </w:rPr>
        <w:t>. The Private Warrants and Working Capital Warrants will be issued in the same form as the Public Warrants.</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Post IPO Warrants</w:t>
      </w:r>
      <w:r>
        <w:rPr>
          <w:rFonts w:ascii="Arial" w:cs="Arial" w:eastAsia="Arial" w:hAnsi="Arial"/>
          <w:sz w:val="18"/>
          <w:szCs w:val="18"/>
          <w:color w:val="auto"/>
        </w:rPr>
        <w:t>. The Post IPO Warrants, when and if issued, shall have the same terms and be in the same form as the Public Warrants except as may be agreed upon by the Company.</w:t>
      </w:r>
    </w:p>
    <w:p>
      <w:pPr>
        <w:spacing w:after="0" w:line="170"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Each whole Warrant shall, when countersigned by the Warrant Agent (except with respect to uncertificated Warrants), entitle the registered holder thereof, subject to the provisions of such Warrant and of this Agreement, to purchase from the Company the number of shares of Common Stock stated therein, at the price of $11.50 per share, subject to the adjustments provided in Section 4 hereof and in the last sentence of this Section 3.1. The term “Warrant Price” as used in this Agreement refers to the price per share at which the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1" w:name="page262"/>
    <w:bookmarkEnd w:id="261"/>
    <w:p>
      <w:pPr>
        <w:jc w:val="both"/>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commencing on the later of 30 days after the consummation by the Company of a merger, share exchange, asset acquisition, stock purchase, recapitalization, reorganization or other similar business combination with one or more businesses or entities (“Business Combination”) (as described more fully in the Registration Statement) or 12 months from the closing of the Public Offering, and terminating at 5:00 p.m., New York City time on the earlier to occur of (i) five years from the consummation of a Business Combination,</w:t>
      </w:r>
    </w:p>
    <w:p>
      <w:pPr>
        <w:spacing w:after="0" w:line="1" w:lineRule="exact"/>
        <w:rPr>
          <w:sz w:val="20"/>
          <w:szCs w:val="20"/>
          <w:color w:val="auto"/>
        </w:rPr>
      </w:pPr>
    </w:p>
    <w:p>
      <w:pPr>
        <w:jc w:val="both"/>
        <w:ind w:firstLine="8"/>
        <w:spacing w:after="0" w:line="269" w:lineRule="auto"/>
        <w:tabs>
          <w:tab w:leader="none" w:pos="27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Redemption Date as provided in Section 6.2 of this Agreement and (iii) the liquidation of the Company (“Expiration Date”).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provided, however, that the Company will provide at least twenty (20) days’ prior written notice of any such extension to registered holders and, provided further that any such extension shall be applied consistently to all of the Warrants.</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Payment</w:t>
      </w:r>
      <w:r>
        <w:rPr>
          <w:rFonts w:ascii="Arial" w:cs="Arial" w:eastAsia="Arial" w:hAnsi="Arial"/>
          <w:sz w:val="16"/>
          <w:szCs w:val="16"/>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full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61" w:lineRule="exact"/>
        <w:rPr>
          <w:sz w:val="20"/>
          <w:szCs w:val="20"/>
          <w:color w:val="auto"/>
        </w:rPr>
      </w:pPr>
    </w:p>
    <w:p>
      <w:pPr>
        <w:ind w:left="260" w:hanging="252"/>
        <w:spacing w:after="0"/>
        <w:tabs>
          <w:tab w:leader="none" w:pos="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lawful money of the United States, by good certified check or wire payable to the Warrant Agent; or</w:t>
      </w:r>
    </w:p>
    <w:p>
      <w:pPr>
        <w:spacing w:after="0" w:line="225" w:lineRule="exact"/>
        <w:rPr>
          <w:rFonts w:ascii="Arial" w:cs="Arial" w:eastAsia="Arial" w:hAnsi="Arial"/>
          <w:sz w:val="18"/>
          <w:szCs w:val="18"/>
          <w:color w:val="auto"/>
        </w:rPr>
      </w:pPr>
    </w:p>
    <w:p>
      <w:pPr>
        <w:jc w:val="both"/>
        <w:ind w:firstLine="8"/>
        <w:spacing w:after="0" w:line="291" w:lineRule="auto"/>
        <w:tabs>
          <w:tab w:leader="none" w:pos="26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the event of redemption pursuant to Section 6 hereof in which the Company’s management has elected to force all holders of Warrants to exercise such Warrants on a “cashless basis,” by surrendering the Warrants for that number of shares of Common Stock equal to the quotient obtained by dividing</w:t>
      </w:r>
    </w:p>
    <w:p>
      <w:pPr>
        <w:jc w:val="both"/>
        <w:ind w:firstLine="8"/>
        <w:spacing w:after="0" w:line="253" w:lineRule="auto"/>
        <w:tabs>
          <w:tab w:leader="none" w:pos="26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product of the number of shares of Common Stock underlying the Warrants, multiplied by the difference between the Warrant Price and the “Fair Market Value” (defined below) by (y) the Fair Market Value. Solely for purposes of this Section 3.3.1(b), the “Fair Market Value” shall mean the average reported last sale price of the Common Stock for the five (5) trading days ending on the third trading day prior to the date on which the notice of redemption is sent to holders of the Warrants pursuant to Section 6 hereof; or</w:t>
      </w:r>
    </w:p>
    <w:p>
      <w:pPr>
        <w:spacing w:after="0" w:line="192" w:lineRule="exact"/>
        <w:rPr>
          <w:rFonts w:ascii="Arial" w:cs="Arial" w:eastAsia="Arial" w:hAnsi="Arial"/>
          <w:sz w:val="18"/>
          <w:szCs w:val="18"/>
          <w:color w:val="auto"/>
        </w:rPr>
      </w:pPr>
    </w:p>
    <w:p>
      <w:pPr>
        <w:jc w:val="both"/>
        <w:ind w:firstLine="8"/>
        <w:spacing w:after="0" w:line="273" w:lineRule="auto"/>
        <w:tabs>
          <w:tab w:leader="none" w:pos="25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the event the registration statement required by Section 7.4 hereof is not effective and current within sixty (60) Business Days after the closing of a Business Combination, by surrendering such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3.3.1(c), the “Fair Market Value” shall mean the average reported last sale price of the Common Stock for the five (5) trading days ending on the trading day prior to the date of exercise.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jc w:val="both"/>
        <w:spacing w:after="0" w:line="287"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Shares of Common Stock</w:t>
      </w:r>
      <w:r>
        <w:rPr>
          <w:rFonts w:ascii="Arial" w:cs="Arial" w:eastAsia="Arial" w:hAnsi="Arial"/>
          <w:sz w:val="16"/>
          <w:szCs w:val="16"/>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of Common Stock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in which case the purchaser of a Unit containing such Public Warrants shall have paid the full purchase price for the Unit solely for the shares of Common Stock underlying such Unit. Warrants may not be exercised by, or securities issued to, any registered holder in any state in which such exercise would be unlawful.</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 entry position or certificate for shares of Common Stock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“Maximum Percentage”)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“Exchange Act”).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Transfer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3" w:name="page264"/>
    <w:bookmarkEnd w:id="263"/>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Dividends; Split Ups</w:t>
      </w:r>
      <w:r>
        <w:rPr>
          <w:rFonts w:ascii="Arial" w:cs="Arial" w:eastAsia="Arial" w:hAnsi="Arial"/>
          <w:sz w:val="18"/>
          <w:szCs w:val="18"/>
          <w:color w:val="auto"/>
        </w:rPr>
        <w:t>. If after the date hereof, and subject to the provisions of Section 4.6 below, the number of outstanding shares of Common Stock is increased by a stock dividend payable in shares of Common Stock, or by a split up of shares of Common Stock, or other similar event, then, on the effective date of such stock dividend, split up or similar event, the number of shares of Common Stock issuable on exercise of each Warrant shall be increased in proportion to such increase in outstanding shares of Common Stock.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are outstanding and unexpired, shall pay a dividend or make a distribution in cash, securities or other assets to the holders of the shares of Common Stock or other shares of the Company’s capital stock into which the Warrants are convertible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(b) any cash dividends or cash distributions which, when combined on a per share basis with all other cash dividends and cash distributions paid on the Common Stock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but only with respect to the amount of the aggregate cash dividends or cash distributions equal to or less than $0.50, (c) any payment to satisfy the conversion rights of the holders of the shares of Common Stock in connection with a proposed initial Business Combination or certain amendments to the Company’s Amended and Restated Certificate of Incorporation (as described in the Registration Statement) or (d) any payment in connection with the Company’s liquidation and the distribution of its assets upon its failure to consummate a Business Combination. Solely for purposes of illustration, if the Company, at a time while the Warrants are outstanding and unexpired, pays a cash dividend of $0.35 and previously paid an aggregate of $0.40 of cash dividends and cash distributions on the Common Stock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of the Company’s initial Business Combination,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4" w:name="page265"/>
    <w:bookmarkEnd w:id="264"/>
    <w:p>
      <w:pPr>
        <w:jc w:val="both"/>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In case of any reclassification or reorganization of the outstanding shares of Common Stock (other than a change covered by Section 4.1, 4.2 or 4.3 hereof or that solely affects the par value of the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Common Stock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5" w:name="page266"/>
    <w:bookmarkEnd w:id="265"/>
    <w:p>
      <w:pPr>
        <w:jc w:val="both"/>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Issuance in connection with a Business Combination</w:t>
      </w:r>
      <w:r>
        <w:rPr>
          <w:rFonts w:ascii="Arial" w:cs="Arial" w:eastAsia="Arial" w:hAnsi="Arial"/>
          <w:sz w:val="16"/>
          <w:szCs w:val="16"/>
          <w:color w:val="auto"/>
        </w:rPr>
        <w:t>. If, in connection with a Business Combination, the Company (a) issues additional shares of Common Stock or equity-linked securities at an issue price or effective issue price of less than $9.20 per share (with such issue price or effective issue price as determined by the Company’s Board of Directors, in good faith, and in the case of any such issuance to the Sponsor, the initial stockholders or their affiliates, without taking into account any shares of the Company’s Class B common stock, par value $0.0001 per share (the “Class B Common Stock”), issued prior to the Public Offering and held by the initial stockholders or their affiliates, as applicable, prior to such issuance) (the “Newly Issued Price”),</w:t>
      </w:r>
    </w:p>
    <w:p>
      <w:pPr>
        <w:spacing w:after="0" w:line="2" w:lineRule="exact"/>
        <w:rPr>
          <w:sz w:val="20"/>
          <w:szCs w:val="20"/>
          <w:color w:val="auto"/>
        </w:rPr>
      </w:pPr>
    </w:p>
    <w:p>
      <w:pPr>
        <w:jc w:val="both"/>
        <w:ind w:firstLine="8"/>
        <w:spacing w:after="0" w:line="252" w:lineRule="auto"/>
        <w:tabs>
          <w:tab w:leader="none" w:pos="26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aggregate gross proceeds from such issuances represent more than 60% of the total equity proceeds, and interest thereon, available for the funding of the Business Combination on the date of the consummation of such Business Combination (net of redemptions), and (c) the Market Value (as defined below) is below $9.20 per share, then the exercise price of the warrants will be adjusted (to the nearest cent) to be equal to 115% of the greater of (i) the Market Value or (ii) Newly Issued Price, and the Redemption Trigger Price (as defined below) will be adjusted (to the nearest cent) to be equal to 180% of the greater of (i) the Market Value or (ii) the Newly Issued Price. Solely for purposes of this Section 4.6, the “Market Value” shall mean the volume weighted average trading price of the Common Stock during the twenty (20) trading day period starting on the trading day prior to the date of the consummation of the Business Combination.</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4.4, 4.5, or 4.6,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Fractional Warrants or Shares</w:t>
      </w:r>
      <w:r>
        <w:rPr>
          <w:rFonts w:ascii="Arial" w:cs="Arial" w:eastAsia="Arial" w:hAnsi="Arial"/>
          <w:sz w:val="18"/>
          <w:szCs w:val="18"/>
          <w:color w:val="auto"/>
        </w:rPr>
        <w:t>. Notwithstanding any provision contained in this Agreement to the contrary, the Company shall not issue fractional shares upon exercise of Warrants. If, by reason of any adjustment made pursuant to this Section 4, the holder of any Warrant would be entitled, upon the exercise of such Warrant, to receive a fractional interest in a share, the Company shall, upon such exercise, round up to the nearest whole number of shares of Common Stock to be issued to the Warrant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jc w:val="both"/>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Other Events</w:t>
      </w:r>
      <w:r>
        <w:rPr>
          <w:rFonts w:ascii="Arial" w:cs="Arial" w:eastAsia="Arial" w:hAnsi="Arial"/>
          <w:sz w:val="16"/>
          <w:szCs w:val="16"/>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w:t>
      </w:r>
    </w:p>
    <w:p>
      <w:pPr>
        <w:jc w:val="both"/>
        <w:ind w:firstLine="8"/>
        <w:spacing w:after="0" w:line="253" w:lineRule="auto"/>
        <w:tabs>
          <w:tab w:leader="none" w:pos="29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No Adjustment</w:t>
      </w:r>
      <w:r>
        <w:rPr>
          <w:rFonts w:ascii="Arial" w:cs="Arial" w:eastAsia="Arial" w:hAnsi="Arial"/>
          <w:sz w:val="16"/>
          <w:szCs w:val="16"/>
          <w:color w:val="auto"/>
        </w:rPr>
        <w:t>. For the avoidance of doubt, no adjustment shall be made to the terms of the Warrants solely as a result of an adjustment to the conversion ratio of the Class B Common Stock into shares of Common Stock or the conversion of the shares of Class B Common Stock into shares of Common Stock, in each case, pursuant to the Company’s Amended and Restated Certificate of Incorporation, as further amended from time to time.</w:t>
      </w:r>
    </w:p>
    <w:p>
      <w:pPr>
        <w:spacing w:after="0" w:line="149"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7" w:name="page268"/>
    <w:bookmarkEnd w:id="267"/>
    <w:p>
      <w:pPr>
        <w:jc w:val="both"/>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or book-entry position for a fraction of a warrant, except as part of the Units.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Warrant Execution and Countersignature</w:t>
      </w:r>
      <w:r>
        <w:rPr>
          <w:rFonts w:ascii="Arial" w:cs="Arial" w:eastAsia="Arial" w:hAnsi="Arial"/>
          <w:sz w:val="18"/>
          <w:szCs w:val="18"/>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Private Warrants and Working Capital Warrants</w:t>
      </w:r>
      <w:r>
        <w:rPr>
          <w:rFonts w:ascii="Arial" w:cs="Arial" w:eastAsia="Arial" w:hAnsi="Arial"/>
          <w:sz w:val="17"/>
          <w:szCs w:val="17"/>
          <w:color w:val="auto"/>
        </w:rPr>
        <w:t>. The Warrant Agent shall not register any transfer of Private Warrants or Working Capital Warrants until after the consummation by the Company of an initial Business Combination, except for transfers (i) among the initial stockholders or to the Company’s or the initial stockholders’ members, officers, directors, consultants or their affiliates, (ii) to a holder’s stockholders or members upon the holder’s liquidation, in each case if the holder is an entity, (iii) by bona fide gift to a member of the holder’s immediate family or to a trust, the beneficiary of which is the holder or a member of the holder’s immediate family, in each case for estate planning purposes, (iv) by virtue of the laws of descent and distribution upon death, (v) pursuant to a qualified domestic relations order, (vi) to the Company for no value for cancellation in connection with the consummation of a Business Combination, (vii) in connection with the consummation of a Business Combination at prices no greater than the price at which the Warrants were originally purchased, (viii) in the event of the Company’s liquidation prior to its consummation of an initial Business Combination or (ix) in the event that, subsequent to the consummation of an initial Business Combination, the Company completes a liquidation, merger, capital stock exchange or other similar transaction which results in all of the Company’s stockholders having the right to exchange their Common Stock for cash, securities or other property, in each case (except for clauses (vi), (viii) or (ix) or with the Company’s prior written consent) on the condition that prior to such registration for transfer, the Warrant Agent shall be presented with written documentation pursuant to which each transferee (each, a “Permitted Transferee”) or the trustee or legal guardian for such Permitted Transferee agrees to be bound by the transfer restrictions contained in this Agreement and any other applicable agreement the transferor is bound by.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Transfers prior to Detachment</w:t>
      </w:r>
      <w:r>
        <w:rPr>
          <w:rFonts w:ascii="Arial" w:cs="Arial" w:eastAsia="Arial" w:hAnsi="Arial"/>
          <w:sz w:val="17"/>
          <w:szCs w:val="17"/>
          <w:color w:val="auto"/>
        </w:rPr>
        <w:t>.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Section 5.7 shall have no effect on any transfer of Warrants on or after the Detachment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Not less than all of the outstanding Warrants may be redeemed, at the option of the Company, at any time during the Exercise Period, at the office of the Warrant Agent, upon the notice referred to in Section 6.2, at the price of $0.01 per Warrant (“Redemption Price”), provided that the last sales price of the Common Stock equals or exceeds $18.00 per share (subject to adjustment in accordance with Section 4 hereof) (the “Redemption Trigger Price”),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or the Company has elected to require the exercise of the Warrants on a “cashless basis” pursuant to subsection 3.3.1(b); provided, however, that if and when the Public Warrants become redeemable by the Company, the Company may not exercise such redemption right if the issuance of shares of Common Stock upon exercise of the Public Warrants is not exempt from registration or qualification under applicable state blue sky laws or the Company is unable to effect such registration or qualification.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that are subject to redemption, the Company shall fix a date for the redemption (the “Redemption Date”).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Public Warrants may be exercised, for cash (or on a “cashless basis” in accordance with Section 3 of this Agreement) at any time after notice of redemption shall have been given by the Company pursuant to Section 6.2 hereof and prior to the Redemption Date. In the event the Company determines to require all holders of Public Warrants to exercise their Warrants on a “cashless basis” pursuant to Section 3.3.1(b), the notice of redemption will contain the information necessary to calculate the number of shares of Common Stock to be received upon exercise of the Warrants, including the “Fair Market Value” in such case. On and after the Redemption Date, the record holder of the Warrants shall have no further rights except to receive, upon surrender of the Warrants, the Redemption Price.</w:t>
      </w:r>
    </w:p>
    <w:p>
      <w:pPr>
        <w:spacing w:after="0" w:line="178"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both"/>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Shares of Common Stock.</w:t>
      </w:r>
      <w:r>
        <w:rPr>
          <w:rFonts w:ascii="Arial" w:cs="Arial" w:eastAsia="Arial" w:hAnsi="Arial"/>
          <w:sz w:val="17"/>
          <w:szCs w:val="17"/>
          <w:color w:val="auto"/>
        </w:rPr>
        <w:t xml:space="preserve"> The Company shall at all times reserve and keep available a number of its authorized but unissued shares of Common Stock that will be sufficient to permit the exercise in full of all outstanding Warrants issued pursuant to this Agreement.</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that as soon as practicable after the closing of its initial Business Combination, it shall use its best efforts to file with the SEC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SEC, and during any other period when the Company shall fail to have maintained an effective registration statement covering the shares of Common Stock issuable upon exercise of the Warrants, to exercise such Warrants on a “cashless basis” as determined in accordance with Section 3.3.1(c). The Company shall provide the Warrant Agent with an opinion of counsel for the Company (which shall be an outside law firm with securities law experience) stating that (i) the exercise of the Warrants on a cashless basis in accordance with this Section 7.4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For the avoidance of any doubt, unless and until all of the Warrants have been exercised on a cashless basis, the Company shall continue to be obligated to comply with its registration obligations under the first three sentences of this Section 7.4. The provisions of this Section 7.4 may not be modified, amended, or deleted without the prior written consent of the Representative.</w:t>
      </w:r>
    </w:p>
    <w:p>
      <w:pPr>
        <w:spacing w:after="0" w:line="174"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spacing w:after="0"/>
        <w:tabs>
          <w:tab w:leader="none" w:pos="5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8.2.2. </w:t>
      </w:r>
      <w:r>
        <w:rPr>
          <w:rFonts w:ascii="Arial" w:cs="Arial" w:eastAsia="Arial" w:hAnsi="Arial"/>
          <w:sz w:val="17"/>
          <w:szCs w:val="17"/>
          <w:u w:val="single" w:color="auto"/>
          <w:color w:val="auto"/>
        </w:rPr>
        <w:t>Notice of Successor Warrant Agent</w:t>
      </w:r>
      <w:r>
        <w:rPr>
          <w:rFonts w:ascii="Arial" w:cs="Arial" w:eastAsia="Arial" w:hAnsi="Arial"/>
          <w:sz w:val="17"/>
          <w:szCs w:val="17"/>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Fees and Expenses of Warrant Agent</w:t>
      </w:r>
      <w:r>
        <w:rPr>
          <w:rFonts w:ascii="Arial" w:cs="Arial" w:eastAsia="Arial" w:hAnsi="Arial"/>
          <w:sz w:val="15"/>
          <w:szCs w:val="15"/>
          <w:color w:val="auto"/>
        </w:rPr>
        <w: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8.3.1. </w:t>
      </w:r>
      <w:r>
        <w:rPr>
          <w:rFonts w:ascii="Arial" w:cs="Arial" w:eastAsia="Arial" w:hAnsi="Arial"/>
          <w:sz w:val="16"/>
          <w:szCs w:val="16"/>
          <w:u w:val="single" w:color="auto"/>
          <w:color w:val="auto"/>
        </w:rPr>
        <w:t>Remuneration</w:t>
      </w:r>
      <w:r>
        <w:rPr>
          <w:rFonts w:ascii="Arial" w:cs="Arial" w:eastAsia="Arial" w:hAnsi="Arial"/>
          <w:sz w:val="16"/>
          <w:szCs w:val="16"/>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spacing w:after="0"/>
        <w:tabs>
          <w:tab w:leader="none" w:pos="5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Chief Operating Officer, President, Secretary or Chairman of the Board of Directors of the Company and delivered to the Warrant Agent. The Warrant Agent may rely upon such statement for any action taken or suffered in good faith by it pursuant to the provisions of this Agreement.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fraud, gross negligence, willful misconduct, or bad faith.</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Warrants.</w:t>
      </w:r>
    </w:p>
    <w:p>
      <w:pPr>
        <w:spacing w:after="0" w:line="187"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jc w:val="both"/>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 Shahal Kahn, Chief Executive Officer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in each case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 Alex Weniger-Araujo,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Lucosky Brookman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 Wood Avenue South; 5th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Woodbridge, New Jersey 08830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Joseph M. Lucosky, Esq.</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 and Exclusive Forum</w:t>
      </w:r>
      <w:r>
        <w:rPr>
          <w:rFonts w:ascii="Arial" w:cs="Arial" w:eastAsia="Arial" w:hAnsi="Arial"/>
          <w:sz w:val="16"/>
          <w:szCs w:val="16"/>
          <w:color w:val="auto"/>
        </w:rPr>
        <w:t>. This Agreement shall be governed by and construed in accordance with the law of the State of New York. Subject to applicable law, the Company hereby agrees that any action, proceeding or claim against it arising out of or relating in any way to this Agreement, including under the Act, shall be brought and enforced in the courts of the State of New York, sitting in the City and County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jc w:val="both"/>
        <w:spacing w:after="0" w:line="29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Agreement</w:t>
      </w:r>
      <w:r>
        <w:rPr>
          <w:rFonts w:ascii="Arial" w:cs="Arial" w:eastAsia="Arial" w:hAnsi="Arial"/>
          <w:sz w:val="16"/>
          <w:szCs w:val="16"/>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 Representatives with respect to Sections 7.4, 9.4, 9.8 hereof) and their successors and assigns and of the registered holders of the Warrants.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curing, correcting or supplementing any defective provision contained herein, or (ii)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at least 50% of the then outstanding Public Warrants. Notwithstanding the foregoing, the Company may lower the Warrant Price or extend the duration of the Exercise Period pursuant to Sections 3.1 and 3.2, respectively, without the consent of the registered holders. The provisions of this Section 9.8 may not be modified, amended or deleted without the prior written consent of the Representatives.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Warrant Agent acknowledges and agrees that it shall not make any claims or proceed against the trust account established by the Company in connection with the Public Offering (as more fully described in the Registration Statement) (“Trust Account”), including by way of set-off, and shall not be entitled to any funds in the Trust Account under any circumstance. In the event that the Warrant Agent has a claim against the Company under this Agreement, the Warrant Agent will pursue such claim solely against the Company and not against the property held in the Trust Account.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jc w:val="both"/>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 Legend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spacing w:after="0"/>
        <w:rPr>
          <w:sz w:val="20"/>
          <w:szCs w:val="20"/>
          <w:color w:val="auto"/>
        </w:rPr>
      </w:pPr>
      <w:r>
        <w:rPr>
          <w:rFonts w:ascii="Arial" w:cs="Arial" w:eastAsia="Arial" w:hAnsi="Arial"/>
          <w:sz w:val="16"/>
          <w:szCs w:val="16"/>
          <w:color w:val="auto"/>
        </w:rPr>
        <w:t>IN WITNESS WHEREOF, this Agreement has been duly executed by the parties hereto as of the day and year first above written.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w:t>
      </w:r>
    </w:p>
    <w:p>
      <w:pPr>
        <w:spacing w:after="0" w:line="23" w:lineRule="exact"/>
        <w:rPr>
          <w:sz w:val="20"/>
          <w:szCs w:val="20"/>
          <w:color w:val="auto"/>
        </w:rPr>
      </w:pPr>
    </w:p>
    <w:p>
      <w:pPr>
        <w:ind w:left="460" w:right="6679" w:firstLine="2"/>
        <w:spacing w:after="0" w:line="492" w:lineRule="auto"/>
        <w:tabs>
          <w:tab w:leader="none" w:pos="6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TRUST COMPANY, as Warrant Agent By:</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Title:</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Page to Warrant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WARRANT CERTIFICATE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908685" cy="9086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345 Park Avenue</w:t>
      </w:r>
    </w:p>
    <w:p>
      <w:pPr>
        <w:spacing w:after="0" w:line="23" w:lineRule="exact"/>
        <w:rPr>
          <w:sz w:val="20"/>
          <w:szCs w:val="20"/>
          <w:color w:val="auto"/>
        </w:rPr>
      </w:pPr>
    </w:p>
    <w:p>
      <w:pPr>
        <w:ind w:left="4620"/>
        <w:spacing w:after="0"/>
        <w:tabs>
          <w:tab w:leader="none" w:pos="7860" w:val="left"/>
          <w:tab w:leader="none" w:pos="8980" w:val="left"/>
        </w:tabs>
        <w:rPr>
          <w:sz w:val="20"/>
          <w:szCs w:val="20"/>
          <w:color w:val="auto"/>
        </w:rPr>
      </w:pPr>
      <w:r>
        <w:rPr>
          <w:rFonts w:ascii="Arial" w:cs="Arial" w:eastAsia="Arial" w:hAnsi="Arial"/>
          <w:sz w:val="18"/>
          <w:szCs w:val="18"/>
          <w:color w:val="auto"/>
        </w:rPr>
        <w:t>New York, NY 10154-1895</w:t>
      </w:r>
      <w:r>
        <w:rPr>
          <w:sz w:val="20"/>
          <w:szCs w:val="20"/>
          <w:color w:val="auto"/>
        </w:rPr>
        <w:tab/>
      </w:r>
      <w:r>
        <w:rPr>
          <w:rFonts w:ascii="Arial" w:cs="Arial" w:eastAsia="Arial" w:hAnsi="Arial"/>
          <w:sz w:val="18"/>
          <w:szCs w:val="18"/>
          <w:b w:val="1"/>
          <w:bCs w:val="1"/>
          <w:color w:val="auto"/>
        </w:rPr>
        <w:t>Main</w:t>
      </w:r>
      <w:r>
        <w:rPr>
          <w:sz w:val="20"/>
          <w:szCs w:val="20"/>
          <w:color w:val="auto"/>
        </w:rPr>
        <w:tab/>
      </w:r>
      <w:r>
        <w:rPr>
          <w:rFonts w:ascii="Arial" w:cs="Arial" w:eastAsia="Arial" w:hAnsi="Arial"/>
          <w:sz w:val="16"/>
          <w:szCs w:val="16"/>
          <w:color w:val="auto"/>
        </w:rPr>
        <w:t>212.407.4000</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b w:val="1"/>
          <w:bCs w:val="1"/>
          <w:color w:val="auto"/>
        </w:rPr>
        <w:t>Fax</w:t>
      </w:r>
      <w:r>
        <w:rPr>
          <w:sz w:val="20"/>
          <w:szCs w:val="20"/>
          <w:color w:val="auto"/>
        </w:rPr>
        <w:tab/>
      </w:r>
      <w:r>
        <w:rPr>
          <w:rFonts w:ascii="Arial" w:cs="Arial" w:eastAsia="Arial" w:hAnsi="Arial"/>
          <w:sz w:val="18"/>
          <w:szCs w:val="18"/>
          <w:color w:val="auto"/>
        </w:rPr>
        <w:t>212.407.4990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Avenue,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 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We have acted as counsel to BurTech Acquisition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its filing, with the Securities and Exchange Commission, of the Registration Statement on Form S-1, as amended prior to being declared effective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The Registration Statement relates to an underwritten public offering and sale of (i) 25,000,000 units (the “</w:t>
      </w:r>
      <w:r>
        <w:rPr>
          <w:rFonts w:ascii="Arial" w:cs="Arial" w:eastAsia="Arial" w:hAnsi="Arial"/>
          <w:sz w:val="17"/>
          <w:szCs w:val="17"/>
          <w:b w:val="1"/>
          <w:bCs w:val="1"/>
          <w:color w:val="auto"/>
        </w:rPr>
        <w:t>Units</w:t>
      </w:r>
      <w:r>
        <w:rPr>
          <w:rFonts w:ascii="Arial" w:cs="Arial" w:eastAsia="Arial" w:hAnsi="Arial"/>
          <w:sz w:val="17"/>
          <w:szCs w:val="17"/>
          <w:color w:val="auto"/>
        </w:rPr>
        <w:t>”), each Unit consisting of one share (each, a “</w:t>
      </w:r>
      <w:r>
        <w:rPr>
          <w:rFonts w:ascii="Arial" w:cs="Arial" w:eastAsia="Arial" w:hAnsi="Arial"/>
          <w:sz w:val="17"/>
          <w:szCs w:val="17"/>
          <w:b w:val="1"/>
          <w:bCs w:val="1"/>
          <w:color w:val="auto"/>
        </w:rPr>
        <w:t>Share</w:t>
      </w:r>
      <w:r>
        <w:rPr>
          <w:rFonts w:ascii="Arial" w:cs="Arial" w:eastAsia="Arial" w:hAnsi="Arial"/>
          <w:sz w:val="17"/>
          <w:szCs w:val="17"/>
          <w:color w:val="auto"/>
        </w:rPr>
        <w:t>”) of the Company’s Class A common stock, par value $0.0001 per share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and one warrant (each, a “</w:t>
      </w:r>
      <w:r>
        <w:rPr>
          <w:rFonts w:ascii="Arial" w:cs="Arial" w:eastAsia="Arial" w:hAnsi="Arial"/>
          <w:sz w:val="17"/>
          <w:szCs w:val="17"/>
          <w:b w:val="1"/>
          <w:bCs w:val="1"/>
          <w:color w:val="auto"/>
        </w:rPr>
        <w:t>Warrant</w:t>
      </w:r>
      <w:r>
        <w:rPr>
          <w:rFonts w:ascii="Arial" w:cs="Arial" w:eastAsia="Arial" w:hAnsi="Arial"/>
          <w:sz w:val="17"/>
          <w:szCs w:val="17"/>
          <w:color w:val="auto"/>
        </w:rPr>
        <w:t>” and, collectively, the “</w:t>
      </w:r>
      <w:r>
        <w:rPr>
          <w:rFonts w:ascii="Arial" w:cs="Arial" w:eastAsia="Arial" w:hAnsi="Arial"/>
          <w:sz w:val="17"/>
          <w:szCs w:val="17"/>
          <w:b w:val="1"/>
          <w:bCs w:val="1"/>
          <w:color w:val="auto"/>
        </w:rPr>
        <w:t>Public Warrants</w:t>
      </w:r>
      <w:r>
        <w:rPr>
          <w:rFonts w:ascii="Arial" w:cs="Arial" w:eastAsia="Arial" w:hAnsi="Arial"/>
          <w:sz w:val="17"/>
          <w:szCs w:val="17"/>
          <w:color w:val="auto"/>
        </w:rPr>
        <w:t>”), with each whole warrant entitling the holder thereof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one share of the Company’s Common Stock (each a “</w:t>
      </w:r>
      <w:r>
        <w:rPr>
          <w:rFonts w:ascii="Arial" w:cs="Arial" w:eastAsia="Arial" w:hAnsi="Arial"/>
          <w:sz w:val="17"/>
          <w:szCs w:val="17"/>
          <w:b w:val="1"/>
          <w:bCs w:val="1"/>
          <w:color w:val="auto"/>
        </w:rPr>
        <w:t>Public Warrant Share</w:t>
      </w:r>
      <w:r>
        <w:rPr>
          <w:rFonts w:ascii="Arial" w:cs="Arial" w:eastAsia="Arial" w:hAnsi="Arial"/>
          <w:sz w:val="17"/>
          <w:szCs w:val="17"/>
          <w:color w:val="auto"/>
        </w:rPr>
        <w:t>”), and (ii) up to 3,750,000 Units (the “</w:t>
      </w:r>
      <w:r>
        <w:rPr>
          <w:rFonts w:ascii="Arial" w:cs="Arial" w:eastAsia="Arial" w:hAnsi="Arial"/>
          <w:sz w:val="17"/>
          <w:szCs w:val="17"/>
          <w:b w:val="1"/>
          <w:bCs w:val="1"/>
          <w:color w:val="auto"/>
        </w:rPr>
        <w:t>Over-Allotment Units</w:t>
      </w:r>
      <w:r>
        <w:rPr>
          <w:rFonts w:ascii="Arial" w:cs="Arial" w:eastAsia="Arial" w:hAnsi="Arial"/>
          <w:sz w:val="17"/>
          <w:szCs w:val="17"/>
          <w:color w:val="auto"/>
        </w:rPr>
        <w:t>”) for which the underwriters have been granted an over-allotment option.</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Public Warrants will be issued and sold pursuant to the terms of the Warrant Agreement, filed as an exhibit to the Registration Statement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this opinion letter, we have examined the Registration Statement and originals, or copies certified or otherwise identified to our satisfaction, of the Company’s Certificate of Incorporation and Bylaws, the Warrant Agreement, and such other documents, records and instruments as we have deemed appropriate for purposes of the opinion set forth herein. We have, to the extent deemed appropriate, relied upon certain representations of certain officers of the Company, as to questions of fact material to this opinion.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upon the foregoing, we are of the opinion that (i) the Units have been duly authorized by the Company and, when issued and sold by the Company and delivered by the Company against receipt of the purchase price therefor, in the manner contemplated by the Registration Statement, will be valid and legally binding obligations of the Company; (ii) the Shares have been duly authorized by the Company and, when issued and sold by the Company and delivered by the Company against receipt of the purchase price therefor, in the manner contemplated by the Registration Statement, will be validly issued, fully paid and nonassessable; (iii) the Public Warrants have been duly authorized by the Company and, provided that the Public Warrants have been duly executed and delivered by the Company and duly delivered to the purchasers thereof against payment therefor, then the Public Warrants, when issued and sold in the manner contemplated by the Registration Statement, will be valid and legally binding obligations of the Company, enforceable against the Company in accordance with their terms; and (iv) the Public Warrant Shares have been duly authorized and, when issued and delivered by the Company against payment therefor, upon exercise of the Public Warrants in accordance with the terms therein and the terms of the Warrant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9" w:name="page280"/>
    <w:bookmarkEnd w:id="279"/>
    <w:p>
      <w:pPr>
        <w:jc w:val="right"/>
        <w:ind w:right="20"/>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November 19, 2021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opining solely on (i) all applicable statutory provisions of Delaware corporate law, including the rules and regulations underlying those provisions, all applicable provisions of the Constitution of the State of Delaware and all applicable judicial and regulatory determinations, and (ii) the laws of the State of New York.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foregoing opinions are qualified to the extent that (a) enforceability may be limited by and be subject to general principles of equity, regardless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Loeb &amp; Loeb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ind w:left="1012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letter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entered into by and among BurTech Acquisition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EF Hutton, division of Benchmark Investments, LLC., as representative (the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of the several underwriters (each, an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relating to an underwritten initial public offering (the “</w:t>
      </w:r>
      <w:r>
        <w:rPr>
          <w:rFonts w:ascii="Arial" w:cs="Arial" w:eastAsia="Arial" w:hAnsi="Arial"/>
          <w:sz w:val="16"/>
          <w:szCs w:val="16"/>
          <w:b w:val="1"/>
          <w:bCs w:val="1"/>
          <w:i w:val="1"/>
          <w:iCs w:val="1"/>
          <w:color w:val="auto"/>
        </w:rPr>
        <w:t>Public Offering</w:t>
      </w:r>
      <w:r>
        <w:rPr>
          <w:rFonts w:ascii="Arial" w:cs="Arial" w:eastAsia="Arial" w:hAnsi="Arial"/>
          <w:sz w:val="16"/>
          <w:szCs w:val="16"/>
          <w:color w:val="auto"/>
        </w:rPr>
        <w:t>”), of 25,000,000 of the Company’s units (including up to 3,750,000 units that may be purchased to cover over-allotments, if any)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each comprised of one share of the Company’s Class A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one redeemable warrant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Each Warrant entitles the holder thereof to purchase one share of Common Stock at a price of $11.50 per share, subject to adjustment. The Units will be sold in the Public Offering pursuant to a registration statement on Form S-1 (File No. 333-258914) and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filed by the Company with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and the Company has applied to have the Units listed on The Nasdaq Global Market. Certain capitalized terms used herein are defined in paragraph 11 hereof.</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Public Offering and for other good and valuable consideration, the receipt and sufficiency of which are hereby acknowledged, each of BurTech LP,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and the undersigned individuals, each of whom is a member of the Company’s board of directors and/or management team or an advisor of the Company (each, an “</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hereby agrees with the Company as follows:</w:t>
      </w:r>
    </w:p>
    <w:p>
      <w:pPr>
        <w:spacing w:after="0" w:line="187" w:lineRule="exact"/>
        <w:rPr>
          <w:sz w:val="20"/>
          <w:szCs w:val="20"/>
          <w:color w:val="auto"/>
        </w:rPr>
      </w:pPr>
    </w:p>
    <w:p>
      <w:pPr>
        <w:jc w:val="both"/>
        <w:ind w:firstLine="656"/>
        <w:spacing w:after="0" w:line="255" w:lineRule="auto"/>
        <w:tabs>
          <w:tab w:leader="none" w:pos="8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Sponsor, each Insider and the Representative (solely with respect to item (ii) of this paragraph 1) agrees that if the Company seeks stockholder approval of a proposed Business Combination, then in connection with such proposed Business Combination, it, he or she shall (i) vote any shares of Capital Stock owned by it, him or her in favor of any proposed Business Combination and (ii) not redeem any shares of Common Stock owned by it, him or her in connection with such stockholder approval. If the Company engages in a tender offer in connection with any proposed Business Combination, the Sponsor and each Insider agrees that it, he or she will not seek to sell or tender any shares of Capital Stock owned by it, him or her to the Company in connection with such tender offer.</w:t>
      </w:r>
    </w:p>
    <w:p>
      <w:pPr>
        <w:spacing w:after="0" w:line="192" w:lineRule="exact"/>
        <w:rPr>
          <w:rFonts w:ascii="Arial" w:cs="Arial" w:eastAsia="Arial" w:hAnsi="Arial"/>
          <w:sz w:val="18"/>
          <w:szCs w:val="18"/>
          <w:color w:val="auto"/>
        </w:rPr>
      </w:pPr>
    </w:p>
    <w:p>
      <w:pPr>
        <w:jc w:val="both"/>
        <w:ind w:firstLine="656"/>
        <w:spacing w:after="0" w:line="285" w:lineRule="auto"/>
        <w:tabs>
          <w:tab w:leader="none" w:pos="83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12 months from the closing of the Public Offering, or by such later date as may be extended in accordance with the Company’s amended and restated certificate of incorporation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by a deposit of proceeds of additional loans by the Sponsor into the Trust Account or such later period approved by the Company’s stockholders in accordance with the Charter, the Sponsor and each Insider shall take all reasonable steps to cause the Company to (i) cease all operations except for the purpose of winding up, (ii) as promptly as reasonably possible but not more than 10 business days thereafter, subject to lawfully available funds therefor, redeem 100% of the shares of Common Stock sold as part of the Units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 at a per-share price, payable in cash, equal to the aggregate amount then on deposit in the Trust Account (as defined below), including interest earned on the funds held in the Trust Account and not previously released to the Company to pay its taxes (less up to $100,000 of interest to pay dissolution expenses), divided by the number of then outstanding Offering Shares, which redemption will completely extinguish the rights of all holders of Offering Shares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to the Company’s obligations under Delaware law to provide for claims of creditors and the requirements of other applicable law. The Sponsor and each Insider agrees not to propose any amendment to the Charter to modify (i) the substance or timing of the ability of holders of Offering Shares to seek redemption in connection with the Company’s initial Business Combination or amendments to the Charter prior thereto or (ii) (A) the Company’s obligation to redeem 100% of the Offering Shares if the Company does not complete its initial Business Combination within such time set forth in the Charter or (B) with respect to any other provision relating to stockholders' rights or pre-initial Business Combination activity, unless the Company provides the holders of the Offering Shares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1" w:name="page282"/>
    <w:bookmarkEnd w:id="281"/>
    <w:p>
      <w:pPr>
        <w:jc w:val="both"/>
        <w:ind w:firstLine="648"/>
        <w:spacing w:after="0" w:line="284" w:lineRule="auto"/>
        <w:rPr>
          <w:sz w:val="20"/>
          <w:szCs w:val="20"/>
          <w:color w:val="auto"/>
        </w:rPr>
      </w:pPr>
      <w:r>
        <w:rPr>
          <w:rFonts w:ascii="Arial" w:cs="Arial" w:eastAsia="Arial" w:hAnsi="Arial"/>
          <w:sz w:val="16"/>
          <w:szCs w:val="16"/>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or Private Placement Shares held by it, him or her. The Sponsor and each Insider hereby further waives, with respect to any shares of Common Stock held by it, him or her, if any, whether acquired now or hereafter, any redemption rights it, he or she may have in connection with the consummation of a Business Combination or amendments to the Charter prior thereto, including, without limitation, any such rights available in the context of a stockholder vote to approve such Business Combination or a stockholder vote to approve an amendment to the Charter to modify (i) (A) the substance or timing of the Company’s obligation to redeem 100% of the Offering Shares if the Company has not consummated a Business Combination within the time period set forth in the Charter or</w:t>
      </w:r>
    </w:p>
    <w:p>
      <w:pPr>
        <w:spacing w:after="0" w:line="2" w:lineRule="exact"/>
        <w:rPr>
          <w:sz w:val="20"/>
          <w:szCs w:val="20"/>
          <w:color w:val="auto"/>
        </w:rPr>
      </w:pPr>
    </w:p>
    <w:p>
      <w:pPr>
        <w:jc w:val="both"/>
        <w:ind w:firstLine="8"/>
        <w:spacing w:after="0" w:line="253" w:lineRule="auto"/>
        <w:tabs>
          <w:tab w:leader="none" w:pos="3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other provisions relating to stockholders’ rights or pre-initial Business Combination activity or (ii) in the context of a tender offer made by the Company to purchase shares of Common Stock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192" w:lineRule="exact"/>
        <w:rPr>
          <w:rFonts w:ascii="Arial" w:cs="Arial" w:eastAsia="Arial" w:hAnsi="Arial"/>
          <w:sz w:val="18"/>
          <w:szCs w:val="18"/>
          <w:color w:val="auto"/>
        </w:rPr>
      </w:pPr>
    </w:p>
    <w:p>
      <w:pPr>
        <w:jc w:val="both"/>
        <w:ind w:firstLine="656"/>
        <w:spacing w:after="0" w:line="268" w:lineRule="auto"/>
        <w:tabs>
          <w:tab w:leader="none" w:pos="831"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the rules and regulations of the Commission promulgated thereunder, with respect to any Units, shares of Capital Stock, Warrants or any securities convertible into, or exercisable, or exchangeable for, shares of Capital Stock owned by it, him or her, (ii) enter into any swap or other arrangement that transfers to another, in whole or in part, any of the economic consequences of ownership of any Units, shares of Capital Stock, Warrants or any securities convertible into, or exercisable, or exchangeable for, shares of Capital Stock owned by it, him or her, whether any such transaction is to be settled by delivery of such securities, in cash or otherwise, or (iii) publicly announce any intention to effect any transaction specified in clause (i) or (ii).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release or waiver granted shall only be effective two business days after the publication date of such press release.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181" w:lineRule="exact"/>
        <w:rPr>
          <w:rFonts w:ascii="Arial" w:cs="Arial" w:eastAsia="Arial" w:hAnsi="Arial"/>
          <w:sz w:val="17"/>
          <w:szCs w:val="17"/>
          <w:color w:val="auto"/>
        </w:rPr>
      </w:pPr>
    </w:p>
    <w:p>
      <w:pPr>
        <w:jc w:val="both"/>
        <w:ind w:firstLine="656"/>
        <w:spacing w:after="0" w:line="286" w:lineRule="auto"/>
        <w:tabs>
          <w:tab w:leader="none" w:pos="83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or (ii) any prospective target business with which the Company has entered into a written letter of intent, confidentiality or other similar agreement or Business Combination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provided, however, that such indemnification of the Company by the Indemnitor shall (x) apply only to the extent necessary to ensure that such claims by a third party or a Target do not reduce the amount of funds in the Trust Account to below the lesser of (i) $10.15 per Offering Share and (ii) the actual amount per Offering Share held in the Trust Account as of the date of the liquidation of the Trust Account, if less than $10.15 per Offering Share is then held in the Trust Account due to reductions in the value of the trust assets, less interest earned on the Trust Account which may be withdrawn to pay taxes, (y) not apply to any claims by a third party or a Target which executed a waiver of any and all rights to the monies held in the Trust Account (whether or not such waiver is enforceable) and (z)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both"/>
        <w:ind w:firstLine="656"/>
        <w:spacing w:after="0" w:line="272" w:lineRule="auto"/>
        <w:tabs>
          <w:tab w:leader="none" w:pos="832"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To the extent that the Underwriters do not exercise their over-allotment option to purchase up to an additional 3,750,000 Units in full within 45 days from the date of the Prospectus (and as further described in the Prospectus), the Sponsor agrees to forfeit, at no cost, a number of Founder Shares in the aggregate equal to 1,237,500 shares of Class B common stock multiplied by a fraction, (i) the numerator of which is 3,750,000 minus the number of Units purchased by the Underwriters upon the exercise of their over-allotment option, and (ii) the denominator of which is 3,750,000. The forfeiture will be adjusted to the extent that the over-allotment option is not exercised in full by the Underwriters so that the Sponsor will be required to forfeit only that number of Founder Shares as is necessary so that the Initial Stockholders will own an aggregate of 25.0% of the Company’s issued and outstanding shares of Capital Stock after the Public Offering (not including the Private Placement Shares).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83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Sponsor and each Insider hereby agrees and acknowledges that: (i) the Underwriters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86" w:lineRule="exact"/>
        <w:rPr>
          <w:rFonts w:ascii="Arial" w:cs="Arial" w:eastAsia="Arial" w:hAnsi="Arial"/>
          <w:sz w:val="18"/>
          <w:szCs w:val="18"/>
          <w:color w:val="auto"/>
        </w:rPr>
      </w:pPr>
    </w:p>
    <w:p>
      <w:pPr>
        <w:jc w:val="both"/>
        <w:ind w:firstLine="656"/>
        <w:spacing w:after="0" w:line="272" w:lineRule="auto"/>
        <w:tabs>
          <w:tab w:leader="none" w:pos="84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 The Sponsor and each Insider agree that it, he or she shall not Transfer any Founder Shares (or shares of Common Stock issuable upon conversion thereof) until the earlier to occur of (A) six months after the completion of the Company’s initial Business Combination and (B) subsequent to the Company’s initial Business Combination, (x) if the reported last sale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 (the “</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w:t>
      </w:r>
    </w:p>
    <w:p>
      <w:pPr>
        <w:spacing w:after="0" w:line="177" w:lineRule="exact"/>
        <w:rPr>
          <w:sz w:val="20"/>
          <w:szCs w:val="20"/>
          <w:color w:val="auto"/>
        </w:rPr>
      </w:pPr>
    </w:p>
    <w:p>
      <w:pPr>
        <w:jc w:val="both"/>
        <w:ind w:firstLine="656"/>
        <w:spacing w:after="0" w:line="259" w:lineRule="auto"/>
        <w:tabs>
          <w:tab w:leader="none" w:pos="90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Sponsor and each Insider agrees that it, he or she shall not Transfer any Private Placement Units, the Private Placement Shares, the Private Placement Warrants or shares of Common Stock issued or issuable upon the exercise of the Private Placement Warrants, until 30 days after the completion of the initial Business Combination (the “</w:t>
      </w:r>
      <w:r>
        <w:rPr>
          <w:rFonts w:ascii="Arial" w:cs="Arial" w:eastAsia="Arial" w:hAnsi="Arial"/>
          <w:sz w:val="18"/>
          <w:szCs w:val="18"/>
          <w:b w:val="1"/>
          <w:bCs w:val="1"/>
          <w:i w:val="1"/>
          <w:iCs w:val="1"/>
          <w:color w:val="auto"/>
        </w:rPr>
        <w:t>Private Placement Units Lock-up Period</w:t>
      </w:r>
      <w:r>
        <w:rPr>
          <w:rFonts w:ascii="Arial" w:cs="Arial" w:eastAsia="Arial" w:hAnsi="Arial"/>
          <w:sz w:val="18"/>
          <w:szCs w:val="18"/>
          <w:color w:val="auto"/>
        </w:rPr>
        <w:t>”, together with the Founder Shares Lock-up Period, the “</w:t>
      </w:r>
      <w:r>
        <w:rPr>
          <w:rFonts w:ascii="Arial" w:cs="Arial" w:eastAsia="Arial" w:hAnsi="Arial"/>
          <w:sz w:val="18"/>
          <w:szCs w:val="18"/>
          <w:b w:val="1"/>
          <w:bCs w:val="1"/>
          <w:i w:val="1"/>
          <w:iCs w:val="1"/>
          <w:color w:val="auto"/>
        </w:rPr>
        <w:t>Lock-up Periods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3" w:lineRule="auto"/>
        <w:tabs>
          <w:tab w:leader="none" w:pos="925" w:val="left"/>
        </w:tabs>
        <w:numPr>
          <w:ilvl w:val="1"/>
          <w:numId w:val="162"/>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7(a) and 7(b), Transfers of the Founder Shares, Private Placement Units, Private Placement Shares, Private Placement Warrants and shares of Common Stock issued or issuable upon the exercise or conversion of the Private Placement Warrants or the Founder Shares that are held by the Sponsor, any Insider or any of their permitted transferees (that have complied with this paragraph 7(c)), are permitted (i) to the Company’s officers or directors, any affiliate or family member of any of the Company’s officers or directors or any members of the Sponsor or any affiliates of the Sponsor;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 (d) in the case of an individual, pursuant to a qualified domestic relations order; (e) by private sales or transfers made in connection with the consummation of an initial Business Combination at prices no greater than the price at which the securities were originally purchased; (f) in the event of the Company’s liquidation prior to the completion of an initial Business Combination; (g) by virtue of the laws of the State of Delaware or the Sponsor’s limited liability company agreement upon dissolution of the Sponsor; or</w:t>
      </w:r>
    </w:p>
    <w:p>
      <w:pPr>
        <w:spacing w:after="0" w:line="4" w:lineRule="exact"/>
        <w:rPr>
          <w:rFonts w:ascii="Arial" w:cs="Arial" w:eastAsia="Arial" w:hAnsi="Arial"/>
          <w:sz w:val="16"/>
          <w:szCs w:val="16"/>
          <w:color w:val="auto"/>
        </w:rPr>
      </w:pPr>
    </w:p>
    <w:p>
      <w:pPr>
        <w:jc w:val="both"/>
        <w:ind w:firstLine="8"/>
        <w:spacing w:after="0" w:line="253" w:lineRule="auto"/>
        <w:tabs>
          <w:tab w:leader="none" w:pos="28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 the event of the Company’s liquidation, merger, capital stock exchange, reorganization or other similar transaction which results in all of the Company’s stockholders having the right to exchange their shares of Common Stock for cash, securities or other property subsequent to the Company’s completion of an initial Business Combination;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clauses (a) through (e) or (g),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jc w:val="both"/>
        <w:ind w:firstLine="656"/>
        <w:spacing w:after="0" w:line="284" w:lineRule="auto"/>
        <w:tabs>
          <w:tab w:leader="none" w:pos="834"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Sponsor and each Insider represent and warrant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Each Insider’s questionnaire furnished to the Company is true and accurate in all respects.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pertaining to any dealings in any securities and it, he or she is not currently a defendant in any such criminal proceeding.</w:t>
      </w:r>
    </w:p>
    <w:p>
      <w:pPr>
        <w:spacing w:after="0" w:line="210" w:lineRule="exact"/>
        <w:rPr>
          <w:rFonts w:ascii="Arial" w:cs="Arial" w:eastAsia="Arial" w:hAnsi="Arial"/>
          <w:sz w:val="18"/>
          <w:szCs w:val="18"/>
          <w:color w:val="auto"/>
        </w:rPr>
      </w:pPr>
    </w:p>
    <w:p>
      <w:pPr>
        <w:jc w:val="both"/>
        <w:ind w:firstLine="656"/>
        <w:spacing w:after="0" w:line="269" w:lineRule="auto"/>
        <w:tabs>
          <w:tab w:leader="none" w:pos="837" w:val="left"/>
        </w:tabs>
        <w:numPr>
          <w:ilvl w:val="1"/>
          <w:numId w:val="165"/>
        </w:numPr>
        <w:rPr>
          <w:rFonts w:ascii="Arial" w:cs="Arial" w:eastAsia="Arial" w:hAnsi="Arial"/>
          <w:sz w:val="17"/>
          <w:szCs w:val="17"/>
          <w:color w:val="auto"/>
        </w:rPr>
      </w:pPr>
      <w:r>
        <w:rPr>
          <w:rFonts w:ascii="Arial" w:cs="Arial" w:eastAsia="Arial" w:hAnsi="Arial"/>
          <w:sz w:val="17"/>
          <w:szCs w:val="17"/>
          <w:color w:val="auto"/>
        </w:rPr>
        <w:t>Except as disclosed in the Prospectus, neither the Sponsor nor any officer or director of the Company nor any affiliate of the Sponsor nor any affiliate of any officer or director of the Company,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up to an aggregate of $300,000 in loans made to the Company by the Sponsor to cover offering-related and organizational expenses; reimbursement for any reasonable out-of-pocket expenses related to identifying, investigating and completing an initial Business Combination; and repayment of non-interest bearing loans which may be made by the Sponsor or an affiliate of the Sponsor or certain of the Company’s officers and directors to finance transaction costs in connection with an intended initial Business Combination, the terms of which (other than as described above) have not been determined nor have any written agreements been executed with respect thereto. Up to $1,500,000 of such loans may be convertible into units, at a price of $10.00 per unit at the option of the lender, upon consummation of the initial Business Combination. The units would be identical to the Private Placement Units.</w:t>
      </w:r>
    </w:p>
    <w:p>
      <w:pPr>
        <w:spacing w:after="0" w:line="181" w:lineRule="exact"/>
        <w:rPr>
          <w:rFonts w:ascii="Arial" w:cs="Arial" w:eastAsia="Arial" w:hAnsi="Arial"/>
          <w:sz w:val="17"/>
          <w:szCs w:val="17"/>
          <w:color w:val="auto"/>
        </w:rPr>
      </w:pPr>
    </w:p>
    <w:p>
      <w:pPr>
        <w:jc w:val="both"/>
        <w:ind w:firstLine="656"/>
        <w:spacing w:after="0" w:line="259" w:lineRule="auto"/>
        <w:tabs>
          <w:tab w:leader="none" w:pos="91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186" w:lineRule="exact"/>
        <w:rPr>
          <w:rFonts w:ascii="Arial" w:cs="Arial" w:eastAsia="Arial" w:hAnsi="Arial"/>
          <w:sz w:val="18"/>
          <w:szCs w:val="18"/>
          <w:color w:val="auto"/>
        </w:rPr>
      </w:pPr>
    </w:p>
    <w:p>
      <w:pPr>
        <w:jc w:val="both"/>
        <w:ind w:firstLine="656"/>
        <w:spacing w:after="0" w:line="291" w:lineRule="auto"/>
        <w:tabs>
          <w:tab w:leader="none" w:pos="919"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shall mean, collectively, the Common Stock and the</w:t>
      </w:r>
    </w:p>
    <w:p>
      <w:pPr>
        <w:jc w:val="both"/>
        <w:spacing w:after="0" w:line="265" w:lineRule="auto"/>
        <w:rPr>
          <w:sz w:val="20"/>
          <w:szCs w:val="20"/>
          <w:color w:val="auto"/>
        </w:rPr>
      </w:pPr>
      <w:r>
        <w:rPr>
          <w:rFonts w:ascii="Arial" w:cs="Arial" w:eastAsia="Arial" w:hAnsi="Arial"/>
          <w:sz w:val="17"/>
          <w:szCs w:val="17"/>
          <w:color w:val="auto"/>
        </w:rPr>
        <w:t>Founder Shares; (iii) “</w:t>
      </w:r>
      <w:r>
        <w:rPr>
          <w:rFonts w:ascii="Arial" w:cs="Arial" w:eastAsia="Arial" w:hAnsi="Arial"/>
          <w:sz w:val="17"/>
          <w:szCs w:val="17"/>
          <w:b w:val="1"/>
          <w:bCs w:val="1"/>
          <w:i w:val="1"/>
          <w:iCs w:val="1"/>
          <w:color w:val="auto"/>
        </w:rPr>
        <w:t>Founder Shares</w:t>
      </w:r>
      <w:r>
        <w:rPr>
          <w:rFonts w:ascii="Arial" w:cs="Arial" w:eastAsia="Arial" w:hAnsi="Arial"/>
          <w:sz w:val="17"/>
          <w:szCs w:val="17"/>
          <w:color w:val="auto"/>
        </w:rPr>
        <w:t>” shall mean (a) the 9,487,500 shares of the Company’s Class B common stock, par value $0.0001 per share, issued to Initial Stockholders (up to 1,237,500 Shares of which are subject to complete or partial forfeiture by the Sponsor if the over-allotment option is not exercised by the Underwriters) for an aggregate purchase price of $25,000, or $0.003 per share, prior to the consummation of the Public Offering; (iv) “</w:t>
      </w:r>
      <w:r>
        <w:rPr>
          <w:rFonts w:ascii="Arial" w:cs="Arial" w:eastAsia="Arial" w:hAnsi="Arial"/>
          <w:sz w:val="17"/>
          <w:szCs w:val="17"/>
          <w:b w:val="1"/>
          <w:bCs w:val="1"/>
          <w:i w:val="1"/>
          <w:iCs w:val="1"/>
          <w:color w:val="auto"/>
        </w:rPr>
        <w:t>Initial Stockholders</w:t>
      </w:r>
      <w:r>
        <w:rPr>
          <w:rFonts w:ascii="Arial" w:cs="Arial" w:eastAsia="Arial" w:hAnsi="Arial"/>
          <w:sz w:val="17"/>
          <w:szCs w:val="17"/>
          <w:color w:val="auto"/>
        </w:rPr>
        <w:t>” shall mean the Sponsor, the holders of Representative Shares and any Insider that holds Founder Shares;</w:t>
      </w:r>
    </w:p>
    <w:p>
      <w:pPr>
        <w:spacing w:after="0" w:line="1" w:lineRule="exact"/>
        <w:rPr>
          <w:sz w:val="20"/>
          <w:szCs w:val="20"/>
          <w:color w:val="auto"/>
        </w:rPr>
      </w:pPr>
    </w:p>
    <w:p>
      <w:pPr>
        <w:jc w:val="both"/>
        <w:ind w:firstLine="8"/>
        <w:spacing w:after="0" w:line="266" w:lineRule="auto"/>
        <w:tabs>
          <w:tab w:leader="none" w:pos="26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 Placement Shares</w:t>
      </w:r>
      <w:r>
        <w:rPr>
          <w:rFonts w:ascii="Arial" w:cs="Arial" w:eastAsia="Arial" w:hAnsi="Arial"/>
          <w:sz w:val="17"/>
          <w:szCs w:val="17"/>
          <w:color w:val="auto"/>
        </w:rPr>
        <w:t>” shall mean the 804,500 shares of Common Stock comprising the Private Placement Units (or up to 898,250 shares of Common Stock if the over-allotment option is exercised in full); (vi) “</w:t>
      </w:r>
      <w:r>
        <w:rPr>
          <w:rFonts w:ascii="Arial" w:cs="Arial" w:eastAsia="Arial" w:hAnsi="Arial"/>
          <w:sz w:val="17"/>
          <w:szCs w:val="17"/>
          <w:b w:val="1"/>
          <w:bCs w:val="1"/>
          <w:i w:val="1"/>
          <w:iCs w:val="1"/>
          <w:color w:val="auto"/>
        </w:rPr>
        <w:t>Private Placement Units</w:t>
      </w:r>
      <w:r>
        <w:rPr>
          <w:rFonts w:ascii="Arial" w:cs="Arial" w:eastAsia="Arial" w:hAnsi="Arial"/>
          <w:sz w:val="17"/>
          <w:szCs w:val="17"/>
          <w:color w:val="auto"/>
        </w:rPr>
        <w:t>” shall mean the 804,500 units to be purchased by the Sponsor, or up to 898,250 units if the over-allotment option is exercised in full, each comprised of one share of Common Stock and one warrant to purchase one share of Common Stock that the Sponsor has agreed to purchase for an aggregate purchase price of $8,045,000 (or up to $8,982,500 if the over-allotment option is exercised in full), or purchase price of $10.00 per Private Placement Unit, in a private placement that shall occur simultaneously with the consummation of the Public Offering; (vii) “</w:t>
      </w:r>
      <w:r>
        <w:rPr>
          <w:rFonts w:ascii="Arial" w:cs="Arial" w:eastAsia="Arial" w:hAnsi="Arial"/>
          <w:sz w:val="17"/>
          <w:szCs w:val="17"/>
          <w:b w:val="1"/>
          <w:bCs w:val="1"/>
          <w:i w:val="1"/>
          <w:iCs w:val="1"/>
          <w:color w:val="auto"/>
        </w:rPr>
        <w:t>Private Placement Warrants</w:t>
      </w:r>
      <w:r>
        <w:rPr>
          <w:rFonts w:ascii="Arial" w:cs="Arial" w:eastAsia="Arial" w:hAnsi="Arial"/>
          <w:sz w:val="17"/>
          <w:szCs w:val="17"/>
          <w:color w:val="auto"/>
        </w:rPr>
        <w:t>” shall mean the Warrants to purchase up to 804,500 shares of Common Stock (or up to 898,250 shares of Common Stock if the over-allotment option is exercised in full) comprising the Private Placement Units; (viii)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shall mean the 375,000 shares of Class A common stock (or up to 431,250 Representative Shares upon exercise of the underwriters' over-allotment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of Common Stock issued to the Representative; (ix) “</w:t>
      </w:r>
      <w:r>
        <w:rPr>
          <w:rFonts w:ascii="Arial" w:cs="Arial" w:eastAsia="Arial" w:hAnsi="Arial"/>
          <w:sz w:val="17"/>
          <w:szCs w:val="17"/>
          <w:b w:val="1"/>
          <w:bCs w:val="1"/>
          <w:i w:val="1"/>
          <w:iCs w:val="1"/>
          <w:color w:val="auto"/>
        </w:rPr>
        <w:t>Public Stockholders</w:t>
      </w:r>
      <w:r>
        <w:rPr>
          <w:rFonts w:ascii="Arial" w:cs="Arial" w:eastAsia="Arial" w:hAnsi="Arial"/>
          <w:sz w:val="17"/>
          <w:szCs w:val="17"/>
          <w:color w:val="auto"/>
        </w:rPr>
        <w:t>” shall mean the holders of securities issued in the Public Offering, including initial stockholders and members of management to the extent they purchase shares in the Public Offering; (x)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shall mean the trust fund into which a portion of the net proceeds of the Public Offering shall be deposited; and (xi)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firstLine="656"/>
        <w:spacing w:after="0" w:line="263" w:lineRule="auto"/>
        <w:tabs>
          <w:tab w:leader="none" w:pos="93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3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71" w:lineRule="exact"/>
        <w:rPr>
          <w:rFonts w:ascii="Arial" w:cs="Arial" w:eastAsia="Arial" w:hAnsi="Arial"/>
          <w:sz w:val="17"/>
          <w:szCs w:val="17"/>
          <w:color w:val="auto"/>
        </w:rPr>
      </w:pPr>
    </w:p>
    <w:p>
      <w:pPr>
        <w:jc w:val="both"/>
        <w:ind w:firstLine="656"/>
        <w:spacing w:after="0" w:line="259" w:lineRule="auto"/>
        <w:tabs>
          <w:tab w:leader="none" w:pos="94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3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86" w:lineRule="exact"/>
        <w:rPr>
          <w:rFonts w:ascii="Arial" w:cs="Arial" w:eastAsia="Arial" w:hAnsi="Arial"/>
          <w:sz w:val="18"/>
          <w:szCs w:val="18"/>
          <w:color w:val="auto"/>
        </w:rPr>
      </w:pPr>
    </w:p>
    <w:p>
      <w:pPr>
        <w:ind w:firstLine="656"/>
        <w:spacing w:after="0" w:line="277" w:lineRule="auto"/>
        <w:tabs>
          <w:tab w:leader="none" w:pos="9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3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in accordance with the law of the State of New York. The parties hereto (i) all agree that any action, proceeding, claim or dispute arising out of, or relating in any way to, this Letter Agreement shall be brought and enforced in the courts of the State of New York, sitting in the County and City of New York City or in the United States District Court for the Southern District of New York, and irrevocably submit to such jurisdiction and venue, which jurisdiction and venue shall be exclusive and (ii) waive any objection to such exclusive jurisdiction and venue or that such courts represent an inconvenient forum.</w:t>
      </w:r>
    </w:p>
    <w:p>
      <w:pPr>
        <w:spacing w:after="0" w:line="187" w:lineRule="exact"/>
        <w:rPr>
          <w:rFonts w:ascii="Arial" w:cs="Arial" w:eastAsia="Arial" w:hAnsi="Arial"/>
          <w:sz w:val="18"/>
          <w:szCs w:val="18"/>
          <w:color w:val="auto"/>
        </w:rPr>
      </w:pPr>
    </w:p>
    <w:p>
      <w:pPr>
        <w:ind w:firstLine="656"/>
        <w:spacing w:after="0" w:line="342" w:lineRule="auto"/>
        <w:tabs>
          <w:tab w:leader="none" w:pos="92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5" w:name="page286"/>
    <w:bookmarkEnd w:id="285"/>
    <w:p>
      <w:pPr>
        <w:jc w:val="both"/>
        <w:ind w:firstLine="656"/>
        <w:spacing w:after="0" w:line="263" w:lineRule="auto"/>
        <w:tabs>
          <w:tab w:leader="none" w:pos="9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and closed by December 31, 2021; provided further that paragraph 4 of this Letter Agreement shall survive such liquidation.</w:t>
      </w:r>
    </w:p>
    <w:p>
      <w:pPr>
        <w:spacing w:after="0" w:line="183" w:lineRule="exact"/>
        <w:rPr>
          <w:rFonts w:ascii="Arial" w:cs="Arial" w:eastAsia="Arial" w:hAnsi="Arial"/>
          <w:sz w:val="18"/>
          <w:szCs w:val="18"/>
          <w:color w:val="auto"/>
        </w:rPr>
      </w:pPr>
    </w:p>
    <w:p>
      <w:pPr>
        <w:ind w:firstLine="656"/>
        <w:spacing w:after="0" w:line="277" w:lineRule="auto"/>
        <w:tabs>
          <w:tab w:leader="none" w:pos="92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the Sponsor and each Insider hereby acknowledges and agrees that the Representative on behalf of the Underwriters is a third party beneficiary of this Letter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6" w:name="page287"/>
    <w:bookmarkEnd w:id="286"/>
    <w:p>
      <w:pPr>
        <w:ind w:left="586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BURTECH LP, LLC</w:t>
      </w: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Title:  Managing Member</w:t>
      </w: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 HUTTON, DIVISION OF BENCHMARK INVESTMENTS,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1375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BURTECH ACQUISITION CORP.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1375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Shahal Kahn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87" w:name="page288"/>
    <w:bookmarkEnd w:id="287"/>
    <w:p>
      <w:pPr>
        <w:ind w:left="1032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tcPr>
          <w:p>
            <w:pPr>
              <w:jc w:val="right"/>
              <w:ind w:right="4650"/>
              <w:spacing w:after="0"/>
              <w:rPr>
                <w:sz w:val="20"/>
                <w:szCs w:val="20"/>
                <w:color w:val="auto"/>
              </w:rPr>
            </w:pPr>
            <w:r>
              <w:rPr>
                <w:rFonts w:ascii="Arial" w:cs="Arial" w:eastAsia="Arial" w:hAnsi="Arial"/>
                <w:sz w:val="18"/>
                <w:szCs w:val="18"/>
                <w:b w:val="1"/>
                <w:bCs w:val="1"/>
                <w:color w:val="auto"/>
              </w:rPr>
              <w:t>PROMISSORY NOTE</w:t>
            </w:r>
          </w:p>
        </w:tc>
        <w:tc>
          <w:tcPr>
            <w:tcW w:w="0" w:type="dxa"/>
            <w:vAlign w:val="bottom"/>
          </w:tcPr>
          <w:p>
            <w:pPr>
              <w:spacing w:after="0"/>
              <w:rPr>
                <w:sz w:val="1"/>
                <w:szCs w:val="1"/>
                <w:color w:val="auto"/>
              </w:rPr>
            </w:pPr>
          </w:p>
        </w:tc>
      </w:tr>
      <w:tr>
        <w:trPr>
          <w:trHeight w:val="418"/>
        </w:trPr>
        <w:tc>
          <w:tcPr>
            <w:tcW w:w="3640" w:type="dxa"/>
            <w:vAlign w:val="bottom"/>
            <w:vMerge w:val="restart"/>
          </w:tcPr>
          <w:p>
            <w:pPr>
              <w:spacing w:after="0"/>
              <w:rPr>
                <w:sz w:val="20"/>
                <w:szCs w:val="20"/>
                <w:color w:val="auto"/>
              </w:rPr>
            </w:pPr>
            <w:r>
              <w:rPr>
                <w:rFonts w:ascii="Arial" w:cs="Arial" w:eastAsia="Arial" w:hAnsi="Arial"/>
                <w:sz w:val="18"/>
                <w:szCs w:val="18"/>
                <w:color w:val="auto"/>
              </w:rPr>
              <w:t>Principal Amount: Up to $300,000</w:t>
            </w:r>
          </w:p>
        </w:tc>
        <w:tc>
          <w:tcPr>
            <w:tcW w:w="7600" w:type="dxa"/>
            <w:vAlign w:val="bottom"/>
          </w:tcPr>
          <w:p>
            <w:pPr>
              <w:jc w:val="right"/>
              <w:spacing w:after="0"/>
              <w:rPr>
                <w:sz w:val="20"/>
                <w:szCs w:val="20"/>
                <w:color w:val="auto"/>
              </w:rPr>
            </w:pPr>
            <w:r>
              <w:rPr>
                <w:rFonts w:ascii="Arial" w:cs="Arial" w:eastAsia="Arial" w:hAnsi="Arial"/>
                <w:sz w:val="18"/>
                <w:szCs w:val="18"/>
                <w:color w:val="auto"/>
              </w:rPr>
              <w:t>Dated as of May 21, 2021</w:t>
            </w: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7600" w:type="dxa"/>
            <w:vAlign w:val="bottom"/>
            <w:vMerge w:val="restart"/>
          </w:tcPr>
          <w:p>
            <w:pPr>
              <w:jc w:val="right"/>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7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BurTech Acquisition Corp., a Delaware corporation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BurTech LP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up to Three Hundred Thousand Dollars ($300,000)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3" w:lineRule="exact"/>
        <w:rPr>
          <w:sz w:val="20"/>
          <w:szCs w:val="20"/>
          <w:color w:val="auto"/>
        </w:rPr>
      </w:pPr>
    </w:p>
    <w:p>
      <w:pPr>
        <w:jc w:val="both"/>
        <w:ind w:right="340" w:firstLine="8"/>
        <w:spacing w:after="0" w:line="261" w:lineRule="auto"/>
        <w:tabs>
          <w:tab w:leader="none" w:pos="1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by the Maker on the earlier of: (i) December 31, 2021 or (ii) the date on which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 initial public offering of its securities.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b w:val="1"/>
          <w:bCs w:val="1"/>
          <w:color w:val="auto"/>
        </w:rPr>
      </w:pPr>
    </w:p>
    <w:p>
      <w:pPr>
        <w:ind w:left="180" w:hanging="172"/>
        <w:spacing w:after="0"/>
        <w:tabs>
          <w:tab w:leader="none" w:pos="1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b w:val="1"/>
          <w:bCs w:val="1"/>
          <w:color w:val="auto"/>
        </w:rPr>
      </w:pPr>
    </w:p>
    <w:p>
      <w:pPr>
        <w:ind w:right="20" w:firstLine="8"/>
        <w:spacing w:after="0" w:line="270" w:lineRule="auto"/>
        <w:tabs>
          <w:tab w:leader="none" w:pos="18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Drawdown Requests. </w:t>
      </w:r>
      <w:r>
        <w:rPr>
          <w:rFonts w:ascii="Arial" w:cs="Arial" w:eastAsia="Arial" w:hAnsi="Arial"/>
          <w:sz w:val="17"/>
          <w:szCs w:val="17"/>
          <w:color w:val="auto"/>
        </w:rPr>
        <w:t>Maker and Payee agree that Maker may request up to Three Hundred Thousand Dollars ($300,000) for costs reasonably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Maker’s initial public offering of its securities. The principal of this Note may be drawn down from time to time prior to the earlier of: (i) December 31, 2021 or (ii) the date on which Maker consummates an initial public offering of its securities, upon written request from Maker to Payee (each, a “</w:t>
      </w:r>
      <w:r>
        <w:rPr>
          <w:rFonts w:ascii="Arial" w:cs="Arial" w:eastAsia="Arial" w:hAnsi="Arial"/>
          <w:sz w:val="17"/>
          <w:szCs w:val="17"/>
          <w:b w:val="1"/>
          <w:bCs w:val="1"/>
          <w:color w:val="auto"/>
        </w:rPr>
        <w:t>Drawdown Request</w:t>
      </w:r>
      <w:r>
        <w:rPr>
          <w:rFonts w:ascii="Arial" w:cs="Arial" w:eastAsia="Arial" w:hAnsi="Arial"/>
          <w:sz w:val="17"/>
          <w:szCs w:val="17"/>
          <w:color w:val="auto"/>
        </w:rPr>
        <w:t>”). Each Drawdown Request must state the amount to be drawn down, and must not be an amount less than Ten Thousand Dollars ($10,000) unless agreed upon by Maker and Payee. Payee shall fund each Drawdown Request no later than five (5) business days after receipt of a Drawdown Request; provided, however, that the maximum amount of drawdowns collectively under this Note is Three Hundred Thousand Dollars ($300,000). Once an amount is drawn down under this Note, it shall not be available for future Drawdown Requests even if prepaid. No fees, payments or other amounts shall be due to Payee in connection with, or as a result of, any Drawdown Request by Maker. Notwithstanding the foregoing, all payments shall be applied first to payment in full of any costs incurred in the collection of any sum due under this Note, including (without limitation) reasonable attorneys’ fees, and then to the reduction of the unpaid principal balance of this Note.</w:t>
      </w:r>
    </w:p>
    <w:p>
      <w:pPr>
        <w:spacing w:after="0" w:line="176" w:lineRule="exact"/>
        <w:rPr>
          <w:rFonts w:ascii="Arial" w:cs="Arial" w:eastAsia="Arial" w:hAnsi="Arial"/>
          <w:sz w:val="17"/>
          <w:szCs w:val="17"/>
          <w:b w:val="1"/>
          <w:bCs w:val="1"/>
          <w:color w:val="auto"/>
        </w:rPr>
      </w:pPr>
    </w:p>
    <w:p>
      <w:pPr>
        <w:jc w:val="both"/>
        <w:ind w:right="120" w:firstLine="8"/>
        <w:spacing w:after="0" w:line="266" w:lineRule="auto"/>
        <w:tabs>
          <w:tab w:leader="none" w:pos="17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b w:val="1"/>
          <w:bCs w:val="1"/>
          <w:color w:val="auto"/>
        </w:rPr>
      </w:pPr>
    </w:p>
    <w:p>
      <w:pPr>
        <w:ind w:left="180" w:hanging="172"/>
        <w:spacing w:after="0"/>
        <w:tabs>
          <w:tab w:leader="none" w:pos="1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656"/>
        <w:spacing w:after="0" w:line="277" w:lineRule="auto"/>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right="80" w:firstLine="656"/>
        <w:spacing w:after="0" w:line="257" w:lineRule="auto"/>
        <w:tabs>
          <w:tab w:leader="none" w:pos="903"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8" w:name="page289"/>
    <w:bookmarkEnd w:id="288"/>
    <w:p>
      <w:pPr>
        <w:ind w:left="-8" w:right="240" w:firstLine="656"/>
        <w:spacing w:after="0" w:line="259" w:lineRule="auto"/>
        <w:tabs>
          <w:tab w:leader="none" w:pos="884"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172" w:hanging="172"/>
        <w:spacing w:after="0"/>
        <w:tabs>
          <w:tab w:leader="none" w:pos="172"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ind w:left="-8" w:firstLine="656"/>
        <w:spacing w:after="0" w:line="259" w:lineRule="auto"/>
        <w:tabs>
          <w:tab w:leader="none" w:pos="88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left="-8" w:right="240" w:firstLine="656"/>
        <w:spacing w:after="0" w:line="342" w:lineRule="auto"/>
        <w:tabs>
          <w:tab w:leader="none" w:pos="89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ind w:left="-8" w:right="60" w:firstLine="8"/>
        <w:spacing w:after="0" w:line="294" w:lineRule="auto"/>
        <w:tabs>
          <w:tab w:leader="none" w:pos="169"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59" w:lineRule="exact"/>
        <w:rPr>
          <w:rFonts w:ascii="Arial" w:cs="Arial" w:eastAsia="Arial" w:hAnsi="Arial"/>
          <w:sz w:val="16"/>
          <w:szCs w:val="16"/>
          <w:b w:val="1"/>
          <w:bCs w:val="1"/>
          <w:color w:val="auto"/>
        </w:rPr>
      </w:pPr>
    </w:p>
    <w:p>
      <w:pPr>
        <w:ind w:left="-8" w:right="120" w:firstLine="8"/>
        <w:spacing w:after="0" w:line="298" w:lineRule="auto"/>
        <w:tabs>
          <w:tab w:leader="none" w:pos="172"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b w:val="1"/>
          <w:bCs w:val="1"/>
          <w:color w:val="auto"/>
        </w:rPr>
      </w:pPr>
    </w:p>
    <w:p>
      <w:pPr>
        <w:ind w:left="172" w:hanging="172"/>
        <w:spacing w:after="0"/>
        <w:tabs>
          <w:tab w:leader="none" w:pos="172"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made in writing and delivered:</w:t>
      </w:r>
    </w:p>
    <w:p>
      <w:pPr>
        <w:spacing w:after="0" w:line="39" w:lineRule="exact"/>
        <w:rPr>
          <w:sz w:val="20"/>
          <w:szCs w:val="20"/>
          <w:color w:val="auto"/>
        </w:rPr>
      </w:pPr>
    </w:p>
    <w:p>
      <w:pPr>
        <w:ind w:left="-8" w:right="100" w:firstLine="8"/>
        <w:spacing w:after="0" w:line="270" w:lineRule="auto"/>
        <w:tabs>
          <w:tab w:leader="none" w:pos="20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4" w:lineRule="exact"/>
        <w:rPr>
          <w:sz w:val="20"/>
          <w:szCs w:val="20"/>
          <w:color w:val="auto"/>
        </w:rPr>
      </w:pPr>
    </w:p>
    <w:p>
      <w:pPr>
        <w:ind w:left="-8" w:right="300" w:firstLine="8"/>
        <w:spacing w:after="0" w:line="282" w:lineRule="auto"/>
        <w:tabs>
          <w:tab w:leader="none" w:pos="262"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b w:val="1"/>
          <w:bCs w:val="1"/>
          <w:color w:val="auto"/>
        </w:rPr>
      </w:pPr>
    </w:p>
    <w:p>
      <w:pPr>
        <w:jc w:val="both"/>
        <w:ind w:left="-8" w:right="160" w:firstLine="8"/>
        <w:spacing w:after="0" w:line="266" w:lineRule="auto"/>
        <w:tabs>
          <w:tab w:leader="none" w:pos="252"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89" w:name="page290"/>
    <w:bookmarkEnd w:id="289"/>
    <w:p>
      <w:pPr>
        <w:ind w:left="280" w:hanging="272"/>
        <w:spacing w:after="0"/>
        <w:tabs>
          <w:tab w:leader="none" w:pos="28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Trust Waiver</w:t>
      </w:r>
      <w:r>
        <w:rPr>
          <w:rFonts w:ascii="Arial" w:cs="Arial" w:eastAsia="Arial" w:hAnsi="Arial"/>
          <w:sz w:val="17"/>
          <w:szCs w:val="17"/>
          <w:color w:val="auto"/>
        </w:rPr>
        <w:t>. Notwithstanding anything herein to the contrary, the Payee hereby waives any and all right, title, interest or claim of any kind</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the proceeds of the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to be conducted by the Maker (including the deferred underwriters discounts and commissions) and the proceeds of the sale of the warrants to be issued in a private placement to occur prior to the closing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Waiver</w:t>
      </w:r>
      <w:r>
        <w:rPr>
          <w:rFonts w:ascii="Arial" w:cs="Arial" w:eastAsia="Arial" w:hAnsi="Arial"/>
          <w:sz w:val="18"/>
          <w:szCs w:val="18"/>
          <w:color w:val="auto"/>
        </w:rPr>
        <w:t>. 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2"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color w:val="auto"/>
        </w:rPr>
        <w:t>.</w:t>
      </w:r>
      <w:r>
        <w:rPr>
          <w:rFonts w:ascii="Arial" w:cs="Arial" w:eastAsia="Arial" w:hAnsi="Arial"/>
          <w:sz w:val="16"/>
          <w:szCs w:val="16"/>
          <w:b w:val="1"/>
          <w:bCs w:val="1"/>
          <w:color w:val="auto"/>
        </w:rPr>
        <w:t xml:space="preserve"> Assignment</w:t>
      </w:r>
      <w:r>
        <w:rPr>
          <w:rFonts w:ascii="Arial" w:cs="Arial" w:eastAsia="Arial" w:hAnsi="Arial"/>
          <w:sz w:val="16"/>
          <w:szCs w:val="16"/>
          <w:color w:val="auto"/>
        </w:rPr>
        <w:t>. 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0" w:name="page291"/>
    <w:bookmarkEnd w:id="290"/>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91" w:name="page292"/>
    <w:bookmarkEnd w:id="291"/>
    <w:p>
      <w:pPr>
        <w:jc w:val="right"/>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Investment Management Trust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effective as of [*], 2021, by and between BurTech Acquisition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a New York corporation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WHEREAS, the Company’s registration statement on Form S-1, File No. 333-258914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 the initial public offering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of which consists of one share of the Company’s Class A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 redeemable warrant, each warrant entitling the holder thereof to purchase one share of Common Stock upon the consummation of the Company’s initial business combination (such initial public offering hereinafter referred to as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has been declared effective as of the date hereof by the U.S. Securities and Exchange Commission; and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EF Hutton, division of Benchmark Investments, LLC.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named therein; and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if a Business Combination (as defined herein) is not consummated within the fifteen (15) months following the closing of the Offering, subject to the Company’s sponsor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or its affiliates or permitted designees depositing $253,750,000 (or $291,812,500 if the Underwriters’ over-allotment option is exercised in full) into the Trust Account no later than the 15 month anniversary of the Offering (, an “</w:t>
      </w:r>
      <w:r>
        <w:rPr>
          <w:rFonts w:ascii="Arial" w:cs="Arial" w:eastAsia="Arial" w:hAnsi="Arial"/>
          <w:sz w:val="18"/>
          <w:szCs w:val="18"/>
          <w:b w:val="1"/>
          <w:bCs w:val="1"/>
          <w:i w:val="1"/>
          <w:iCs w:val="1"/>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Deadline</w:t>
      </w:r>
      <w:r>
        <w:rPr>
          <w:rFonts w:ascii="Arial" w:cs="Arial" w:eastAsia="Arial" w:hAnsi="Arial"/>
          <w:sz w:val="18"/>
          <w:szCs w:val="18"/>
          <w:color w:val="auto"/>
        </w:rPr>
        <w:t>”) for each three month extension (each, an “</w:t>
      </w:r>
      <w:r>
        <w:rPr>
          <w:rFonts w:ascii="Arial" w:cs="Arial" w:eastAsia="Arial" w:hAnsi="Arial"/>
          <w:sz w:val="18"/>
          <w:szCs w:val="18"/>
          <w:b w:val="1"/>
          <w:bCs w:val="1"/>
          <w:i w:val="1"/>
          <w:iCs w:val="1"/>
          <w:color w:val="auto"/>
        </w:rPr>
        <w:t>Extension</w:t>
      </w:r>
      <w:r>
        <w:rPr>
          <w:rFonts w:ascii="Arial" w:cs="Arial" w:eastAsia="Arial" w:hAnsi="Arial"/>
          <w:sz w:val="18"/>
          <w:szCs w:val="18"/>
          <w:color w:val="auto"/>
        </w:rPr>
        <w:t>”), in exchange for which the Sponsor will receive a non-interest bearing,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promissory note for each Extension payable upon consummation of a Business Combination; and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WHEREAS, as described in the Prospectus, $253,750,000 of the gross proceeds of the Offering and sale of the Private Placement Units (as defined in the Underwriting Agreement) (or $291,812,500 if the Underwriters’ over-allotment option is exercised in full) and the proceeds from any loans in connection with an Extension, if any, will be delivered to the Trustee to be deposited and held in a segregated trust account located at all times in the United States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for the benefit of the Company and the holders of the Common Stock included in the Units issued in the Offering as hereinafter provided (the amount to be delivered to the Trustee (and any interest subsequently earned thereon) is referred to herein as the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the stockholders for whose benefit the Trustee shall hold the Property will be referred to as the “</w:t>
      </w:r>
      <w:r>
        <w:rPr>
          <w:rFonts w:ascii="Arial" w:cs="Arial" w:eastAsia="Arial" w:hAnsi="Arial"/>
          <w:sz w:val="17"/>
          <w:szCs w:val="17"/>
          <w:b w:val="1"/>
          <w:bCs w:val="1"/>
          <w:i w:val="1"/>
          <w:iCs w:val="1"/>
          <w:color w:val="auto"/>
        </w:rPr>
        <w:t>Public Stockholders,</w:t>
      </w:r>
      <w:r>
        <w:rPr>
          <w:rFonts w:ascii="Arial" w:cs="Arial" w:eastAsia="Arial" w:hAnsi="Arial"/>
          <w:sz w:val="17"/>
          <w:szCs w:val="17"/>
          <w:color w:val="auto"/>
        </w:rPr>
        <w:t>” and the Public Stockholders and the Company will be referred to together as the “</w:t>
      </w:r>
      <w:r>
        <w:rPr>
          <w:rFonts w:ascii="Arial" w:cs="Arial" w:eastAsia="Arial" w:hAnsi="Arial"/>
          <w:sz w:val="17"/>
          <w:szCs w:val="17"/>
          <w:b w:val="1"/>
          <w:bCs w:val="1"/>
          <w:i w:val="1"/>
          <w:iCs w:val="1"/>
          <w:color w:val="auto"/>
        </w:rPr>
        <w:t>Beneficiaries</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$8,750,000, or $10,062,500 if the Underwriters’ over-allotment option is exercised in full, is attributable to deferred underwriting discounts and commissions that will be payable by the Company to the Underwriters upon and concurrently with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840" w:hanging="184"/>
        <w:spacing w:after="0"/>
        <w:tabs>
          <w:tab w:leader="none" w:pos="84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980"/>
        <w:spacing w:after="0" w:line="286" w:lineRule="auto"/>
        <w:tabs>
          <w:tab w:leader="none" w:pos="1231" w:val="left"/>
        </w:tabs>
        <w:numPr>
          <w:ilvl w:val="1"/>
          <w:numId w:val="175"/>
        </w:numPr>
        <w:rPr>
          <w:rFonts w:ascii="Arial" w:cs="Arial" w:eastAsia="Arial" w:hAnsi="Arial"/>
          <w:sz w:val="17"/>
          <w:szCs w:val="17"/>
          <w:color w:val="auto"/>
        </w:rPr>
      </w:pPr>
      <w:r>
        <w:rPr>
          <w:rFonts w:ascii="Arial" w:cs="Arial" w:eastAsia="Arial" w:hAnsi="Arial"/>
          <w:sz w:val="17"/>
          <w:szCs w:val="17"/>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and at a brokerage institution selected by the Trustee that is reasonably satisfactory to the Company;</w:t>
      </w:r>
    </w:p>
    <w:p>
      <w:pPr>
        <w:spacing w:after="0" w:line="165" w:lineRule="exact"/>
        <w:rPr>
          <w:rFonts w:ascii="Arial" w:cs="Arial" w:eastAsia="Arial" w:hAnsi="Arial"/>
          <w:sz w:val="17"/>
          <w:szCs w:val="17"/>
          <w:color w:val="auto"/>
        </w:rPr>
      </w:pPr>
    </w:p>
    <w:p>
      <w:pPr>
        <w:ind w:left="1240" w:hanging="260"/>
        <w:spacing w:after="0"/>
        <w:tabs>
          <w:tab w:leader="none" w:pos="12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2" w:name="page293"/>
    <w:bookmarkEnd w:id="292"/>
    <w:p>
      <w:pPr>
        <w:jc w:val="both"/>
        <w:ind w:left="-980" w:firstLine="980"/>
        <w:spacing w:after="0" w:line="255" w:lineRule="auto"/>
        <w:tabs>
          <w:tab w:leader="none" w:pos="2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pacing w:after="0" w:line="192" w:lineRule="exact"/>
        <w:rPr>
          <w:rFonts w:ascii="Arial" w:cs="Arial" w:eastAsia="Arial" w:hAnsi="Arial"/>
          <w:sz w:val="18"/>
          <w:szCs w:val="18"/>
          <w:color w:val="auto"/>
        </w:rPr>
      </w:pPr>
    </w:p>
    <w:p>
      <w:pPr>
        <w:ind w:left="-980" w:right="200" w:firstLine="980"/>
        <w:spacing w:after="0" w:line="277" w:lineRule="auto"/>
        <w:tabs>
          <w:tab w:leader="none" w:pos="2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Collect and receive, when due, all interest or other income arising from the Property, which shall become part of the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as such term is used herein;</w:t>
      </w:r>
    </w:p>
    <w:p>
      <w:pPr>
        <w:spacing w:after="0" w:line="170" w:lineRule="exact"/>
        <w:rPr>
          <w:rFonts w:ascii="Arial" w:cs="Arial" w:eastAsia="Arial" w:hAnsi="Arial"/>
          <w:sz w:val="18"/>
          <w:szCs w:val="18"/>
          <w:color w:val="auto"/>
        </w:rPr>
      </w:pPr>
    </w:p>
    <w:p>
      <w:pPr>
        <w:ind w:left="-980" w:firstLine="980"/>
        <w:spacing w:after="0" w:line="277" w:lineRule="auto"/>
        <w:tabs>
          <w:tab w:leader="none" w:pos="23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Promptly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left="-980" w:firstLine="980"/>
        <w:spacing w:after="0" w:line="277" w:lineRule="auto"/>
        <w:tabs>
          <w:tab w:leader="none" w:pos="23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left="-980" w:right="20" w:firstLine="980"/>
        <w:spacing w:after="0" w:line="277" w:lineRule="auto"/>
        <w:tabs>
          <w:tab w:leader="none" w:pos="25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left="-980" w:right="20" w:firstLine="980"/>
        <w:spacing w:after="0" w:line="277" w:lineRule="auto"/>
        <w:tabs>
          <w:tab w:leader="none" w:pos="27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left="-980" w:firstLine="980"/>
        <w:spacing w:after="0" w:line="286" w:lineRule="auto"/>
        <w:tabs>
          <w:tab w:leader="none" w:pos="21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w:t>
      </w:r>
      <w:r>
        <w:rPr>
          <w:rFonts w:ascii="Arial" w:cs="Arial" w:eastAsia="Arial" w:hAnsi="Arial"/>
          <w:sz w:val="16"/>
          <w:szCs w:val="16"/>
          <w:b w:val="1"/>
          <w:bCs w:val="1"/>
          <w:i w:val="1"/>
          <w:iCs w:val="1"/>
          <w:color w:val="auto"/>
        </w:rPr>
        <w:t>Termination Letter</w:t>
      </w:r>
      <w:r>
        <w:rPr>
          <w:rFonts w:ascii="Arial" w:cs="Arial" w:eastAsia="Arial" w:hAnsi="Arial"/>
          <w:sz w:val="16"/>
          <w:szCs w:val="16"/>
          <w:color w:val="auto"/>
        </w:rPr>
        <w:t xml:space="preserve">”) in a form substantially similar to that attached hereto as either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as applicable, signed on behalf of the Company by at least two of its Chief Executive Officer, Chief Financial Officer, President, Executive Vice President, Vice President, Secretary or Chairman of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xml:space="preserve">”) or other authorized officer of the Company, and, in the case of a Termination Letter in a form substantially similar to the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acknowledged and agreed to by the Representative, and complete the liquidation of the Trust Account and distribute the Property in the Trust Account, including interest not previously released to the Company to pay its taxes (less up to $100,000 of interest that may be released to the Company to pay dissolution expenses), only as directed in the Termination Letter and the other documents referred to therein, or (y) upon the date which is the latest of (1) 12 months after the closing of the Offering, (2) such later date upon one or more Extensions effectuated pursuant to the terms hereof and (3) such later date as may be approved by the Company’s stockholders in accordance with the Company’s amended and restated certificate of incorporation, as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Property in the Trust Account, including interest not previously released to the Company to pay its taxes (less up to $100,000 of interest that may be released to the Company to pay dissolution expenses) shall be distributed to the Public Stockholders of record as of such date;</w:t>
      </w:r>
    </w:p>
    <w:p>
      <w:pPr>
        <w:spacing w:after="0" w:line="173" w:lineRule="exact"/>
        <w:rPr>
          <w:rFonts w:ascii="Arial" w:cs="Arial" w:eastAsia="Arial" w:hAnsi="Arial"/>
          <w:sz w:val="16"/>
          <w:szCs w:val="16"/>
          <w:color w:val="auto"/>
        </w:rPr>
      </w:pPr>
    </w:p>
    <w:p>
      <w:pPr>
        <w:jc w:val="both"/>
        <w:ind w:left="-980" w:firstLine="980"/>
        <w:spacing w:after="0" w:line="269" w:lineRule="auto"/>
        <w:tabs>
          <w:tab w:leader="none" w:pos="22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amount per share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tax to be paid is a franchise tax, the written request by the Company to make such distribution shall be accompanied by a copy of the franchise tax bill from the State of Delaware for the Company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261620</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293" w:name="page294"/>
    <w:bookmarkEnd w:id="293"/>
    <w:p>
      <w:pPr>
        <w:jc w:val="both"/>
        <w:ind w:left="-332" w:firstLine="980"/>
        <w:spacing w:after="0" w:line="290" w:lineRule="auto"/>
        <w:tabs>
          <w:tab w:leader="none" w:pos="912" w:val="left"/>
        </w:tabs>
        <w:numPr>
          <w:ilvl w:val="1"/>
          <w:numId w:val="177"/>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the Trustee shall distribute on behalf of the Company the amount requested by the Company to be used to redeem shares of Common Stock from Public Stockholders properly submitted in connection with a stockholder vote to approve an amendment to the Charter to modify the substance or timing of the ability of Public Stockholders to seek redemption in connection with an initial Business Combination or amendments to the Charter prior thereto or the Company’s obligation to redeem 100% of its shares of Common Stock included in the Units sold in the offering (the “</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if the Company has not consummated an initial Business Combination within such time as is described in the Charter or with respect to any other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65" w:lineRule="exact"/>
        <w:rPr>
          <w:rFonts w:ascii="Arial" w:cs="Arial" w:eastAsia="Arial" w:hAnsi="Arial"/>
          <w:sz w:val="16"/>
          <w:szCs w:val="16"/>
          <w:color w:val="auto"/>
        </w:rPr>
      </w:pPr>
    </w:p>
    <w:p>
      <w:pPr>
        <w:ind w:left="868" w:hanging="220"/>
        <w:spacing w:after="0"/>
        <w:tabs>
          <w:tab w:leader="none" w:pos="86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(k) above.</w:t>
      </w:r>
    </w:p>
    <w:p>
      <w:pPr>
        <w:spacing w:after="0" w:line="225" w:lineRule="exact"/>
        <w:rPr>
          <w:rFonts w:ascii="Arial" w:cs="Arial" w:eastAsia="Arial" w:hAnsi="Arial"/>
          <w:sz w:val="18"/>
          <w:szCs w:val="18"/>
          <w:color w:val="auto"/>
        </w:rPr>
      </w:pPr>
    </w:p>
    <w:p>
      <w:pPr>
        <w:jc w:val="both"/>
        <w:ind w:left="-332" w:firstLine="980"/>
        <w:spacing w:after="0" w:line="263" w:lineRule="auto"/>
        <w:tabs>
          <w:tab w:leader="none" w:pos="95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Upon receipt of an extension letter (“</w:t>
      </w:r>
      <w:r>
        <w:rPr>
          <w:rFonts w:ascii="Arial" w:cs="Arial" w:eastAsia="Arial" w:hAnsi="Arial"/>
          <w:sz w:val="18"/>
          <w:szCs w:val="18"/>
          <w:b w:val="1"/>
          <w:bCs w:val="1"/>
          <w:i w:val="1"/>
          <w:iCs w:val="1"/>
          <w:color w:val="auto"/>
        </w:rPr>
        <w:t>Extension Letter</w:t>
      </w:r>
      <w:r>
        <w:rPr>
          <w:rFonts w:ascii="Arial" w:cs="Arial" w:eastAsia="Arial" w:hAnsi="Arial"/>
          <w:sz w:val="18"/>
          <w:szCs w:val="18"/>
          <w:color w:val="auto"/>
        </w:rPr>
        <w:t xml:space="preserve">”) substantially similar to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at least ten business days prior to the Applicable Deadline, signed on behalf of the Company by an executive officer, and receipt of the dollar amount specified in the Extension Letter on or prior to the Applicable Deadline, follow the instructions set forth in the Extension Letter.</w:t>
      </w:r>
    </w:p>
    <w:p>
      <w:pPr>
        <w:spacing w:after="0" w:line="183" w:lineRule="exact"/>
        <w:rPr>
          <w:rFonts w:ascii="Arial" w:cs="Arial" w:eastAsia="Arial" w:hAnsi="Arial"/>
          <w:sz w:val="18"/>
          <w:szCs w:val="18"/>
          <w:color w:val="auto"/>
        </w:rPr>
      </w:pPr>
    </w:p>
    <w:p>
      <w:pPr>
        <w:ind w:left="188" w:hanging="188"/>
        <w:spacing w:after="0"/>
        <w:tabs>
          <w:tab w:leader="none" w:pos="18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left="-332" w:firstLine="980"/>
        <w:spacing w:after="0" w:line="257" w:lineRule="auto"/>
        <w:tabs>
          <w:tab w:leader="none" w:pos="88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at least two of the Company’s Chairman of the Board, Chief Executive Officer, Chief Financial Officer, President, Executive Vice President, Vice President or Secretary.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7" w:lineRule="exact"/>
        <w:rPr>
          <w:rFonts w:ascii="Arial" w:cs="Arial" w:eastAsia="Arial" w:hAnsi="Arial"/>
          <w:sz w:val="18"/>
          <w:szCs w:val="18"/>
          <w:color w:val="auto"/>
        </w:rPr>
      </w:pPr>
    </w:p>
    <w:p>
      <w:pPr>
        <w:jc w:val="both"/>
        <w:ind w:left="-332" w:firstLine="980"/>
        <w:spacing w:after="0" w:line="288" w:lineRule="auto"/>
        <w:tabs>
          <w:tab w:leader="none" w:pos="922"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left="-332" w:firstLine="980"/>
        <w:spacing w:after="0" w:line="254" w:lineRule="auto"/>
        <w:tabs>
          <w:tab w:leader="none" w:pos="90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Pay the Trustee the fees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Section 1(i) upon consummation of a Business Combination (defined below). The Company shall pay the Trustee the initial acceptance fee and the first annual administration fee at the consummation of the Offering. The Trustee shall refund to the Company the annual administration fee (on a pro rata basis) with respect to any period after the liquidation of the Trust Account. The Company shall not be responsible for any other fees or charges of the Trustee except as set forth in this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as may be provided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269875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294" w:name="page295"/>
    <w:bookmarkEnd w:id="294"/>
    <w:p>
      <w:pPr>
        <w:jc w:val="both"/>
        <w:ind w:left="-656" w:firstLine="980"/>
        <w:spacing w:after="0" w:line="259" w:lineRule="auto"/>
        <w:tabs>
          <w:tab w:leader="none" w:pos="57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provide to the Trustee an affidavit or certificate of the inspector of elections for the stockholder meeting verifying the vote of such stockholders regarding such Business Combination;</w:t>
      </w:r>
    </w:p>
    <w:p>
      <w:pPr>
        <w:spacing w:after="0" w:line="186" w:lineRule="exact"/>
        <w:rPr>
          <w:rFonts w:ascii="Arial" w:cs="Arial" w:eastAsia="Arial" w:hAnsi="Arial"/>
          <w:sz w:val="18"/>
          <w:szCs w:val="18"/>
          <w:color w:val="auto"/>
        </w:rPr>
      </w:pPr>
    </w:p>
    <w:p>
      <w:pPr>
        <w:ind w:left="-656" w:firstLine="980"/>
        <w:spacing w:after="0" w:line="277" w:lineRule="auto"/>
        <w:tabs>
          <w:tab w:leader="none" w:pos="58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left="-656" w:firstLine="980"/>
        <w:spacing w:after="0" w:line="259" w:lineRule="auto"/>
        <w:tabs>
          <w:tab w:leader="none" w:pos="57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 or accounts directed by the Representative on behalf of the Underwriters prior to any transfer of the funds held in the Trust Account to the Company or any other person;</w:t>
      </w:r>
    </w:p>
    <w:p>
      <w:pPr>
        <w:spacing w:after="0" w:line="186" w:lineRule="exact"/>
        <w:rPr>
          <w:rFonts w:ascii="Arial" w:cs="Arial" w:eastAsia="Arial" w:hAnsi="Arial"/>
          <w:sz w:val="18"/>
          <w:szCs w:val="18"/>
          <w:color w:val="auto"/>
        </w:rPr>
      </w:pPr>
    </w:p>
    <w:p>
      <w:pPr>
        <w:ind w:left="-656" w:firstLine="980"/>
        <w:spacing w:after="0" w:line="277" w:lineRule="auto"/>
        <w:tabs>
          <w:tab w:leader="none" w:pos="58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jc w:val="both"/>
        <w:ind w:left="-656" w:firstLine="980"/>
        <w:spacing w:after="0" w:line="263" w:lineRule="auto"/>
        <w:tabs>
          <w:tab w:leader="none" w:pos="57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Within four (4) business days after the Underwriters exercise the over-allotment option (or any unexercised portion thereof) or such over-allotment option expires, provide the Trustee with a notice in writing of the total amount of the Deferred Discount, which shall in no event be less than $8,750,000 or $10,062,500 if the over-allotment is exercised in full.</w:t>
      </w:r>
    </w:p>
    <w:p>
      <w:pPr>
        <w:spacing w:after="0" w:line="184" w:lineRule="exact"/>
        <w:rPr>
          <w:sz w:val="20"/>
          <w:szCs w:val="20"/>
          <w:color w:val="auto"/>
        </w:rPr>
      </w:pPr>
    </w:p>
    <w:p>
      <w:pPr>
        <w:jc w:val="both"/>
        <w:ind w:left="-656" w:firstLine="980"/>
        <w:spacing w:after="0" w:line="263" w:lineRule="auto"/>
        <w:tabs>
          <w:tab w:leader="none" w:pos="59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applicable, issue a press release at least three days prior to the Applicable Deadline announcing that, at least ten days prior to the Applicable Deadline, the Company received notice from the Sponsor that the Sponsor intends to deposit funds into the Trust Account for extending the Applicable Deadline and the Board has approved such Extension.</w:t>
      </w:r>
    </w:p>
    <w:p>
      <w:pPr>
        <w:spacing w:after="0" w:line="183" w:lineRule="exact"/>
        <w:rPr>
          <w:rFonts w:ascii="Arial" w:cs="Arial" w:eastAsia="Arial" w:hAnsi="Arial"/>
          <w:sz w:val="18"/>
          <w:szCs w:val="18"/>
          <w:color w:val="auto"/>
        </w:rPr>
      </w:pPr>
    </w:p>
    <w:p>
      <w:pPr>
        <w:ind w:left="-656" w:firstLine="980"/>
        <w:spacing w:after="0" w:line="277" w:lineRule="auto"/>
        <w:tabs>
          <w:tab w:leader="none" w:pos="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Promptly following the Applicable Deadline, disclose whether or not the deadline for the Company to consummate a Business Combination has been extended.</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656" w:right="20" w:firstLine="980"/>
        <w:spacing w:after="0" w:line="277" w:lineRule="auto"/>
        <w:tabs>
          <w:tab w:leader="none" w:pos="59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left="-656" w:firstLine="980"/>
        <w:spacing w:after="0" w:line="277" w:lineRule="auto"/>
        <w:tabs>
          <w:tab w:leader="none" w:pos="57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left="-656" w:firstLine="980"/>
        <w:spacing w:after="0" w:line="263" w:lineRule="auto"/>
        <w:tabs>
          <w:tab w:leader="none" w:pos="56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584" w:hanging="260"/>
        <w:spacing w:after="0"/>
        <w:tabs>
          <w:tab w:leader="none" w:pos="58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656" w:firstLine="980"/>
        <w:spacing w:after="0" w:line="308" w:lineRule="auto"/>
        <w:tabs>
          <w:tab w:leader="none" w:pos="553"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239395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95" w:name="page296"/>
    <w:bookmarkEnd w:id="295"/>
    <w:p>
      <w:pPr>
        <w:jc w:val="both"/>
        <w:ind w:firstLine="980"/>
        <w:spacing w:after="0" w:line="290" w:lineRule="auto"/>
        <w:tabs>
          <w:tab w:leader="none" w:pos="119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65" w:lineRule="exact"/>
        <w:rPr>
          <w:rFonts w:ascii="Arial" w:cs="Arial" w:eastAsia="Arial" w:hAnsi="Arial"/>
          <w:sz w:val="16"/>
          <w:szCs w:val="16"/>
          <w:color w:val="auto"/>
        </w:rPr>
      </w:pPr>
    </w:p>
    <w:p>
      <w:pPr>
        <w:ind w:left="1240" w:hanging="260"/>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firstLine="980"/>
        <w:spacing w:after="0" w:line="277" w:lineRule="auto"/>
        <w:tabs>
          <w:tab w:leader="none" w:pos="125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firstLine="980"/>
        <w:spacing w:after="0" w:line="308" w:lineRule="auto"/>
        <w:tabs>
          <w:tab w:leader="none" w:pos="121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46" w:lineRule="exact"/>
        <w:rPr>
          <w:rFonts w:ascii="Arial" w:cs="Arial" w:eastAsia="Arial" w:hAnsi="Arial"/>
          <w:sz w:val="17"/>
          <w:szCs w:val="17"/>
          <w:color w:val="auto"/>
        </w:rPr>
      </w:pPr>
    </w:p>
    <w:p>
      <w:pPr>
        <w:jc w:val="both"/>
        <w:ind w:firstLine="980"/>
        <w:spacing w:after="0" w:line="263" w:lineRule="auto"/>
        <w:tabs>
          <w:tab w:leader="none" w:pos="119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franchise and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4"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 xml:space="preserve">(k) Verify calculations, qualify or otherwise approve the Company’s written requests for distributions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56"/>
        <w:spacing w:after="0" w:line="257" w:lineRule="auto"/>
        <w:tabs>
          <w:tab w:leader="none" w:pos="828"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980"/>
        <w:spacing w:after="0" w:line="271" w:lineRule="auto"/>
        <w:tabs>
          <w:tab w:leader="none" w:pos="1232"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980"/>
        <w:spacing w:after="0" w:line="263" w:lineRule="auto"/>
        <w:tabs>
          <w:tab w:leader="none" w:pos="123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(which section may not be amended under any circumstances)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ind w:left="840" w:hanging="184"/>
        <w:spacing w:after="0"/>
        <w:tabs>
          <w:tab w:leader="none" w:pos="84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72" w:lineRule="auto"/>
        <w:tabs>
          <w:tab w:leader="none" w:pos="121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77" w:lineRule="exact"/>
        <w:rPr>
          <w:rFonts w:ascii="Arial" w:cs="Arial" w:eastAsia="Arial" w:hAnsi="Arial"/>
          <w:sz w:val="17"/>
          <w:szCs w:val="17"/>
          <w:color w:val="auto"/>
        </w:rPr>
      </w:pPr>
    </w:p>
    <w:p>
      <w:pPr>
        <w:ind w:right="20" w:firstLine="980"/>
        <w:spacing w:after="0" w:line="308" w:lineRule="auto"/>
        <w:tabs>
          <w:tab w:leader="none" w:pos="125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 of the State of New York. This Agreement may be executed in several original or facsimile counterparts, each one of which shall constitute an original, and together shall constitute but one instrument.</w:t>
      </w:r>
    </w:p>
    <w:p>
      <w:pPr>
        <w:spacing w:after="0" w:line="146" w:lineRule="exact"/>
        <w:rPr>
          <w:rFonts w:ascii="Arial" w:cs="Arial" w:eastAsia="Arial" w:hAnsi="Arial"/>
          <w:sz w:val="17"/>
          <w:szCs w:val="17"/>
          <w:color w:val="auto"/>
        </w:rPr>
      </w:pPr>
    </w:p>
    <w:p>
      <w:pPr>
        <w:jc w:val="both"/>
        <w:ind w:firstLine="980"/>
        <w:spacing w:after="0" w:line="259" w:lineRule="auto"/>
        <w:tabs>
          <w:tab w:leader="none" w:pos="123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This Agreement contains the entire agreement and understanding of the parties hereto with respect to the subject matter hereof. This Agreement or any provision hereof may only be changed, amended or modified (other than to correct a typographical error) by a writing signed by each of the parties hereto; provided, however, that no such change, amendment or modification to Section 1(i), 2(f) or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may be made without the prior written consent of the Representative.</w:t>
      </w:r>
    </w:p>
    <w:p>
      <w:pPr>
        <w:spacing w:after="0" w:line="186" w:lineRule="exact"/>
        <w:rPr>
          <w:rFonts w:ascii="Arial" w:cs="Arial" w:eastAsia="Arial" w:hAnsi="Arial"/>
          <w:sz w:val="18"/>
          <w:szCs w:val="18"/>
          <w:color w:val="auto"/>
        </w:rPr>
      </w:pPr>
    </w:p>
    <w:p>
      <w:pPr>
        <w:jc w:val="both"/>
        <w:ind w:firstLine="980"/>
        <w:spacing w:after="0" w:line="287" w:lineRule="auto"/>
        <w:tabs>
          <w:tab w:leader="none" w:pos="123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This Agreement or any provision hereof may only be changed, amended or modified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with the Consent of the Stockholders. For purposes of this </w:t>
      </w:r>
      <w:r>
        <w:rPr>
          <w:rFonts w:ascii="Arial" w:cs="Arial" w:eastAsia="Arial" w:hAnsi="Arial"/>
          <w:sz w:val="16"/>
          <w:szCs w:val="16"/>
          <w:u w:val="single" w:color="auto"/>
          <w:color w:val="auto"/>
        </w:rPr>
        <w:t>Section 6(d)</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Consent of the Stockholders</w:t>
      </w:r>
      <w:r>
        <w:rPr>
          <w:rFonts w:ascii="Arial" w:cs="Arial" w:eastAsia="Arial" w:hAnsi="Arial"/>
          <w:sz w:val="16"/>
          <w:szCs w:val="16"/>
          <w:color w:val="auto"/>
        </w:rPr>
        <w:t>” means receipt by the Trustee of a certificate from the inspector of elections of the stockholder meeting certifying that the Company’s stockholders of record as of a record date established in accordance with Section 213(a) of the Delaware General Corporation Law, as amended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(or any successor rule), who hold sixty-five percent (65%) or more of all then outstanding shares of the Common Stock and Class B common stock, par value $0.0001 per share, of the Company voting together as a single class, have voted in favor of such change, amendment or modification. No such amendment will affect any Public Stockholder who has otherwise indicated his election to redeem his shares of Common Stock in connection with a stockholder vote sought to amend this Agreement to modify the substance or timing of the Company’s obligation to allow redemption in connection with the Company’s initial business combination or certain amendments to its charter prior thereto or to redeem 100% of the Common Stock if the Company does not complete its initial Business Combination within the time frame specified in the Charter or with respect to any other provision relating to stockholders’ rights or pre-initial business combination activity. Except for any liability arising out of the Trustee’s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67" w:lineRule="exact"/>
        <w:rPr>
          <w:rFonts w:ascii="Arial" w:cs="Arial" w:eastAsia="Arial" w:hAnsi="Arial"/>
          <w:sz w:val="16"/>
          <w:szCs w:val="16"/>
          <w:color w:val="auto"/>
        </w:rPr>
      </w:pPr>
    </w:p>
    <w:p>
      <w:pPr>
        <w:jc w:val="both"/>
        <w:ind w:firstLine="980"/>
        <w:spacing w:after="0" w:line="263" w:lineRule="auto"/>
        <w:tabs>
          <w:tab w:leader="none" w:pos="122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and County of the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firstLine="980"/>
        <w:spacing w:after="0" w:line="308" w:lineRule="auto"/>
        <w:tabs>
          <w:tab w:leader="none" w:pos="1188"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fwolf@continentalstock.com</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cgonzalez@continentalstock.com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Shahal Khan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 600-5757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Lucosky Brookman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Wood Avenue South,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Woodbridge, New Jersey 08830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(732) 395-4402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Lucosky,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jlucosky@lucbro.com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 Hutton, division of Benchmark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T. Rallo,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jrallo@efhuttongroup.com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Alex Weniger-Araujo,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aweniger@loeb.com</w:t>
      </w:r>
    </w:p>
    <w:p>
      <w:pPr>
        <w:spacing w:after="0" w:line="211" w:lineRule="exact"/>
        <w:rPr>
          <w:sz w:val="20"/>
          <w:szCs w:val="20"/>
          <w:color w:val="auto"/>
        </w:rPr>
      </w:pPr>
    </w:p>
    <w:p>
      <w:pPr>
        <w:jc w:val="both"/>
        <w:ind w:firstLine="980"/>
        <w:spacing w:after="0" w:line="311" w:lineRule="auto"/>
        <w:tabs>
          <w:tab w:leader="none" w:pos="123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48" w:lineRule="exact"/>
        <w:rPr>
          <w:rFonts w:ascii="Arial" w:cs="Arial" w:eastAsia="Arial" w:hAnsi="Arial"/>
          <w:sz w:val="16"/>
          <w:szCs w:val="16"/>
          <w:color w:val="auto"/>
        </w:rPr>
      </w:pPr>
    </w:p>
    <w:p>
      <w:pPr>
        <w:ind w:firstLine="980"/>
        <w:spacing w:after="0" w:line="277" w:lineRule="auto"/>
        <w:tabs>
          <w:tab w:leader="none" w:pos="126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jc w:val="both"/>
        <w:ind w:firstLine="980"/>
        <w:spacing w:after="0" w:line="263" w:lineRule="auto"/>
        <w:tabs>
          <w:tab w:leader="none" w:pos="11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3" w:lineRule="exact"/>
        <w:rPr>
          <w:rFonts w:ascii="Arial" w:cs="Arial" w:eastAsia="Arial" w:hAnsi="Arial"/>
          <w:sz w:val="18"/>
          <w:szCs w:val="18"/>
          <w:color w:val="auto"/>
        </w:rPr>
      </w:pPr>
    </w:p>
    <w:p>
      <w:pPr>
        <w:ind w:firstLine="980"/>
        <w:spacing w:after="0" w:line="277" w:lineRule="auto"/>
        <w:tabs>
          <w:tab w:leader="none" w:pos="120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acknowledges and agrees that the Representative on behalf of the Underwriters is a third party beneficiary of this Agreement.</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CONTINENTAL STOCK TRANSFER &amp; TRUST COMPANY, as</w:t>
      </w:r>
    </w:p>
    <w:p>
      <w:pPr>
        <w:spacing w:after="0" w:line="3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1375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1375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Roman Livson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Investment Management Trust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980" w:top="904" w:right="659" w:bottom="1440" w:gutter="0" w:footer="0" w:header="0"/>
        </w:sectPr>
      </w:pPr>
    </w:p>
    <w:bookmarkStart w:id="299" w:name="page300"/>
    <w:bookmarkEnd w:id="299"/>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Item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Initial set-up fee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 administration fee</w:t>
      </w:r>
    </w:p>
    <w:p>
      <w:pPr>
        <w:spacing w:after="0" w:line="21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Transaction processing fee for disbursements to Company under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p>
    <w:p>
      <w:pPr>
        <w:ind w:right="320"/>
        <w:spacing w:after="0" w:line="260" w:lineRule="auto"/>
        <w:rPr>
          <w:sz w:val="20"/>
          <w:szCs w:val="20"/>
          <w:color w:val="auto"/>
        </w:rPr>
      </w:pPr>
      <w:r>
        <w:rPr>
          <w:rFonts w:ascii="Arial" w:cs="Arial" w:eastAsia="Arial" w:hAnsi="Arial"/>
          <w:sz w:val="18"/>
          <w:szCs w:val="18"/>
          <w:color w:val="auto"/>
        </w:rPr>
        <w:t xml:space="preserve">Paying Agent services as required pursuant to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180" w:type="dxa"/>
            <w:vAlign w:val="bottom"/>
            <w:gridSpan w:val="6"/>
          </w:tcPr>
          <w:p>
            <w:pPr>
              <w:ind w:left="640"/>
              <w:spacing w:after="0"/>
              <w:rPr>
                <w:sz w:val="20"/>
                <w:szCs w:val="20"/>
                <w:color w:val="auto"/>
              </w:rPr>
            </w:pPr>
            <w:r>
              <w:rPr>
                <w:rFonts w:ascii="Arial" w:cs="Arial" w:eastAsia="Arial" w:hAnsi="Arial"/>
                <w:sz w:val="18"/>
                <w:szCs w:val="18"/>
                <w:b w:val="1"/>
                <w:bCs w:val="1"/>
                <w:color w:val="auto"/>
              </w:rPr>
              <w:t>SCHEDULE 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00" w:type="dxa"/>
            <w:vAlign w:val="bottom"/>
            <w:gridSpan w:val="5"/>
          </w:tcPr>
          <w:p>
            <w:pPr>
              <w:ind w:left="560"/>
              <w:spacing w:after="0"/>
              <w:rPr>
                <w:sz w:val="20"/>
                <w:szCs w:val="20"/>
                <w:color w:val="auto"/>
              </w:rPr>
            </w:pPr>
            <w:r>
              <w:rPr>
                <w:rFonts w:ascii="Arial" w:cs="Arial" w:eastAsia="Arial" w:hAnsi="Arial"/>
                <w:sz w:val="18"/>
                <w:szCs w:val="18"/>
                <w:b w:val="1"/>
                <w:bCs w:val="1"/>
                <w:color w:val="auto"/>
              </w:rPr>
              <w:t>Time and method of payment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r>
      <w:tr>
        <w:trPr>
          <w:trHeight w:val="195"/>
        </w:trPr>
        <w:tc>
          <w:tcPr>
            <w:tcW w:w="5640" w:type="dxa"/>
            <w:vAlign w:val="bottom"/>
            <w:tcBorders>
              <w:top w:val="single" w:sz="8" w:color="auto"/>
            </w:tcBorders>
            <w:gridSpan w:val="7"/>
          </w:tcPr>
          <w:p>
            <w:pPr>
              <w:ind w:left="20"/>
              <w:spacing w:after="0" w:line="195" w:lineRule="exact"/>
              <w:rPr>
                <w:sz w:val="20"/>
                <w:szCs w:val="20"/>
                <w:color w:val="auto"/>
              </w:rPr>
            </w:pPr>
            <w:r>
              <w:rPr>
                <w:rFonts w:ascii="Arial" w:cs="Arial" w:eastAsia="Arial" w:hAnsi="Arial"/>
                <w:sz w:val="18"/>
                <w:szCs w:val="18"/>
                <w:color w:val="auto"/>
              </w:rPr>
              <w:t>Initial closing of Offering by wire transfer.</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3,500</w:t>
            </w:r>
          </w:p>
        </w:tc>
        <w:tc>
          <w:tcPr>
            <w:tcW w:w="20" w:type="dxa"/>
            <w:vAlign w:val="bottom"/>
          </w:tcPr>
          <w:p>
            <w:pPr>
              <w:spacing w:after="0"/>
              <w:rPr>
                <w:sz w:val="16"/>
                <w:szCs w:val="16"/>
                <w:color w:val="auto"/>
              </w:rPr>
            </w:pPr>
          </w:p>
        </w:tc>
      </w:tr>
      <w:tr>
        <w:trPr>
          <w:trHeight w:val="216"/>
        </w:trPr>
        <w:tc>
          <w:tcPr>
            <w:tcW w:w="5640" w:type="dxa"/>
            <w:vAlign w:val="bottom"/>
            <w:gridSpan w:val="7"/>
          </w:tcPr>
          <w:p>
            <w:pPr>
              <w:ind w:left="20"/>
              <w:spacing w:after="0"/>
              <w:rPr>
                <w:sz w:val="20"/>
                <w:szCs w:val="20"/>
                <w:color w:val="auto"/>
              </w:rPr>
            </w:pPr>
            <w:r>
              <w:rPr>
                <w:rFonts w:ascii="Arial" w:cs="Arial" w:eastAsia="Arial" w:hAnsi="Arial"/>
                <w:sz w:val="18"/>
                <w:szCs w:val="18"/>
                <w:color w:val="auto"/>
                <w:w w:val="92"/>
              </w:rPr>
              <w:t>Payable annually. First year fee payable, at initial closing of Offering by wire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16"/>
        </w:trPr>
        <w:tc>
          <w:tcPr>
            <w:tcW w:w="5640" w:type="dxa"/>
            <w:vAlign w:val="bottom"/>
            <w:gridSpan w:val="7"/>
          </w:tcPr>
          <w:p>
            <w:pPr>
              <w:ind w:left="20"/>
              <w:spacing w:after="0"/>
              <w:rPr>
                <w:sz w:val="20"/>
                <w:szCs w:val="20"/>
                <w:color w:val="auto"/>
              </w:rPr>
            </w:pPr>
            <w:r>
              <w:rPr>
                <w:rFonts w:ascii="Arial" w:cs="Arial" w:eastAsia="Arial" w:hAnsi="Arial"/>
                <w:sz w:val="18"/>
                <w:szCs w:val="18"/>
                <w:color w:val="auto"/>
              </w:rPr>
              <w:t>transfer, thereafter by wire transfer or check.</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gridSpan w:val="7"/>
          </w:tcPr>
          <w:p>
            <w:pPr>
              <w:ind w:left="20"/>
              <w:spacing w:after="0"/>
              <w:rPr>
                <w:sz w:val="20"/>
                <w:szCs w:val="20"/>
                <w:color w:val="auto"/>
              </w:rPr>
            </w:pPr>
            <w:r>
              <w:rPr>
                <w:rFonts w:ascii="Arial" w:cs="Arial" w:eastAsia="Arial" w:hAnsi="Arial"/>
                <w:sz w:val="18"/>
                <w:szCs w:val="18"/>
                <w:color w:val="auto"/>
              </w:rPr>
              <w:t>Billed to Company following disbursement made to Company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190"/>
        </w:trPr>
        <w:tc>
          <w:tcPr>
            <w:tcW w:w="5640" w:type="dxa"/>
            <w:vAlign w:val="bottom"/>
            <w:gridSpan w:val="7"/>
          </w:tcPr>
          <w:p>
            <w:pPr>
              <w:ind w:left="20"/>
              <w:spacing w:after="0" w:line="190" w:lineRule="exact"/>
              <w:rPr>
                <w:sz w:val="20"/>
                <w:szCs w:val="20"/>
                <w:color w:val="auto"/>
              </w:rPr>
            </w:pPr>
            <w:r>
              <w:rPr>
                <w:rFonts w:ascii="Arial" w:cs="Arial" w:eastAsia="Arial" w:hAnsi="Arial"/>
                <w:sz w:val="18"/>
                <w:szCs w:val="18"/>
                <w:color w:val="auto"/>
              </w:rPr>
              <w:t>under Section 1</w:t>
            </w:r>
          </w:p>
        </w:tc>
        <w:tc>
          <w:tcPr>
            <w:tcW w:w="3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5640" w:type="dxa"/>
            <w:vAlign w:val="bottom"/>
            <w:gridSpan w:val="7"/>
          </w:tcPr>
          <w:p>
            <w:pPr>
              <w:ind w:left="20"/>
              <w:spacing w:after="0" w:line="196" w:lineRule="exact"/>
              <w:rPr>
                <w:sz w:val="20"/>
                <w:szCs w:val="20"/>
                <w:color w:val="auto"/>
              </w:rPr>
            </w:pPr>
            <w:r>
              <w:rPr>
                <w:rFonts w:ascii="Arial" w:cs="Arial" w:eastAsia="Arial" w:hAnsi="Arial"/>
                <w:sz w:val="18"/>
                <w:szCs w:val="18"/>
                <w:color w:val="auto"/>
                <w:w w:val="92"/>
              </w:rPr>
              <w:t>Billed to Company upon delivery of service pursuant to Section 1(i) and 1(k)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1"/>
              </w:rPr>
              <w:t>Prevailing rates</w:t>
            </w: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-393700</wp:posOffset>
            </wp:positionV>
            <wp:extent cx="7132320" cy="274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-814070</wp:posOffset>
            </wp:positionV>
            <wp:extent cx="7132320" cy="146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565785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440" w:space="500"/>
            <w:col w:w="7200"/>
          </w:cols>
          <w:pgMar w:left="320" w:top="904" w:right="4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Section 1(i) of the Investment Management Trust Agreement between BurTech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 has entered into</w:t>
      </w:r>
    </w:p>
    <w:p>
      <w:pPr>
        <w:jc w:val="both"/>
        <w:spacing w:after="0" w:line="253" w:lineRule="auto"/>
        <w:rPr>
          <w:sz w:val="20"/>
          <w:szCs w:val="20"/>
          <w:color w:val="auto"/>
        </w:rPr>
      </w:pPr>
      <w:r>
        <w:rPr>
          <w:rFonts w:ascii="Arial" w:cs="Arial" w:eastAsia="Arial" w:hAnsi="Arial"/>
          <w:sz w:val="18"/>
          <w:szCs w:val="18"/>
          <w:color w:val="auto"/>
        </w:rPr>
        <w:t>an agreement with (the “</w:t>
      </w:r>
      <w:r>
        <w:rPr>
          <w:rFonts w:ascii="Arial" w:cs="Arial" w:eastAsia="Arial" w:hAnsi="Arial"/>
          <w:sz w:val="18"/>
          <w:szCs w:val="18"/>
          <w:b w:val="1"/>
          <w:bCs w:val="1"/>
          <w:i w:val="1"/>
          <w:iCs w:val="1"/>
          <w:color w:val="auto"/>
        </w:rPr>
        <w:t>Target Business</w:t>
      </w:r>
      <w:r>
        <w:rPr>
          <w:rFonts w:ascii="Arial" w:cs="Arial" w:eastAsia="Arial" w:hAnsi="Arial"/>
          <w:sz w:val="18"/>
          <w:szCs w:val="18"/>
          <w:color w:val="auto"/>
        </w:rPr>
        <w:t>”) to consummate a business combination with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on or about [insert date]. The Company shall notify you at least seventy-two (72) hours in advance of the actual date (or such shorter period as you may agree) of the 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to a segregated account held by you on behalf of the Beneficiaries to the effect that, on the Consummation Date, all of the funds held in the Trust Account at J.P. Morgan Chase Bank, N.A. will be immediately available for transfer to the account or accounts that the Company shall direct on the Consummation Date (including as directed to it by the Representative on behalf of the Underwriters (with respect to the Deferred Discount)). It is acknowledged and agreed that while the funds are on deposit in the Trust Account at J.P. Morgan Chase Bank, N.A. awaiting distribution, the Company will not earn any interest or dividends.</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 and</w:t>
      </w:r>
    </w:p>
    <w:p>
      <w:pPr>
        <w:jc w:val="both"/>
        <w:ind w:firstLine="8"/>
        <w:spacing w:after="0" w:line="286" w:lineRule="auto"/>
        <w:tabs>
          <w:tab w:leader="none" w:pos="26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shall deliver to you (a) a certificate by the Chief Executive Officer, which verifies that the Business Combination has been approved by a vote of the Company’s stockholders, if a vote is held and (b) a joint written instruction signed by the Company and the Representative with respect to the transfer of the funds held in the Trust Account, including payment of amounts owed to public stockholders who have properly exercised their redemption rights and payment of the Deferred Discount to the Representative from the Trust Account (the “</w:t>
      </w:r>
      <w:r>
        <w:rPr>
          <w:rFonts w:ascii="Arial" w:cs="Arial" w:eastAsia="Arial" w:hAnsi="Arial"/>
          <w:sz w:val="16"/>
          <w:szCs w:val="16"/>
          <w:b w:val="1"/>
          <w:bCs w:val="1"/>
          <w:i w:val="1"/>
          <w:iCs w:val="1"/>
          <w:color w:val="auto"/>
        </w:rPr>
        <w:t>Instruction Letter</w:t>
      </w:r>
      <w:r>
        <w:rPr>
          <w:rFonts w:ascii="Arial" w:cs="Arial" w:eastAsia="Arial" w:hAnsi="Arial"/>
          <w:sz w:val="16"/>
          <w:szCs w:val="16"/>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7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BurTech Acquisition Corp.</w:t>
      </w: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&amp; Agreed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 Hutton, Division of Benchmark Investments,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1375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Pursuant to Section 1(i) of the Investment Management Trust Agreement between BurTech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 has been</w:t>
      </w:r>
    </w:p>
    <w:p>
      <w:pPr>
        <w:jc w:val="both"/>
        <w:ind w:right="20"/>
        <w:spacing w:after="0" w:line="260" w:lineRule="auto"/>
        <w:rPr>
          <w:sz w:val="20"/>
          <w:szCs w:val="20"/>
          <w:color w:val="auto"/>
        </w:rPr>
      </w:pPr>
      <w:r>
        <w:rPr>
          <w:rFonts w:ascii="Arial" w:cs="Arial" w:eastAsia="Arial" w:hAnsi="Arial"/>
          <w:sz w:val="18"/>
          <w:szCs w:val="18"/>
          <w:color w:val="auto"/>
        </w:rPr>
        <w:t>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Charter. Capitalized terms used but not defined herein shall have the meanings set forth in the Trust Agreement.</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Account and to transfer the total proceeds into a segregated account held by you on behalf of the Beneficiaries to await distribution to the Public Stockholders. The Company has</w:t>
      </w:r>
    </w:p>
    <w:p>
      <w:pPr>
        <w:jc w:val="both"/>
        <w:spacing w:after="0" w:line="244" w:lineRule="auto"/>
        <w:rPr>
          <w:sz w:val="20"/>
          <w:szCs w:val="20"/>
          <w:color w:val="auto"/>
        </w:rPr>
      </w:pPr>
      <w:r>
        <w:rPr>
          <w:rFonts w:ascii="Arial" w:cs="Arial" w:eastAsia="Arial" w:hAnsi="Arial"/>
          <w:sz w:val="17"/>
          <w:szCs w:val="17"/>
          <w:color w:val="auto"/>
        </w:rPr>
        <w:t xml:space="preserve">selected </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Company’s Public Stockholders in accordance with the terms of the Trust Agreement and the Charter.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7"/>
          <w:szCs w:val="17"/>
          <w:u w:val="single" w:color="auto"/>
          <w:color w:val="auto"/>
        </w:rPr>
        <w:t>Section 1(i)</w:t>
      </w:r>
      <w:r>
        <w:rPr>
          <w:rFonts w:ascii="Arial" w:cs="Arial" w:eastAsia="Arial" w:hAnsi="Arial"/>
          <w:sz w:val="17"/>
          <w:szCs w:val="17"/>
          <w:color w:val="auto"/>
        </w:rPr>
        <w:t xml:space="preserve"> of the Trust Agreement.</w:t>
      </w:r>
    </w:p>
    <w:p>
      <w:pPr>
        <w:spacing w:after="0" w:line="200" w:lineRule="exact"/>
        <w:rPr>
          <w:sz w:val="20"/>
          <w:szCs w:val="20"/>
          <w:color w:val="auto"/>
        </w:rPr>
      </w:pPr>
    </w:p>
    <w:p>
      <w:pPr>
        <w:ind w:left="680" w:right="100" w:hanging="627"/>
        <w:spacing w:after="0" w:line="277" w:lineRule="auto"/>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12 months from the closing of the Offering or such later date or such later date upon Extensions, if any, or as may be approved by the Company’s stockholders in accordance with the Charter.</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EF Hutton, Division of Benchmark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w:t>
      </w:r>
      <w:r>
        <w:rPr>
          <w:rFonts w:ascii="Arial" w:cs="Arial" w:eastAsia="Arial" w:hAnsi="Arial"/>
          <w:sz w:val="16"/>
          <w:szCs w:val="16"/>
          <w:color w:val="auto"/>
        </w:rPr>
        <w:t xml:space="preserve"> of the Investment Management Trust Agreement between BurTech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 you deliver to the</w:t>
      </w:r>
    </w:p>
    <w:p>
      <w:pPr>
        <w:jc w:val="both"/>
        <w:spacing w:after="0" w:line="260" w:lineRule="auto"/>
        <w:rPr>
          <w:sz w:val="20"/>
          <w:szCs w:val="20"/>
          <w:color w:val="auto"/>
        </w:rPr>
      </w:pPr>
      <w:r>
        <w:rPr>
          <w:rFonts w:ascii="Arial" w:cs="Arial" w:eastAsia="Arial" w:hAnsi="Arial"/>
          <w:sz w:val="18"/>
          <w:szCs w:val="18"/>
          <w:color w:val="auto"/>
        </w:rPr>
        <w:t>Company $ of the interest income earned on the Property as of the date hereof. Capitalized terms used but not defined herein shall have the meanings set forth in the Trust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EF Hutton, Division of Benchmark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1(k)</w:t>
      </w:r>
      <w:r>
        <w:rPr>
          <w:rFonts w:ascii="Arial" w:cs="Arial" w:eastAsia="Arial" w:hAnsi="Arial"/>
          <w:sz w:val="16"/>
          <w:szCs w:val="16"/>
          <w:color w:val="auto"/>
        </w:rPr>
        <w:t xml:space="preserve"> of the Investment Management Trust Agreement between BurTech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 you deliver to the</w:t>
      </w:r>
    </w:p>
    <w:p>
      <w:pPr>
        <w:jc w:val="both"/>
        <w:spacing w:after="0" w:line="255" w:lineRule="auto"/>
        <w:rPr>
          <w:sz w:val="20"/>
          <w:szCs w:val="20"/>
          <w:color w:val="auto"/>
        </w:rPr>
      </w:pPr>
      <w:r>
        <w:rPr>
          <w:rFonts w:ascii="Arial" w:cs="Arial" w:eastAsia="Arial" w:hAnsi="Arial"/>
          <w:sz w:val="18"/>
          <w:szCs w:val="18"/>
          <w:color w:val="auto"/>
        </w:rPr>
        <w:t>redeeming Public Stockholders of the Company $ of the principal and interest income earned on the Property as of the date hereof to a segregated account held by you on behalf of the Beneficiaries for distribution to the Stockholders who have requested redemption of their Common Stock. Capitalized terms used but not defined herein shall have the meanings set forth in the Trust Agreement.</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needs such funds to pay its Public Stockholders who have properly elected to have their shares of Common Stock redeemed by the Company in connection with a stockholder vote to approve an amendment to the Charter to modify the substance or timing of the Company’s obligation to allow redemption in connection with the Company’s initial business combination or certain amendments to its charter prior thereto or to redeem 100% of public shares of Common Stock if the Company has not consummated an initial Business Combination within such time as is described in the Charter or with respect to any other provisions relating to stockholders’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9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EF Hutton, Division of Benchmark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ind w:left="680"/>
              <w:spacing w:after="0"/>
              <w:rPr>
                <w:sz w:val="20"/>
                <w:szCs w:val="20"/>
                <w:color w:val="auto"/>
              </w:rPr>
            </w:pPr>
            <w:r>
              <w:rPr>
                <w:rFonts w:ascii="Arial" w:cs="Arial" w:eastAsia="Arial" w:hAnsi="Arial"/>
                <w:sz w:val="18"/>
                <w:szCs w:val="18"/>
                <w:color w:val="auto"/>
              </w:rPr>
              <w:t>Re:</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Trust Account No. [   ] Extension Letter</w:t>
            </w: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Gentlemen:</w:t>
            </w:r>
          </w:p>
        </w:tc>
        <w:tc>
          <w:tcPr>
            <w:tcW w:w="2960" w:type="dxa"/>
            <w:vAlign w:val="bottom"/>
          </w:tcPr>
          <w:p>
            <w:pPr>
              <w:spacing w:after="0"/>
              <w:rPr>
                <w:sz w:val="24"/>
                <w:szCs w:val="24"/>
                <w:color w:val="auto"/>
              </w:rPr>
            </w:pPr>
          </w:p>
        </w:tc>
      </w:tr>
    </w:tbl>
    <w:p>
      <w:pPr>
        <w:spacing w:after="0" w:line="19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Pursuant to Section 1(m) of the Investment Management Trust Agreement between BurTech Acquisition Corp. (“</w:t>
      </w:r>
      <w:r>
        <w:rPr>
          <w:rFonts w:ascii="Arial" w:cs="Arial" w:eastAsia="Arial" w:hAnsi="Arial"/>
          <w:sz w:val="16"/>
          <w:szCs w:val="16"/>
          <w:b w:val="1"/>
          <w:bCs w:val="1"/>
          <w:color w:val="auto"/>
        </w:rPr>
        <w:t>Company</w:t>
      </w:r>
      <w:r>
        <w:rPr>
          <w:rFonts w:ascii="Arial" w:cs="Arial" w:eastAsia="Arial" w:hAnsi="Arial"/>
          <w:sz w:val="16"/>
          <w:szCs w:val="16"/>
          <w:color w:val="auto"/>
        </w:rPr>
        <w:t>”) and Continental Stock Transfer &amp; Trust Company, dated as of _____, 2021 (“</w:t>
      </w:r>
      <w:r>
        <w:rPr>
          <w:rFonts w:ascii="Arial" w:cs="Arial" w:eastAsia="Arial" w:hAnsi="Arial"/>
          <w:sz w:val="16"/>
          <w:szCs w:val="16"/>
          <w:b w:val="1"/>
          <w:bCs w:val="1"/>
          <w:color w:val="auto"/>
        </w:rPr>
        <w:t>Trust Agreement</w:t>
      </w:r>
      <w:r>
        <w:rPr>
          <w:rFonts w:ascii="Arial" w:cs="Arial" w:eastAsia="Arial" w:hAnsi="Arial"/>
          <w:sz w:val="16"/>
          <w:szCs w:val="16"/>
          <w:color w:val="auto"/>
        </w:rPr>
        <w:t>”), this is to advise you that the Company is extending the time available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consummate a Business Combination for an additional three (3) months, from _______ to _________ (the “</w:t>
      </w:r>
      <w:r>
        <w:rPr>
          <w:rFonts w:ascii="Arial" w:cs="Arial" w:eastAsia="Arial" w:hAnsi="Arial"/>
          <w:sz w:val="18"/>
          <w:szCs w:val="18"/>
          <w:b w:val="1"/>
          <w:bCs w:val="1"/>
          <w:color w:val="auto"/>
        </w:rPr>
        <w:t>Extension</w:t>
      </w:r>
      <w:r>
        <w:rPr>
          <w:rFonts w:ascii="Arial" w:cs="Arial" w:eastAsia="Arial" w:hAnsi="Arial"/>
          <w:sz w:val="18"/>
          <w:szCs w:val="18"/>
          <w:color w:val="auto"/>
        </w:rPr>
        <w: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Extension Letter shall serve as the notice required with respect to the Extension prior to the Applicable Deadline. Capitalized words used herein and not otherwise defined shall have the meanings ascribed to them in the Trust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terms of the Trust Agreement, we hereby authorize you to deposit $253,750,000 [(or $291,812,500 if the underwriters’ over-allotment option was exercised in full)], which will be wired to you, into the Trust Account investments upon receipt.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the ____ of up to two Extension Letters.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EF Hutton, Division of Benchmark Investments,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 2021, is made and entered into by and among BurTech Acquisition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BurTech LP,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(and together with any other parties listed on the signature pages hereto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being referred to herein as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Sponsor have entered into that certain Securities Subscription Agreement, dated as of May 21, 2021,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the Sponsor purchased an aggregate of 8,625,000 shares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of the Company’s Class B common stock, par value $0.0001 per share;</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on September 24, 2021, the Company issued an additional 862,500 shares of Class B common stock to the Sponsor in connection with a 1.1 stock split, resulting in an aggregate of 9,487,500 Founder Shares, up to 1,237,500 of which will be forfeited to the Company for no consideration depending on the extent to which the underwriters of the Company’s initial public offering exercise their over-allotment option;</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Founder Shares are convertible into shares of the Company’s Class A common stock, par value $0.0001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on the terms and conditions provided in the Company’s amended and restated certificate of incorporation;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agreed to issue to EF Hutton, Division of Benchmark Investments, LLC.,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375,000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of the Company (the “</w:t>
      </w:r>
      <w:r>
        <w:rPr>
          <w:rFonts w:ascii="Arial" w:cs="Arial" w:eastAsia="Arial" w:hAnsi="Arial"/>
          <w:sz w:val="18"/>
          <w:szCs w:val="18"/>
          <w:b w:val="1"/>
          <w:bCs w:val="1"/>
          <w:i w:val="1"/>
          <w:iCs w:val="1"/>
          <w:color w:val="auto"/>
        </w:rPr>
        <w:t>Representative Shares</w:t>
      </w:r>
      <w:r>
        <w:rPr>
          <w:rFonts w:ascii="Arial" w:cs="Arial" w:eastAsia="Arial" w:hAnsi="Arial"/>
          <w:sz w:val="18"/>
          <w:szCs w:val="18"/>
          <w:color w:val="auto"/>
        </w:rPr>
        <w:t>”) and the Company also agreed to issue an additional of up to 56,250 Representative Shares upon exercise of the underwriters' over-allotment option;</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 ], 2021, the Company and the Sponsor entered into that certain Placement Unit Subscription Agreement (the “</w:t>
      </w:r>
      <w:r>
        <w:rPr>
          <w:rFonts w:ascii="Arial" w:cs="Arial" w:eastAsia="Arial" w:hAnsi="Arial"/>
          <w:sz w:val="18"/>
          <w:szCs w:val="18"/>
          <w:b w:val="1"/>
          <w:bCs w:val="1"/>
          <w:i w:val="1"/>
          <w:iCs w:val="1"/>
          <w:color w:val="auto"/>
        </w:rPr>
        <w:t>Sponsor Unit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Subscription Agreement</w:t>
      </w:r>
      <w:r>
        <w:rPr>
          <w:rFonts w:ascii="Arial" w:cs="Arial" w:eastAsia="Arial" w:hAnsi="Arial"/>
          <w:sz w:val="18"/>
          <w:szCs w:val="18"/>
          <w:color w:val="auto"/>
        </w:rPr>
        <w:t>”), pursuant to which the Sponsor agreed to purchase 804,500 units (or up to 898,250 units to the extent the over-allotment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Company’s initial public offering is exercised in full) (the “</w:t>
      </w:r>
      <w:r>
        <w:rPr>
          <w:rFonts w:ascii="Arial" w:cs="Arial" w:eastAsia="Arial" w:hAnsi="Arial"/>
          <w:sz w:val="18"/>
          <w:szCs w:val="18"/>
          <w:b w:val="1"/>
          <w:bCs w:val="1"/>
          <w:i w:val="1"/>
          <w:iCs w:val="1"/>
          <w:color w:val="auto"/>
        </w:rPr>
        <w:t>Sponsor Private Placement Units</w:t>
      </w:r>
      <w:r>
        <w:rPr>
          <w:rFonts w:ascii="Arial" w:cs="Arial" w:eastAsia="Arial" w:hAnsi="Arial"/>
          <w:sz w:val="18"/>
          <w:szCs w:val="18"/>
          <w:color w:val="auto"/>
        </w:rPr>
        <w:t>”), each unit consisting of one share of Common Stock and one warrant to purchase one share of Common Stock, in a private placement transaction occurring simultaneously with the closing of the Company’s initial public offering;</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finance the Company’s transaction costs in connection with an intended initial Business Combination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the Sponsor or an affiliate of the Sponsor or certain of the Company’s officers and directors may loan to the Company funds as the Company may require, of which up to $1,500,000 of such loans may be convertible into units, each unit consisting of one share of Common Stock and one-half of one warrant to purchase one share of Common Stock (“</w:t>
      </w:r>
      <w:r>
        <w:rPr>
          <w:rFonts w:ascii="Arial" w:cs="Arial" w:eastAsia="Arial" w:hAnsi="Arial"/>
          <w:sz w:val="17"/>
          <w:szCs w:val="17"/>
          <w:b w:val="1"/>
          <w:bCs w:val="1"/>
          <w:i w:val="1"/>
          <w:iCs w:val="1"/>
          <w:color w:val="auto"/>
        </w:rPr>
        <w:t>Working Capital Units</w:t>
      </w:r>
      <w:r>
        <w:rPr>
          <w:rFonts w:ascii="Arial" w:cs="Arial" w:eastAsia="Arial" w:hAnsi="Arial"/>
          <w:sz w:val="17"/>
          <w:szCs w:val="17"/>
          <w:color w:val="auto"/>
        </w:rPr>
        <w:t>”) at a price of $10.00 per unit; and</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7" w:name="page308"/>
    <w:bookmarkEnd w:id="307"/>
    <w:p>
      <w:pPr>
        <w:ind w:left="51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The terms defined in this </w:t>
      </w:r>
      <w:r>
        <w:rPr>
          <w:rFonts w:ascii="Arial" w:cs="Arial" w:eastAsia="Arial" w:hAnsi="Arial"/>
          <w:sz w:val="17"/>
          <w:szCs w:val="17"/>
          <w:i w:val="1"/>
          <w:iCs w:val="1"/>
          <w:u w:val="single" w:color="auto"/>
          <w:color w:val="auto"/>
        </w:rPr>
        <w:t>Article I</w:t>
      </w:r>
      <w:r>
        <w:rPr>
          <w:rFonts w:ascii="Arial" w:cs="Arial" w:eastAsia="Arial" w:hAnsi="Arial"/>
          <w:sz w:val="17"/>
          <w:szCs w:val="17"/>
          <w:color w:val="auto"/>
        </w:rPr>
        <w:t xml:space="preserve"> shall, for all purposes of this Agreement, have the respective meanings set forth below:</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six months after the completion of the Company’s initial Business Combination and (B) subsequent to the Business Combination, (x) if the reported last sale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 2021, by and among the Company, the Sponsor and each of the Company’s officers, directors, director nominees and advisors.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under the Insider Letter, the Sponsor Subscription Agreement, this Agreement and any other applicable agreement between such Holder and the Company, and to any transferee thereafter.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the Founder Shares and the shares of Common Stock issued or issuable upon the conversion of any Founder Shares, (b) the Representative Shares, (c) any outstanding share of the Common Stock or any other equity security (including the shares of Common Stock issued or issuable upon the exercise of any other equity security) of the Company held by a Holder as of the date of this Agreement, (d) any Working Capital Units (including the shares of Common Stock and warrants underlying the Working Capital Units, and the shares of Common Stock issued or issuable upon the exercise of the warrants underlying the Working Capital Units), and (e) any other equity security of the Company issued or issuable with respect to any such share of the Common Stock by way of a stock dividend or stock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firstLine="656"/>
        <w:spacing w:after="0" w:line="277" w:lineRule="auto"/>
        <w:tabs>
          <w:tab w:leader="none" w:pos="99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firstLine="656"/>
        <w:spacing w:after="0" w:line="277" w:lineRule="auto"/>
        <w:tabs>
          <w:tab w:leader="none" w:pos="93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9" w:name="page310"/>
    <w:bookmarkEnd w:id="309"/>
    <w:p>
      <w:pPr>
        <w:ind w:firstLine="656"/>
        <w:spacing w:after="0" w:line="277" w:lineRule="auto"/>
        <w:tabs>
          <w:tab w:leader="none" w:pos="9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firstLine="656"/>
        <w:spacing w:after="0" w:line="277" w:lineRule="auto"/>
        <w:tabs>
          <w:tab w:leader="none" w:pos="9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shall mean EF Hutton, a division of Benchmark Investments, LLC.</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 Shares</w:t>
      </w:r>
      <w:r>
        <w:rPr>
          <w:rFonts w:ascii="Arial" w:cs="Arial" w:eastAsia="Arial" w:hAnsi="Arial"/>
          <w:sz w:val="16"/>
          <w:szCs w:val="16"/>
          <w:color w:val="auto"/>
        </w:rPr>
        <w:t>” shall mean the 375,000 shares (or 431,250 shares upon full exercise of the underwriters' over-allotment option) of the Company’s Class A common stock issued to the Representative and its designees upon the consummation of the Company’s initial public offering.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Private Placement Units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Unit Subscription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Units</w:t>
      </w:r>
      <w:r>
        <w:rPr>
          <w:rFonts w:ascii="Arial" w:cs="Arial" w:eastAsia="Arial" w:hAnsi="Arial"/>
          <w:sz w:val="18"/>
          <w:szCs w:val="18"/>
          <w:color w:val="auto"/>
        </w:rPr>
        <w:t>” shall have the meaning given in the Recitals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Section 2.4 hereof, at any time and from time to time on or after the date the Company consummates the Business Combination, the Holders of at least a majority in interest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w:t>
      </w:r>
    </w:p>
    <w:p>
      <w:pPr>
        <w:spacing w:after="0" w:line="39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both"/>
        <w:ind w:firstLine="972"/>
        <w:spacing w:after="0" w:line="283"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i w:val="1"/>
          <w:iCs w:val="1"/>
          <w:color w:val="auto"/>
        </w:rPr>
        <w:t>Maximum Number of Securities</w:t>
      </w:r>
      <w:r>
        <w:rPr>
          <w:rFonts w:ascii="Arial" w:cs="Arial" w:eastAsia="Arial" w:hAnsi="Arial"/>
          <w:sz w:val="16"/>
          <w:szCs w:val="16"/>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6"/>
          <w:szCs w:val="16"/>
          <w:b w:val="1"/>
          <w:bCs w:val="1"/>
          <w:i w:val="1"/>
          <w:iCs w:val="1"/>
          <w:color w:val="auto"/>
        </w:rPr>
        <w:t>Pro Rata</w:t>
      </w:r>
      <w:r>
        <w:rPr>
          <w:rFonts w:ascii="Arial" w:cs="Arial" w:eastAsia="Arial" w:hAnsi="Arial"/>
          <w:sz w:val="16"/>
          <w:szCs w:val="16"/>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without exceeding the Maximum Number of Securities; and (iii) third, to the extent that the Maximum Number of Securities has not been reached under the foregoing clauses</w:t>
      </w:r>
    </w:p>
    <w:p>
      <w:pPr>
        <w:jc w:val="both"/>
        <w:ind w:firstLine="8"/>
        <w:spacing w:after="0" w:line="273" w:lineRule="auto"/>
        <w:tabs>
          <w:tab w:leader="none" w:pos="222"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76"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stock option or other benefit plan, (ii) for an exchange offer or offering of securities solely to the Company’s existing stockholders,</w:t>
      </w:r>
    </w:p>
    <w:p>
      <w:pPr>
        <w:spacing w:after="0" w:line="2" w:lineRule="exact"/>
        <w:rPr>
          <w:sz w:val="20"/>
          <w:szCs w:val="20"/>
          <w:color w:val="auto"/>
        </w:rPr>
      </w:pPr>
    </w:p>
    <w:p>
      <w:pPr>
        <w:jc w:val="both"/>
        <w:ind w:firstLine="8"/>
        <w:spacing w:after="0" w:line="267" w:lineRule="auto"/>
        <w:tabs>
          <w:tab w:leader="none" w:pos="32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2" w:name="page313"/>
    <w:bookmarkEnd w:id="312"/>
    <w:p>
      <w:pPr>
        <w:jc w:val="both"/>
        <w:ind w:firstLine="972"/>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jc w:val="both"/>
        <w:ind w:firstLine="1304"/>
        <w:spacing w:after="0" w:line="274" w:lineRule="auto"/>
        <w:tabs>
          <w:tab w:leader="none" w:pos="1572" w:val="left"/>
        </w:tabs>
        <w:numPr>
          <w:ilvl w:val="1"/>
          <w:numId w:val="192"/>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the Company shall include in any such Registration (A) first, the Common Stock or other equity securities that the Company desires to sell, which can be sold without exceeding the Maximum Number of Securities;</w:t>
      </w:r>
    </w:p>
    <w:p>
      <w:pPr>
        <w:jc w:val="both"/>
        <w:ind w:firstLine="8"/>
        <w:spacing w:after="0" w:line="281" w:lineRule="auto"/>
        <w:tabs>
          <w:tab w:leader="none" w:pos="31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which can be sold without exceeding the Maximum Number of Securities; and (C) third, to the extent that the Maximum Number of Securities has not been reached under the foregoing clauses</w:t>
      </w:r>
    </w:p>
    <w:p>
      <w:pPr>
        <w:spacing w:after="0" w:line="1" w:lineRule="exact"/>
        <w:rPr>
          <w:rFonts w:ascii="Arial" w:cs="Arial" w:eastAsia="Arial" w:hAnsi="Arial"/>
          <w:sz w:val="16"/>
          <w:szCs w:val="16"/>
          <w:color w:val="auto"/>
        </w:rPr>
      </w:pPr>
    </w:p>
    <w:p>
      <w:pPr>
        <w:ind w:firstLine="8"/>
        <w:spacing w:after="0" w:line="260" w:lineRule="auto"/>
        <w:tabs>
          <w:tab w:leader="none" w:pos="30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and (B), the Common Stock, if any, as to which Registration has been requested pursuant to written contractual piggy-back registration rights of other stockholders of the Company, which can be sold without exceeding the Maximum Number of Securities;</w:t>
      </w:r>
    </w:p>
    <w:p>
      <w:pPr>
        <w:spacing w:after="0" w:line="185" w:lineRule="exact"/>
        <w:rPr>
          <w:rFonts w:ascii="Arial" w:cs="Arial" w:eastAsia="Arial" w:hAnsi="Arial"/>
          <w:sz w:val="18"/>
          <w:szCs w:val="18"/>
          <w:color w:val="auto"/>
        </w:rPr>
      </w:pPr>
    </w:p>
    <w:p>
      <w:pPr>
        <w:jc w:val="both"/>
        <w:ind w:firstLine="1304"/>
        <w:spacing w:after="0" w:line="269" w:lineRule="auto"/>
        <w:tabs>
          <w:tab w:leader="none" w:pos="1561"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pro rata based on the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79"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3" w:name="page314"/>
    <w:bookmarkEnd w:id="313"/>
    <w:p>
      <w:pPr>
        <w:jc w:val="both"/>
        <w:ind w:firstLine="972"/>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Any Holder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Restrictions on Registration Rights</w:t>
      </w:r>
      <w:r>
        <w:rPr>
          <w:rFonts w:ascii="Arial" w:cs="Arial" w:eastAsia="Arial" w:hAnsi="Arial"/>
          <w:sz w:val="17"/>
          <w:szCs w:val="17"/>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defer its obligation in this manner more than once in any 12-month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any Holder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4" w:name="page315"/>
    <w:bookmarkEnd w:id="314"/>
    <w:p>
      <w:pPr>
        <w:jc w:val="both"/>
        <w:ind w:firstLine="972"/>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each Holder of Registrable Securities included in such Registration, and each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each Holder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any Holder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representatives or Underwriters enter into a confidentiality agreement, in form and substance reasonably satisfactory to the Company, prior to the release or disclosure of any such information;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jc w:val="both"/>
        <w:ind w:firstLine="972"/>
        <w:spacing w:after="0" w:line="311" w:lineRule="auto"/>
        <w:rPr>
          <w:sz w:val="20"/>
          <w:szCs w:val="20"/>
          <w:color w:val="auto"/>
        </w:rPr>
      </w:pPr>
      <w:r>
        <w:rPr>
          <w:rFonts w:ascii="Arial" w:cs="Arial" w:eastAsia="Arial" w:hAnsi="Arial"/>
          <w:sz w:val="16"/>
          <w:szCs w:val="16"/>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4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w:t>
      </w:r>
    </w:p>
    <w:p>
      <w:pPr>
        <w:spacing w:after="0" w:line="46" w:lineRule="exact"/>
        <w:rPr>
          <w:sz w:val="20"/>
          <w:szCs w:val="20"/>
          <w:color w:val="auto"/>
        </w:rPr>
      </w:pPr>
    </w:p>
    <w:p>
      <w:pPr>
        <w:ind w:firstLine="8"/>
        <w:spacing w:after="0" w:line="323" w:lineRule="auto"/>
        <w:tabs>
          <w:tab w:leader="none" w:pos="35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months beginning with the first day of the Company’s first full calendar quarter after the effective date of the Registration Statement which satisfies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Securities Act and Rule 158 thereunder (or any successor rule promulgated thereafter by the Commission);</w:t>
      </w:r>
    </w:p>
    <w:p>
      <w:pPr>
        <w:spacing w:after="0" w:line="13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6" w:name="page317"/>
    <w:bookmarkEnd w:id="316"/>
    <w:p>
      <w:pPr>
        <w:jc w:val="both"/>
        <w:ind w:firstLine="648"/>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w:t>
      </w:r>
      <w:r>
        <w:rPr>
          <w:rFonts w:ascii="Arial" w:cs="Arial" w:eastAsia="Arial" w:hAnsi="Arial"/>
          <w:sz w:val="17"/>
          <w:szCs w:val="17"/>
          <w:u w:val="single" w:color="auto"/>
          <w:color w:val="auto"/>
        </w:rPr>
        <w:t>Sections 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15(d)</w:t>
      </w:r>
      <w:r>
        <w:rPr>
          <w:rFonts w:ascii="Arial" w:cs="Arial" w:eastAsia="Arial" w:hAnsi="Arial"/>
          <w:sz w:val="17"/>
          <w:szCs w:val="17"/>
          <w:color w:val="auto"/>
        </w:rPr>
        <w:t xml:space="preserve">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the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7" w:name="page318"/>
    <w:bookmarkEnd w:id="317"/>
    <w:p>
      <w:pPr>
        <w:jc w:val="both"/>
        <w:ind w:firstLine="972"/>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777 SW 37th Avenue, Suite 510, Miami, FL 33135-3250,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5.2.2 Prior to the expiration of the Founder Shares Lock-up Period,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THE PARTIES AGREE THAT (I) THIS AGREEMENT SHALL BE GOVERNED BY AND CONSTRUED IN ACCORDANCE WITH THE LAW OF THE STATE OF NEW YORK AND (II) THE VENUE FOR ANY ACTION TAKEN WITH RESPECT TO THIS AGREEMENT SHALL BE ANY COURT OF THE STATE OF NEW YORK, SITTING IN THE CITY AND COUNTY OF NEW YORK OR THE UNITED STATES DISTRICT COURT FOR THE SOUTHERN DISTRICT OF NEW YORK.</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jc w:val="both"/>
        <w:ind w:firstLine="648"/>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tenth anniversary of the date of this Agreement or (ii) the date as of which</w:t>
      </w:r>
    </w:p>
    <w:p>
      <w:pPr>
        <w:spacing w:after="0" w:line="46" w:lineRule="exact"/>
        <w:rPr>
          <w:sz w:val="20"/>
          <w:szCs w:val="20"/>
          <w:color w:val="auto"/>
        </w:rPr>
      </w:pPr>
    </w:p>
    <w:p>
      <w:pPr>
        <w:jc w:val="both"/>
        <w:ind w:firstLine="8"/>
        <w:spacing w:after="0" w:line="253" w:lineRule="auto"/>
        <w:tabs>
          <w:tab w:leader="none" w:pos="31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under without registration pursuant to Rule 144 (or any similar provision) under the Securities Act without limitation on the amount of securities sold or the manner of sale.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Article IV</w:t>
      </w:r>
      <w:r>
        <w:rPr>
          <w:rFonts w:ascii="Arial" w:cs="Arial" w:eastAsia="Arial" w:hAnsi="Arial"/>
          <w:sz w:val="18"/>
          <w:szCs w:val="18"/>
          <w:color w:val="auto"/>
        </w:rPr>
        <w:t xml:space="preserve"> shall survive any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Follows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 xml:space="preserve">BURTECH ACQUISITION CORP. </w:t>
      </w:r>
      <w:r>
        <w:rPr>
          <w:rFonts w:ascii="Arial" w:cs="Arial" w:eastAsia="Arial" w:hAnsi="Arial"/>
          <w:sz w:val="18"/>
          <w:szCs w:val="18"/>
          <w:color w:val="auto"/>
        </w:rPr>
        <w:t>a Delaware corporation</w:t>
      </w:r>
    </w:p>
    <w:p>
      <w:pPr>
        <w:spacing w:after="0" w:line="229"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14605</wp:posOffset>
            </wp:positionV>
            <wp:extent cx="32061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860"/>
        <w:spacing w:after="0"/>
        <w:tabs>
          <w:tab w:leader="none" w:pos="644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 xml:space="preserve">BURTECH LP, LLC, </w:t>
      </w:r>
      <w:r>
        <w:rPr>
          <w:rFonts w:ascii="Arial" w:cs="Arial" w:eastAsia="Arial" w:hAnsi="Arial"/>
          <w:sz w:val="18"/>
          <w:szCs w:val="18"/>
          <w:color w:val="auto"/>
        </w:rPr>
        <w:t>a Delaware limited liability company</w:t>
      </w:r>
    </w:p>
    <w:p>
      <w:pPr>
        <w:spacing w:after="0" w:line="229"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14605</wp:posOffset>
            </wp:positionV>
            <wp:extent cx="32061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EF HUTTON, DIVISION OF BENCHMARK INVESTMENTS, LLC</w:t>
      </w:r>
    </w:p>
    <w:p>
      <w:pPr>
        <w:spacing w:after="0" w:line="229"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14605</wp:posOffset>
            </wp:positionV>
            <wp:extent cx="32061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288925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660" w:top="904" w:right="379" w:bottom="1440" w:gutter="0" w:footer="0" w:header="0"/>
        </w:sectPr>
      </w:pPr>
    </w:p>
    <w:bookmarkStart w:id="321" w:name="page322"/>
    <w:bookmarkEnd w:id="321"/>
    <w:p>
      <w:pPr>
        <w:ind w:left="10260"/>
        <w:spacing w:after="0"/>
        <w:rPr>
          <w:sz w:val="20"/>
          <w:szCs w:val="20"/>
          <w:color w:val="auto"/>
        </w:rPr>
      </w:pPr>
      <w:r>
        <w:rPr>
          <w:rFonts w:ascii="Arial" w:cs="Arial" w:eastAsia="Arial" w:hAnsi="Arial"/>
          <w:sz w:val="17"/>
          <w:szCs w:val="17"/>
          <w:b w:val="1"/>
          <w:bCs w:val="1"/>
          <w:color w:val="auto"/>
        </w:rPr>
        <w:t>Exhibit 10.5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7770 Norfolk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Bethesda, MD 20814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LP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7770 Norfolk Avnue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Subscription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May 21, 2021 by and between BurTech LP LLC, a Delaware limited liability company (the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and BurTech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Pursuant to the terms hereof, the Company hereby accepts the offer the Subscriber has made to purchase 8,625,000 shares of Class B common stock, $0.0001 par value per share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up to 1,125.000 of which are subject to forfeiture by you if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units (“</w:t>
      </w:r>
      <w:r>
        <w:rPr>
          <w:rFonts w:ascii="Arial" w:cs="Arial" w:eastAsia="Arial" w:hAnsi="Arial"/>
          <w:sz w:val="18"/>
          <w:szCs w:val="18"/>
          <w:b w:val="1"/>
          <w:bCs w:val="1"/>
          <w:color w:val="auto"/>
        </w:rPr>
        <w:t>Units</w:t>
      </w:r>
      <w:r>
        <w:rPr>
          <w:rFonts w:ascii="Arial" w:cs="Arial" w:eastAsia="Arial" w:hAnsi="Arial"/>
          <w:sz w:val="18"/>
          <w:szCs w:val="18"/>
          <w:color w:val="auto"/>
        </w:rPr>
        <w:t>”) of the Company, do not fully exercise their over-allotment option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The Company and the Subscriber’s agreements regarding such Shares are as follows:</w:t>
      </w:r>
    </w:p>
    <w:p>
      <w:pPr>
        <w:spacing w:after="0" w:line="191" w:lineRule="exact"/>
        <w:rPr>
          <w:sz w:val="20"/>
          <w:szCs w:val="20"/>
          <w:color w:val="auto"/>
        </w:rPr>
      </w:pPr>
    </w:p>
    <w:p>
      <w:pPr>
        <w:ind w:left="180" w:hanging="172"/>
        <w:spacing w:after="0"/>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Purchase of Securities.</w:t>
      </w:r>
    </w:p>
    <w:p>
      <w:pPr>
        <w:spacing w:after="0" w:line="221"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Purchase of Shares.</w:t>
      </w:r>
      <w:r>
        <w:rPr>
          <w:rFonts w:ascii="Arial" w:cs="Arial" w:eastAsia="Arial" w:hAnsi="Arial"/>
          <w:sz w:val="16"/>
          <w:szCs w:val="16"/>
          <w:color w:val="auto"/>
        </w:rPr>
        <w:t xml:space="preserve"> For the sum of $25,000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the Company acknowledges receiving in cash, the Company hereby issues the Shares to the Subscriber, and the Subscriber hereby purchases the Shares from the Company, subject to forfeiture, on the terms and subject to the conditions set forth in this Agreement. Concurrently with the Subscriber’s execution of this Agreement, the Company shall, at its option, deliver to the Subscriber a certificate registered in the Subscriber’s name representing the shares (the “</w:t>
      </w:r>
      <w:r>
        <w:rPr>
          <w:rFonts w:ascii="Arial" w:cs="Arial" w:eastAsia="Arial" w:hAnsi="Arial"/>
          <w:sz w:val="16"/>
          <w:szCs w:val="16"/>
          <w:b w:val="1"/>
          <w:bCs w:val="1"/>
          <w:color w:val="auto"/>
        </w:rPr>
        <w:t>Original Certificate</w:t>
      </w:r>
      <w:r>
        <w:rPr>
          <w:rFonts w:ascii="Arial" w:cs="Arial" w:eastAsia="Arial" w:hAnsi="Arial"/>
          <w:sz w:val="16"/>
          <w:szCs w:val="16"/>
          <w:color w:val="auto"/>
        </w:rPr>
        <w:t>”), or effect such delivery in book-entry form.</w:t>
      </w:r>
    </w:p>
    <w:p>
      <w:pPr>
        <w:spacing w:after="0" w:line="155" w:lineRule="exact"/>
        <w:rPr>
          <w:sz w:val="20"/>
          <w:szCs w:val="20"/>
          <w:color w:val="auto"/>
        </w:rPr>
      </w:pPr>
    </w:p>
    <w:p>
      <w:pPr>
        <w:ind w:left="180" w:hanging="172"/>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xml:space="preserve"> To induce the Company to issue the Shares to the Subscriber, the Subscriber hereby represents and warrants to the Company and agrees with the Company as follows: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xml:space="preserve"> The Subscriber understands that no federal or state agency has passed upon or made any recommendation or endorsement of the offering of the Shares.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or (iii) any law, statute, rule or regulation to which the Subscriber is subject, or any agreement, order, judgment or decree to which the Subscriber is subject.</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xml:space="preserve">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is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2" w:name="page323"/>
    <w:bookmarkEnd w:id="322"/>
    <w:p>
      <w:pPr>
        <w:ind w:firstLine="648"/>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xml:space="preserve">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(i) an effective registration statement under the Securities Act or (ii) an exemption from registration available with respect to such sale. Subscriber is able to bear the economic risks of an investment in the Shares and to afford a complete loss of Subscriber’s investment in the Shares.</w:t>
      </w:r>
    </w:p>
    <w:p>
      <w:pPr>
        <w:spacing w:after="0" w:line="17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xml:space="preserve">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and/or its prospects.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Regulation D Offering.</w:t>
      </w:r>
      <w:r>
        <w:rPr>
          <w:rFonts w:ascii="Arial" w:cs="Arial" w:eastAsia="Arial" w:hAnsi="Arial"/>
          <w:sz w:val="18"/>
          <w:szCs w:val="18"/>
          <w:color w:val="auto"/>
        </w:rPr>
        <w:t xml:space="preserve"> Subscriber represents that it is an “accredited investor” as such term is defined in Rule 501(a)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acknowledges the sale contemplated hereby is being made in reliance on a private placement exemption to “accredited investors” within the meaning of Section 501(a) of Regulation D under the Securities Act or similar exemptions under state law.</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Investment Purposes.</w:t>
      </w:r>
      <w:r>
        <w:rPr>
          <w:rFonts w:ascii="Arial" w:cs="Arial" w:eastAsia="Arial" w:hAnsi="Arial"/>
          <w:sz w:val="17"/>
          <w:szCs w:val="17"/>
          <w:color w:val="auto"/>
        </w:rPr>
        <w:t xml:space="preserve"> The Subscriber is purchasing the Shares solely for investment purposes, for the Subscriber’s own account and not for the account or benefit of any other person, and not with a view towards the distribution or dissemination thereof. The Subscriber did not decide to enter into this Agreement as a result of any general solicitation or general advertising within the meaning of Rule 502 under the Securities Act.</w:t>
      </w:r>
    </w:p>
    <w:p>
      <w:pPr>
        <w:spacing w:after="0" w:line="165" w:lineRule="exact"/>
        <w:rPr>
          <w:sz w:val="20"/>
          <w:szCs w:val="20"/>
          <w:color w:val="auto"/>
        </w:rPr>
      </w:pPr>
    </w:p>
    <w:p>
      <w:pPr>
        <w:ind w:right="480" w:firstLine="648"/>
        <w:spacing w:after="0" w:line="291"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Restrictions on Transfer; Shell Company.</w:t>
      </w:r>
      <w:r>
        <w:rPr>
          <w:rFonts w:ascii="Arial" w:cs="Arial" w:eastAsia="Arial" w:hAnsi="Arial"/>
          <w:sz w:val="16"/>
          <w:szCs w:val="16"/>
          <w:color w:val="auto"/>
        </w:rPr>
        <w:t xml:space="preserve"> Subscriber understands the Shares are being offered in a transaction not involving a public offering within the meaning of the Securities Act. Subscriber understands the Shares will be “restricted securities” within the meaning of Rule 144(a)</w:t>
      </w:r>
    </w:p>
    <w:p>
      <w:pPr>
        <w:ind w:firstLine="8"/>
        <w:spacing w:after="0" w:line="268" w:lineRule="auto"/>
        <w:tabs>
          <w:tab w:leader="none" w:pos="25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under the Securities Act, and Subscriber understands that the certificates or book-entries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18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xml:space="preserve"> No governmental, administrative or other third party consents or approvals are required, necessary or appropriate on the part of Subscriber in connection with the transactions contemplated by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ind w:right="240" w:firstLine="324"/>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xml:space="preserve"> To induce the Subscriber to purchase the Shares, the Company hereby represents and warrants to the Subscriber and agrees with the Subscriber as follows:</w:t>
      </w:r>
    </w:p>
    <w:p>
      <w:pPr>
        <w:spacing w:after="0" w:line="17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xml:space="preserve"> The Company is a Delaware corporation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4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Company of the transactions contemplated hereby do not violate, conflict with or constitute a default under (i) the Certificate of Incorporation or By Laws of the Company, (ii) any agreement, indenture or instrument to which the Company is a party or (iii) any law, statute, rule or regulation to which the Company is subject, or any agreement, order, judgment or decree to which the Company is subject.</w:t>
      </w:r>
    </w:p>
    <w:p>
      <w:pPr>
        <w:spacing w:after="0" w:line="18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Title to Securities.</w:t>
      </w:r>
      <w:r>
        <w:rPr>
          <w:rFonts w:ascii="Arial" w:cs="Arial" w:eastAsia="Arial" w:hAnsi="Arial"/>
          <w:sz w:val="16"/>
          <w:szCs w:val="16"/>
          <w:color w:val="auto"/>
        </w:rPr>
        <w:t xml:space="preserve">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(a) transfer restrictions hereunder and other agreements to which the Shares may be subject which have been notified to the Subscriber in writing, (b) transfer restrictions under federal and state securities laws,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 liens, claims or encumbrances imposed due to the actions of the Subscriber.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No Adverse Actions.</w:t>
      </w:r>
      <w:r>
        <w:rPr>
          <w:rFonts w:ascii="Arial" w:cs="Arial" w:eastAsia="Arial" w:hAnsi="Arial"/>
          <w:sz w:val="16"/>
          <w:szCs w:val="16"/>
          <w:color w:val="auto"/>
        </w:rPr>
        <w:t xml:space="preserve"> There are no actions, suits, investigations or proceedings pending, threatened against or affecting the Company which:</w:t>
      </w:r>
    </w:p>
    <w:p>
      <w:pPr>
        <w:spacing w:after="0" w:line="46" w:lineRule="exact"/>
        <w:rPr>
          <w:sz w:val="20"/>
          <w:szCs w:val="20"/>
          <w:color w:val="auto"/>
        </w:rPr>
      </w:pPr>
    </w:p>
    <w:p>
      <w:pPr>
        <w:ind w:right="80" w:firstLine="8"/>
        <w:spacing w:after="0" w:line="260" w:lineRule="auto"/>
        <w:tabs>
          <w:tab w:leader="none" w:pos="21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seek to restrain, enjoin, prevent the consummation of or otherwise affect the transactions contemplated by this Agreement or (ii) question the validity or legality of any transactions or seeks to recover damages or to obtain other relief in connection with any transactions.</w:t>
      </w:r>
    </w:p>
    <w:p>
      <w:pPr>
        <w:spacing w:after="0" w:line="185" w:lineRule="exact"/>
        <w:rPr>
          <w:sz w:val="20"/>
          <w:szCs w:val="20"/>
          <w:color w:val="auto"/>
        </w:rPr>
      </w:pPr>
    </w:p>
    <w:p>
      <w:pPr>
        <w:ind w:left="180" w:hanging="172"/>
        <w:spacing w:after="0"/>
        <w:tabs>
          <w:tab w:leader="none" w:pos="1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Partial or No Exercise of the Over-allotment Option.</w:t>
      </w:r>
      <w:r>
        <w:rPr>
          <w:rFonts w:ascii="Arial" w:cs="Arial" w:eastAsia="Arial" w:hAnsi="Arial"/>
          <w:sz w:val="18"/>
          <w:szCs w:val="18"/>
          <w:color w:val="auto"/>
        </w:rPr>
        <w:t xml:space="preserve"> In the event the Over-allotment Option granted to the underwriters of the IPO is not exercised in full, the Subscriber acknowledges and agrees that it (or, if applicable, it and any transferees of Shares) shall forfeit any and all rights to such number of Shares (up to an aggregate of 937,500 Shares and pro rata based upon the percentage of the Over-allotment Option exercised) such that immediately following such forfeiture, the Subscriber (and all other initial stockholders prior to the IPO, if any) will own an aggregate number of Shares, not including Shares issuable upon exercise of any warrants or any common stock of the Company purchased by Subscriber in the IPO or in the aftermarket equal to 20% of the issued and outstanding Shares immediately following the IPO.</w:t>
      </w:r>
    </w:p>
    <w:p>
      <w:pPr>
        <w:spacing w:after="0" w:line="19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xml:space="preserve"> If any of the Shares are forfeited in accordance with this Section 3, then after such time the Subscriber (or successor in interest), shall no longer have any rights as a holder of such forfeited Shares, and the Company shall take such action as is appropriate to cancel such forfeited Shares.</w:t>
      </w:r>
    </w:p>
    <w:p>
      <w:pPr>
        <w:spacing w:after="0" w:line="18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Share Certificates.</w:t>
      </w:r>
      <w:r>
        <w:rPr>
          <w:rFonts w:ascii="Arial" w:cs="Arial" w:eastAsia="Arial" w:hAnsi="Arial"/>
          <w:sz w:val="17"/>
          <w:szCs w:val="17"/>
          <w:color w:val="auto"/>
        </w:rPr>
        <w:t xml:space="preserve"> </w:t>
      </w:r>
      <w:r>
        <w:rPr>
          <w:rFonts w:ascii="Arial" w:cs="Arial" w:eastAsia="Arial" w:hAnsi="Arial"/>
          <w:sz w:val="17"/>
          <w:szCs w:val="17"/>
          <w:color w:val="auto"/>
          <w:highlight w:val="white"/>
        </w:rPr>
        <w:t>In the event an adjustment to the Original Certificates, if any, is required pursuant to this Section 3, then the Subscriber shall</w:t>
      </w:r>
      <w:r>
        <w:rPr>
          <w:rFonts w:ascii="Arial" w:cs="Arial" w:eastAsia="Arial" w:hAnsi="Arial"/>
          <w:sz w:val="17"/>
          <w:szCs w:val="17"/>
          <w:color w:val="auto"/>
        </w:rPr>
        <w:t xml:space="preserve"> return such Original Certificates to the Company or its designated agent as soon as practicable upon its receipt of notice from the Company advising Subscriber of such adjustment, following which a new certificate (the “</w:t>
      </w:r>
      <w:r>
        <w:rPr>
          <w:rFonts w:ascii="Arial" w:cs="Arial" w:eastAsia="Arial" w:hAnsi="Arial"/>
          <w:sz w:val="17"/>
          <w:szCs w:val="17"/>
          <w:b w:val="1"/>
          <w:bCs w:val="1"/>
          <w:color w:val="auto"/>
        </w:rPr>
        <w:t>New Certificate</w:t>
      </w:r>
      <w:r>
        <w:rPr>
          <w:rFonts w:ascii="Arial" w:cs="Arial" w:eastAsia="Arial" w:hAnsi="Arial"/>
          <w:sz w:val="17"/>
          <w:szCs w:val="17"/>
          <w:color w:val="auto"/>
        </w:rPr>
        <w:t>”), if any, shall be issued in such amount representing the adjusted number of Shares held by the Subscriber. The New Certificate, if any, shall be returned to the Subscriber as soon as practicable. Any such adjustment for any uncertificated securities held by the Subscriber shall be made in book-entry form.</w:t>
      </w:r>
    </w:p>
    <w:p>
      <w:pPr>
        <w:spacing w:after="0" w:line="176" w:lineRule="exact"/>
        <w:rPr>
          <w:sz w:val="20"/>
          <w:szCs w:val="20"/>
          <w:color w:val="auto"/>
        </w:rPr>
      </w:pPr>
    </w:p>
    <w:p>
      <w:pPr>
        <w:ind w:firstLine="8"/>
        <w:spacing w:after="0" w:line="254" w:lineRule="auto"/>
        <w:tabs>
          <w:tab w:leader="none" w:pos="18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Waiver of Liquidation Distributions; Redemption Rights.</w:t>
      </w:r>
      <w:r>
        <w:rPr>
          <w:rFonts w:ascii="Arial" w:cs="Arial" w:eastAsia="Arial" w:hAnsi="Arial"/>
          <w:sz w:val="18"/>
          <w:szCs w:val="18"/>
          <w:color w:val="auto"/>
        </w:rPr>
        <w:t xml:space="preserve">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stockholders and into which substantially all of the proceeds of the IPO will be deposited (the “</w:t>
      </w:r>
      <w:r>
        <w:rPr>
          <w:rFonts w:ascii="Arial" w:cs="Arial" w:eastAsia="Arial" w:hAnsi="Arial"/>
          <w:sz w:val="18"/>
          <w:szCs w:val="18"/>
          <w:b w:val="1"/>
          <w:bCs w:val="1"/>
          <w:color w:val="auto"/>
        </w:rPr>
        <w:t>Trust Account</w:t>
      </w:r>
      <w:r>
        <w:rPr>
          <w:rFonts w:ascii="Arial" w:cs="Arial" w:eastAsia="Arial" w:hAnsi="Arial"/>
          <w:sz w:val="18"/>
          <w:szCs w:val="18"/>
          <w:color w:val="auto"/>
        </w:rPr>
        <w:t>”), in the event of a liquidation of the Company upon the Company’s failure to timely complete an initial business combination. For purposes of clarity, in the event the Subscriber purchases Shares in the IPO or in the aftermarket, any additional Shares so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4" w:name="page325"/>
    <w:bookmarkEnd w:id="324"/>
    <w:p>
      <w:pPr>
        <w:ind w:left="180" w:hanging="172"/>
        <w:spacing w:after="0"/>
        <w:tabs>
          <w:tab w:leader="none" w:pos="1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221"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xml:space="preserve"> In addition to any restrictions to be contained in that certain letter agreement (commonly known as an “</w:t>
      </w:r>
      <w:r>
        <w:rPr>
          <w:rFonts w:ascii="Arial" w:cs="Arial" w:eastAsia="Arial" w:hAnsi="Arial"/>
          <w:sz w:val="16"/>
          <w:szCs w:val="16"/>
          <w:b w:val="1"/>
          <w:bCs w:val="1"/>
          <w:color w:val="auto"/>
        </w:rPr>
        <w:t>Insider</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to be dated as of the closing of the IPO by and between Subscriber and the Company, Subscriber agrees not to sell, transfer, pledge, hypothecate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Lock-up</w:t>
      </w:r>
      <w:r>
        <w:rPr>
          <w:rFonts w:ascii="Arial" w:cs="Arial" w:eastAsia="Arial" w:hAnsi="Arial"/>
          <w:sz w:val="17"/>
          <w:szCs w:val="17"/>
          <w:color w:val="auto"/>
          <w:highlight w:val="white"/>
        </w:rPr>
        <w:t>. Subscriber acknowledges that the Securities will be subject to lock-up provisions (the “</w:t>
      </w:r>
      <w:r>
        <w:rPr>
          <w:rFonts w:ascii="Arial" w:cs="Arial" w:eastAsia="Arial" w:hAnsi="Arial"/>
          <w:sz w:val="17"/>
          <w:szCs w:val="17"/>
          <w:b w:val="1"/>
          <w:bCs w:val="1"/>
          <w:color w:val="auto"/>
          <w:highlight w:val="white"/>
        </w:rPr>
        <w:t>Lock-up</w:t>
      </w:r>
      <w:r>
        <w:rPr>
          <w:rFonts w:ascii="Arial" w:cs="Arial" w:eastAsia="Arial" w:hAnsi="Arial"/>
          <w:sz w:val="17"/>
          <w:szCs w:val="17"/>
          <w:color w:val="auto"/>
          <w:highlight w:val="white"/>
        </w:rPr>
        <w:t>”) contained in the Insider Letter.</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xml:space="preserve"> Any certificates representing the Shares shall have endorsed thereon legends substantially as follows: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SECURITIES REPRESENTED BY THIS CERTIFICATE ARE SUBJECT TO A LOCKUP AND MAY NOT BE OFFERED, SOLD, TRANSFERRED, PLEDGED OR OTHERWISE DISPOSED DURING THE TERM OF THE LOCKUP.”</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xml:space="preserve"> In the event of the declaration of a share dividend, the declaration of an extraordinary dividend payable in a form other 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and/or class of Shares subject to this Section 5 and Section 3.</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Subscriber acknowledges that the Shares are being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184" w:lineRule="exact"/>
        <w:rPr>
          <w:sz w:val="20"/>
          <w:szCs w:val="20"/>
          <w:color w:val="auto"/>
        </w:rPr>
      </w:pPr>
    </w:p>
    <w:p>
      <w:pPr>
        <w:ind w:left="180" w:hanging="172"/>
        <w:spacing w:after="0"/>
        <w:tabs>
          <w:tab w:leader="none" w:pos="1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statements or other documents which are required or contemplated by this Agreement shall be: (i) in writing and 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25" w:name="page326"/>
    <w:bookmarkEnd w:id="325"/>
    <w:p>
      <w:pPr>
        <w:ind w:right="160" w:firstLine="324"/>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together with the Insider Letter and the Registration Rights Agreement, each substantially in the form to be filed as an exhibit to the Registration Statement on Form S-1 associated with the Company’s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6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xml:space="preserve"> The terms and provisions of this Agreement may be modified or amended only by written agreement executed by all parties hereto.</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xml:space="preserve">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rights and obligations under this Agreement may not be assigned by either party hereto without the prior written consent of the other party.</w:t>
      </w:r>
    </w:p>
    <w:p>
      <w:pPr>
        <w:spacing w:after="0" w:line="17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construed in accordance with and governed by the laws of New York applicable to contracts wholly performed within the borders of such state, without giving effect to the conflict of law principles thereof.</w:t>
      </w:r>
    </w:p>
    <w:p>
      <w:pPr>
        <w:spacing w:after="0" w:line="17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xml:space="preserve">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xml:space="preserve">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6" w:name="page327"/>
    <w:bookmarkEnd w:id="326"/>
    <w:p>
      <w:pPr>
        <w:ind w:right="120" w:firstLine="324"/>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xml:space="preserve">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xml:space="preserve">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76"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8"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Mutual Drafting.</w:t>
      </w:r>
      <w:r>
        <w:rPr>
          <w:rFonts w:ascii="Arial" w:cs="Arial" w:eastAsia="Arial" w:hAnsi="Arial"/>
          <w:sz w:val="17"/>
          <w:szCs w:val="17"/>
          <w:color w:val="auto"/>
        </w:rPr>
        <w:t xml:space="preserve">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46" w:lineRule="exact"/>
        <w:rPr>
          <w:sz w:val="20"/>
          <w:szCs w:val="20"/>
          <w:color w:val="auto"/>
        </w:rPr>
      </w:pPr>
    </w:p>
    <w:p>
      <w:pPr>
        <w:ind w:firstLine="8"/>
        <w:spacing w:after="0" w:line="259" w:lineRule="auto"/>
        <w:tabs>
          <w:tab w:leader="none" w:pos="225"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Voting and Tender of Shares.</w:t>
      </w:r>
      <w:r>
        <w:rPr>
          <w:rFonts w:ascii="Arial" w:cs="Arial" w:eastAsia="Arial" w:hAnsi="Arial"/>
          <w:sz w:val="18"/>
          <w:szCs w:val="18"/>
          <w:color w:val="auto"/>
        </w:rPr>
        <w:t xml:space="preserve"> Subscriber agrees to vote the Shares in favor of an initial business combination that the Company negotiates and submits for approval to the Company’s stockholders and shall not seek redemption with respect to such Shares. Additionally, the Subscriber agrees not to tender any Shares in connection with a tender offer presented to the Company’s stockholders in connection with an initial business combination negotiated by the Company.</w:t>
      </w:r>
    </w:p>
    <w:p>
      <w:pPr>
        <w:spacing w:after="0" w:line="186" w:lineRule="exact"/>
        <w:rPr>
          <w:rFonts w:ascii="Arial" w:cs="Arial" w:eastAsia="Arial" w:hAnsi="Arial"/>
          <w:sz w:val="18"/>
          <w:szCs w:val="18"/>
          <w:color w:val="auto"/>
        </w:rPr>
      </w:pPr>
    </w:p>
    <w:p>
      <w:pPr>
        <w:ind w:right="40" w:firstLine="8"/>
        <w:spacing w:after="0" w:line="277" w:lineRule="auto"/>
        <w:tabs>
          <w:tab w:leader="none" w:pos="495"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Each party shall indemnify the other against any loss, cost or damages (including reasonable attorney’s fees and expenses) incurred as a result of such party’s breach of any representation, warranty, covenant or agreement in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7" w:name="page328"/>
    <w:bookmarkEnd w:id="327"/>
    <w:p>
      <w:pPr>
        <w:ind w:left="660"/>
        <w:spacing w:after="0"/>
        <w:rPr>
          <w:sz w:val="20"/>
          <w:szCs w:val="20"/>
          <w:color w:val="auto"/>
        </w:rPr>
      </w:pPr>
      <w:r>
        <w:rPr>
          <w:rFonts w:ascii="Arial" w:cs="Arial" w:eastAsia="Arial" w:hAnsi="Arial"/>
          <w:sz w:val="16"/>
          <w:szCs w:val="16"/>
          <w:color w:val="auto"/>
        </w:rPr>
        <w:t>If the foregoing accurately sets forth our understanding and agreement, please sign the enclosed copy of this Agreement and return it to us.</w:t>
      </w:r>
    </w:p>
    <w:p>
      <w:pPr>
        <w:spacing w:after="0" w:line="200" w:lineRule="exact"/>
        <w:rPr>
          <w:sz w:val="20"/>
          <w:szCs w:val="20"/>
          <w:color w:val="auto"/>
        </w:rPr>
      </w:pP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BURTECH LP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Roman Livson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Subscription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8" w:right="939" w:bottom="1440" w:gutter="0" w:footer="0" w:header="0"/>
        </w:sectPr>
      </w:pPr>
    </w:p>
    <w:bookmarkStart w:id="328" w:name="page329"/>
    <w:bookmarkEnd w:id="328"/>
    <w:p>
      <w:pPr>
        <w:ind w:left="10120"/>
        <w:spacing w:after="0"/>
        <w:rPr>
          <w:sz w:val="20"/>
          <w:szCs w:val="20"/>
          <w:color w:val="auto"/>
        </w:rPr>
      </w:pPr>
      <w:r>
        <w:rPr>
          <w:rFonts w:ascii="Arial" w:cs="Arial" w:eastAsia="Arial" w:hAnsi="Arial"/>
          <w:sz w:val="19"/>
          <w:szCs w:val="19"/>
          <w:b w:val="1"/>
          <w:bCs w:val="1"/>
          <w:color w:val="auto"/>
        </w:rPr>
        <w:t>Exhibit 10.6</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SUBSCRIPTION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UNIT SUBSCRIPTION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 2021, by and between BurTech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having its principal place of business at 1300 Pennsylvania Ave NW, Suite 700,Washington DC 20004, and BurTech LP, LLC, a Delaware limited liability company (the “</w:t>
      </w:r>
      <w:r>
        <w:rPr>
          <w:rFonts w:ascii="Arial" w:cs="Arial" w:eastAsia="Arial" w:hAnsi="Arial"/>
          <w:sz w:val="18"/>
          <w:szCs w:val="18"/>
          <w:b w:val="1"/>
          <w:bCs w:val="1"/>
          <w:color w:val="auto"/>
        </w:rPr>
        <w:t>Subscriber</w:t>
      </w:r>
      <w:r>
        <w:rPr>
          <w:rFonts w:ascii="Arial" w:cs="Arial" w:eastAsia="Arial" w:hAnsi="Arial"/>
          <w:sz w:val="18"/>
          <w:szCs w:val="18"/>
          <w:color w:val="auto"/>
        </w:rPr>
        <w:t>”), having its principal place of business at 1300 Pennsylvania Ave NW, Suite 700, Washington DC 20004.</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WHEREAS, the Company desires to sell to the Subscriber on a private placement basis (the “</w:t>
      </w:r>
      <w:r>
        <w:rPr>
          <w:rFonts w:ascii="Arial" w:cs="Arial" w:eastAsia="Arial" w:hAnsi="Arial"/>
          <w:sz w:val="16"/>
          <w:szCs w:val="16"/>
          <w:b w:val="1"/>
          <w:bCs w:val="1"/>
          <w:color w:val="auto"/>
        </w:rPr>
        <w:t>Placement</w:t>
      </w:r>
      <w:r>
        <w:rPr>
          <w:rFonts w:ascii="Arial" w:cs="Arial" w:eastAsia="Arial" w:hAnsi="Arial"/>
          <w:sz w:val="16"/>
          <w:szCs w:val="16"/>
          <w:color w:val="auto"/>
        </w:rPr>
        <w:t>”) an aggregate of 804,500 units (the “</w:t>
      </w:r>
      <w:r>
        <w:rPr>
          <w:rFonts w:ascii="Arial" w:cs="Arial" w:eastAsia="Arial" w:hAnsi="Arial"/>
          <w:sz w:val="16"/>
          <w:szCs w:val="16"/>
          <w:b w:val="1"/>
          <w:bCs w:val="1"/>
          <w:color w:val="auto"/>
        </w:rPr>
        <w:t>Initial Units</w:t>
      </w:r>
      <w:r>
        <w:rPr>
          <w:rFonts w:ascii="Arial" w:cs="Arial" w:eastAsia="Arial" w:hAnsi="Arial"/>
          <w:sz w:val="16"/>
          <w:szCs w:val="16"/>
          <w:color w:val="auto"/>
        </w:rPr>
        <w:t>”) of the Company, and up to an additional 93,750 units (the “</w:t>
      </w:r>
      <w:r>
        <w:rPr>
          <w:rFonts w:ascii="Arial" w:cs="Arial" w:eastAsia="Arial" w:hAnsi="Arial"/>
          <w:sz w:val="16"/>
          <w:szCs w:val="16"/>
          <w:b w:val="1"/>
          <w:bCs w:val="1"/>
          <w:color w:val="auto"/>
        </w:rPr>
        <w:t>Additional Units</w:t>
      </w:r>
      <w:r>
        <w:rPr>
          <w:rFonts w:ascii="Arial" w:cs="Arial" w:eastAsia="Arial" w:hAnsi="Arial"/>
          <w:sz w:val="16"/>
          <w:szCs w:val="16"/>
          <w:color w:val="auto"/>
        </w:rPr>
        <w:t>” and, together with the Initial Units, the “</w:t>
      </w:r>
      <w:r>
        <w:rPr>
          <w:rFonts w:ascii="Arial" w:cs="Arial" w:eastAsia="Arial" w:hAnsi="Arial"/>
          <w:sz w:val="16"/>
          <w:szCs w:val="16"/>
          <w:b w:val="1"/>
          <w:bCs w:val="1"/>
          <w:color w:val="auto"/>
        </w:rPr>
        <w:t>Units</w:t>
      </w:r>
      <w:r>
        <w:rPr>
          <w:rFonts w:ascii="Arial" w:cs="Arial" w:eastAsia="Arial" w:hAnsi="Arial"/>
          <w:sz w:val="16"/>
          <w:szCs w:val="16"/>
          <w:color w:val="auto"/>
        </w:rPr>
        <w:t>”) in the event that the underwriters’ 45-day over-allotment option (“</w:t>
      </w:r>
      <w:r>
        <w:rPr>
          <w:rFonts w:ascii="Arial" w:cs="Arial" w:eastAsia="Arial" w:hAnsi="Arial"/>
          <w:sz w:val="16"/>
          <w:szCs w:val="16"/>
          <w:b w:val="1"/>
          <w:bCs w:val="1"/>
          <w:color w:val="auto"/>
        </w:rPr>
        <w:t>Over-Allotment Option</w:t>
      </w:r>
      <w:r>
        <w:rPr>
          <w:rFonts w:ascii="Arial" w:cs="Arial" w:eastAsia="Arial" w:hAnsi="Arial"/>
          <w:sz w:val="16"/>
          <w:szCs w:val="16"/>
          <w:color w:val="auto"/>
        </w:rPr>
        <w:t>”) is exercised in full or part, each Unit comprised of one share of Class A common stock of the Company, par value $0.0001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one warrant, each warrant exercisable to purchase one share of Common Stock (“</w:t>
      </w:r>
      <w:r>
        <w:rPr>
          <w:rFonts w:ascii="Arial" w:cs="Arial" w:eastAsia="Arial" w:hAnsi="Arial"/>
          <w:sz w:val="16"/>
          <w:szCs w:val="16"/>
          <w:b w:val="1"/>
          <w:bCs w:val="1"/>
          <w:color w:val="auto"/>
        </w:rPr>
        <w:t>Warrant</w:t>
      </w:r>
      <w:r>
        <w:rPr>
          <w:rFonts w:ascii="Arial" w:cs="Arial" w:eastAsia="Arial" w:hAnsi="Arial"/>
          <w:sz w:val="16"/>
          <w:szCs w:val="16"/>
          <w:color w:val="auto"/>
        </w:rPr>
        <w:t>”), for a purchase price of $10.00 per Unit. The shares of Common Stock underlying the Warrants are hereinafter referred to as the “</w:t>
      </w:r>
      <w:r>
        <w:rPr>
          <w:rFonts w:ascii="Arial" w:cs="Arial" w:eastAsia="Arial" w:hAnsi="Arial"/>
          <w:sz w:val="16"/>
          <w:szCs w:val="16"/>
          <w:b w:val="1"/>
          <w:bCs w:val="1"/>
          <w:color w:val="auto"/>
        </w:rPr>
        <w:t>Warrant Shares</w:t>
      </w:r>
      <w:r>
        <w:rPr>
          <w:rFonts w:ascii="Arial" w:cs="Arial" w:eastAsia="Arial" w:hAnsi="Arial"/>
          <w:sz w:val="16"/>
          <w:szCs w:val="16"/>
          <w:color w:val="auto"/>
        </w:rPr>
        <w:t>”. The shares of Common Stock underlying the Units (excluding the Warrant Shares) are hereinafter referred to as the “</w:t>
      </w:r>
      <w:r>
        <w:rPr>
          <w:rFonts w:ascii="Arial" w:cs="Arial" w:eastAsia="Arial" w:hAnsi="Arial"/>
          <w:sz w:val="16"/>
          <w:szCs w:val="16"/>
          <w:b w:val="1"/>
          <w:bCs w:val="1"/>
          <w:color w:val="auto"/>
        </w:rPr>
        <w:t>Placement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The Warrants underlying the Units are hereinafter referred to as the “</w:t>
      </w:r>
      <w:r>
        <w:rPr>
          <w:rFonts w:ascii="Arial" w:cs="Arial" w:eastAsia="Arial" w:hAnsi="Arial"/>
          <w:sz w:val="16"/>
          <w:szCs w:val="16"/>
          <w:b w:val="1"/>
          <w:bCs w:val="1"/>
          <w:color w:val="auto"/>
        </w:rPr>
        <w:t>Placement Warrants</w:t>
      </w:r>
      <w:r>
        <w:rPr>
          <w:rFonts w:ascii="Arial" w:cs="Arial" w:eastAsia="Arial" w:hAnsi="Arial"/>
          <w:sz w:val="16"/>
          <w:szCs w:val="16"/>
          <w:color w:val="auto"/>
        </w:rPr>
        <w:t>.” The Units, Placement Shares, Placement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and Warrant Shares collectively, are hereinafter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Each Placement Warrant is exercisable to purchase one share of Common Stock at an exercise price of $11.50 during the period commencing on the later of (i) twelve (12) months from the date of the closing of the Company’s initial public offering of units (the “</w:t>
      </w:r>
      <w:r>
        <w:rPr>
          <w:rFonts w:ascii="Arial" w:cs="Arial" w:eastAsia="Arial" w:hAnsi="Arial"/>
          <w:sz w:val="16"/>
          <w:szCs w:val="16"/>
          <w:b w:val="1"/>
          <w:bCs w:val="1"/>
          <w:color w:val="auto"/>
        </w:rPr>
        <w:t>IPO</w:t>
      </w:r>
      <w:r>
        <w:rPr>
          <w:rFonts w:ascii="Arial" w:cs="Arial" w:eastAsia="Arial" w:hAnsi="Arial"/>
          <w:sz w:val="16"/>
          <w:szCs w:val="16"/>
          <w:color w:val="auto"/>
        </w:rPr>
        <w:t>”) and (ii) 30 days following the consummation of the Company’s initial business combination (the “</w:t>
      </w:r>
      <w:r>
        <w:rPr>
          <w:rFonts w:ascii="Arial" w:cs="Arial" w:eastAsia="Arial" w:hAnsi="Arial"/>
          <w:sz w:val="16"/>
          <w:szCs w:val="16"/>
          <w:b w:val="1"/>
          <w:bCs w:val="1"/>
          <w:color w:val="auto"/>
        </w:rPr>
        <w:t>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Combination</w:t>
      </w:r>
      <w:r>
        <w:rPr>
          <w:rFonts w:ascii="Arial" w:cs="Arial" w:eastAsia="Arial" w:hAnsi="Arial"/>
          <w:sz w:val="16"/>
          <w:szCs w:val="16"/>
          <w:color w:val="auto"/>
        </w:rPr>
        <w:t>”), as such term is defined in the registration statement in connection with the IPO, as amended at the time it becomes effective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expiring on the fifth anniversary of the consummation of the Business Combination; and</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Subscriber wishes to purchase the Initial Units and up to 93,750 Additional Units, and the Company wishes to accept such subscription from the Subscriber.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hereinafter set forth and other good and valuable consideration, the receipt and sufficiency of which are hereby acknowledged, the Company and the Subscriber hereby agree as follows:</w:t>
      </w:r>
    </w:p>
    <w:p>
      <w:pPr>
        <w:spacing w:after="0" w:line="170" w:lineRule="exact"/>
        <w:rPr>
          <w:sz w:val="20"/>
          <w:szCs w:val="20"/>
          <w:color w:val="auto"/>
        </w:rPr>
      </w:pPr>
    </w:p>
    <w:p>
      <w:pPr>
        <w:ind w:left="520" w:hanging="188"/>
        <w:spacing w:after="0"/>
        <w:tabs>
          <w:tab w:leader="none" w:pos="520"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Agreement to Subscribe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1.1. Purchase and Issuance of the Initial Units. Upon the terms and subject to the conditions of this Agreement, the Subscriber hereby agrees to purchase from the Company, and the Company hereby agrees to sell to the Subscriber, on the Initial Closing Date (as defined below) the Initial Units in consideration of the payment of the Purchase Price (as defined below). On the Initial Closing Date, the Company shall, at its option, deliver to the Subscriber the certificates representing the Securities purchased or effect such delivery in book-entry form.</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1.2. Purchase Price. The Subscriber shall pay $8,045,000 (the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by wire transfer of immediately available funds or by such other method as may be reasonably acceptable to the Company, to the trust account (the </w:t>
      </w:r>
      <w:r>
        <w:rPr>
          <w:rFonts w:ascii="Arial" w:cs="Arial" w:eastAsia="Arial" w:hAnsi="Arial"/>
          <w:sz w:val="18"/>
          <w:szCs w:val="18"/>
          <w:b w:val="1"/>
          <w:bCs w:val="1"/>
          <w:color w:val="auto"/>
        </w:rPr>
        <w:t>“Trust Account”</w:t>
      </w:r>
      <w:r>
        <w:rPr>
          <w:rFonts w:ascii="Arial" w:cs="Arial" w:eastAsia="Arial" w:hAnsi="Arial"/>
          <w:sz w:val="18"/>
          <w:szCs w:val="18"/>
          <w:color w:val="auto"/>
        </w:rPr>
        <w:t>) at a financial institution to be chosen by the Company, maintained by Continental Stock Transfer &amp; Trust Company, acting as trustee (“</w:t>
      </w:r>
      <w:r>
        <w:rPr>
          <w:rFonts w:ascii="Arial" w:cs="Arial" w:eastAsia="Arial" w:hAnsi="Arial"/>
          <w:sz w:val="18"/>
          <w:szCs w:val="18"/>
          <w:b w:val="1"/>
          <w:bCs w:val="1"/>
          <w:color w:val="auto"/>
        </w:rPr>
        <w:t>Continental</w:t>
      </w:r>
      <w:r>
        <w:rPr>
          <w:rFonts w:ascii="Arial" w:cs="Arial" w:eastAsia="Arial" w:hAnsi="Arial"/>
          <w:sz w:val="18"/>
          <w:szCs w:val="18"/>
          <w:color w:val="auto"/>
        </w:rPr>
        <w:t>”), one (1) business day prior to the date of effectiveness of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1.3. Initial Closing. The closing of the purchase and sale of 804,500 Initial Units shall take place simultaneously with the closing of the IPO (the “</w:t>
      </w:r>
      <w:r>
        <w:rPr>
          <w:rFonts w:ascii="Arial" w:cs="Arial" w:eastAsia="Arial" w:hAnsi="Arial"/>
          <w:sz w:val="18"/>
          <w:szCs w:val="18"/>
          <w:b w:val="1"/>
          <w:bCs w:val="1"/>
          <w:color w:val="auto"/>
        </w:rPr>
        <w:t>Initial Closing Date</w:t>
      </w:r>
      <w:r>
        <w:rPr>
          <w:rFonts w:ascii="Arial" w:cs="Arial" w:eastAsia="Arial" w:hAnsi="Arial"/>
          <w:sz w:val="18"/>
          <w:szCs w:val="18"/>
          <w:color w:val="auto"/>
        </w:rPr>
        <w:t>”). The closing of such Units shall take place at the offices of Lucosky Brookman LLP, 101 Wood Avenue South, 5th Floor, Woodbridge, New Jersey 08830, or such other place as may be agreed upon by the parties hereto.</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1.4. Purchase and Issuance of Additional Units. Upon the terms and subject to the conditions of this Agreement, the Subscriber hereby agrees to purchase from the Company, and the Company hereby agrees to sell to the Subscriber, on the Over-allotment Closing Date (as defined below) up to an aggregate of 93,750 Additional Units in consideration of the payment of $10.00 per Additional Unit for a purchase price of up to $937,500 and in the same proportion as the amount of the Over-Allotment Option is exercised. On the Over-Allotment Closing Date (as defined below), the Company shall, at its option, deliver to the Subscriber the certificates representing the Securities purchased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9" w:name="page330"/>
    <w:bookmarkEnd w:id="329"/>
    <w:p>
      <w:pPr>
        <w:jc w:val="both"/>
        <w:ind w:firstLine="648"/>
        <w:spacing w:after="0" w:line="275" w:lineRule="auto"/>
        <w:rPr>
          <w:sz w:val="20"/>
          <w:szCs w:val="20"/>
          <w:color w:val="auto"/>
        </w:rPr>
      </w:pPr>
      <w:r>
        <w:rPr>
          <w:rFonts w:ascii="Arial" w:cs="Arial" w:eastAsia="Arial" w:hAnsi="Arial"/>
          <w:sz w:val="17"/>
          <w:szCs w:val="17"/>
          <w:color w:val="auto"/>
        </w:rPr>
        <w:t>1.5. Purchase Price. As payment in full for the Additional Units being purchased under this Agreement, the Subscriber shall pay $10.00 per Additional Unit being purchased by wire transfer of immediately available funds or by such other method as may be reasonably acceptable to the Company, to the Trust Account on the date of the consummation of the closing of the over-allotment option, and concurrently with the consummation thereof, or on such earlier time and date as may be mutually agreed by the Company and the Subscriber (each such date, an “</w:t>
      </w:r>
      <w:r>
        <w:rPr>
          <w:rFonts w:ascii="Arial" w:cs="Arial" w:eastAsia="Arial" w:hAnsi="Arial"/>
          <w:sz w:val="17"/>
          <w:szCs w:val="17"/>
          <w:b w:val="1"/>
          <w:bCs w:val="1"/>
          <w:color w:val="auto"/>
        </w:rPr>
        <w:t>Over-Allotment Closing Date</w:t>
      </w:r>
      <w:r>
        <w:rPr>
          <w:rFonts w:ascii="Arial" w:cs="Arial" w:eastAsia="Arial" w:hAnsi="Arial"/>
          <w:sz w:val="17"/>
          <w:szCs w:val="17"/>
          <w:color w:val="auto"/>
        </w:rPr>
        <w:t>”; together with the Initial Closing Date, the “</w:t>
      </w:r>
      <w:r>
        <w:rPr>
          <w:rFonts w:ascii="Arial" w:cs="Arial" w:eastAsia="Arial" w:hAnsi="Arial"/>
          <w:sz w:val="17"/>
          <w:szCs w:val="17"/>
          <w:b w:val="1"/>
          <w:bCs w:val="1"/>
          <w:color w:val="auto"/>
        </w:rPr>
        <w:t>Closing Dates</w:t>
      </w:r>
      <w:r>
        <w:rPr>
          <w:rFonts w:ascii="Arial" w:cs="Arial" w:eastAsia="Arial" w:hAnsi="Arial"/>
          <w:sz w:val="17"/>
          <w:szCs w:val="17"/>
          <w:color w:val="auto"/>
        </w:rPr>
        <w:t>” and each, a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1.6. Over-Allotment Closing. The Over-Allotment Closing Date shall take place at the offices of of Lucosky Brookman LLP, 101 Wood Avenue South, 5th Floor, Woodbridge, New Jersey 08830, or such other place as may be agreed upon by the parties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1.7 Termination. This Agreement and each of the obligations of the undersigned shall be null and void and without effect if the Initial Closing Date does not occur prior to December 31, 2021.</w:t>
      </w:r>
    </w:p>
    <w:p>
      <w:pPr>
        <w:spacing w:after="0" w:line="170" w:lineRule="exact"/>
        <w:rPr>
          <w:sz w:val="20"/>
          <w:szCs w:val="20"/>
          <w:color w:val="auto"/>
        </w:rPr>
      </w:pPr>
    </w:p>
    <w:p>
      <w:pPr>
        <w:ind w:left="520" w:hanging="188"/>
        <w:spacing w:after="0"/>
        <w:tabs>
          <w:tab w:leader="none" w:pos="520"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Subscriber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Subscriber represents and warrants to the Company that: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 No Government Recommendation or Approval. The Subscriber understands that no federal or state agency has passed upon or made any recommendation or endorsement of the Company or the Placement of the Securities.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2.2. Accredited Investor. The Subscriber represents that it is an “accredited investor” as such term is defined in Rule 501(a) of Regulation D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acknowledges that the sale contemplated hereby is being made in reliance, among other things, on a private placement exemption to “accredited investors” under the Securities Act and similar exemptions under state law.</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2.3. Intent. The Subscriber is purchasing the Securities solely for investment purposes, for the Subscriber’s own account (and/or for the account or benefit of its members or affiliates, as permitted, pursuant to the terms of an agreement (the “</w:t>
      </w:r>
      <w:r>
        <w:rPr>
          <w:rFonts w:ascii="Arial" w:cs="Arial" w:eastAsia="Arial" w:hAnsi="Arial"/>
          <w:sz w:val="16"/>
          <w:szCs w:val="16"/>
          <w:b w:val="1"/>
          <w:bCs w:val="1"/>
          <w:color w:val="auto"/>
        </w:rPr>
        <w:t>Insider Letter</w:t>
      </w:r>
      <w:r>
        <w:rPr>
          <w:rFonts w:ascii="Arial" w:cs="Arial" w:eastAsia="Arial" w:hAnsi="Arial"/>
          <w:sz w:val="16"/>
          <w:szCs w:val="16"/>
          <w:color w:val="auto"/>
        </w:rPr>
        <w:t>”) to be entered into with respect to the Securities between, among others, the Subscriber and the Company, as described in the Registration Statement), and not with a view to the distribution thereof and the Subscriber has no present arrangement to sell the Securities to or through any person or entity except as may be permitted under the Insider Letter. The Subscriber shall not engage in hedging transactions with regard to the Securities unless in compliance with the Securities Act.</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2.4. Restrictions on Transfer. The Subscriber acknowledges and understands the Units are being offered in a transaction not involving a public offering in the United States within the meaning of the Securities Act. The Securities have not been registered under the Securities Act and, if in the future the Subscriber decides to offer, resell, pledge or otherwise transfer the Securities, such Securities may be offered, resold, pledged or otherwise transferred only (A) pursuant to an effective registration statement filed under the Securities Act, (B) pursuant to an exemption from registration under Rule 144 promulgated under the Securities Act, if available, or (C) pursuant to any other available exemption from the registration requirements of the Securities Act, and in each case in accordance with any applicable securities laws of any state or any other jurisdiction. Notwithstanding the foregoing, the Subscriber acknowledges and understands the Securities are subject to transfer restrictions as described in Section 8 hereof. The Subscriber agrees that if any transfer of its Securities or any interest therein is proposed to be made, as a condition precedent to any such transfer, the Subscriber may be required to deliver to the Company an opinion of counsel satisfactory to the Company with respect to such transfer. Absent registration or another available exemption from registration, the Subscriber agrees it will not resell the Securities (unless otherwise permitted pursuant to the Insider Letter, as described in the Registration Statement). The Subscriber further acknowledges that because the Company is a shell company, Rule 144 may not be available to the Subscriber for the resale of the Securities until the one year anniversary following consummation of the initial Business Combination of the Company, despite technical compliance with the requirements of Rule 144 and the release or waiver of any contractual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0" w:name="page331"/>
    <w:bookmarkEnd w:id="330"/>
    <w:p>
      <w:pPr>
        <w:ind w:left="660"/>
        <w:spacing w:after="0"/>
        <w:rPr>
          <w:sz w:val="20"/>
          <w:szCs w:val="20"/>
          <w:color w:val="auto"/>
        </w:rPr>
      </w:pPr>
      <w:r>
        <w:rPr>
          <w:rFonts w:ascii="Arial" w:cs="Arial" w:eastAsia="Arial" w:hAnsi="Arial"/>
          <w:sz w:val="18"/>
          <w:szCs w:val="18"/>
          <w:color w:val="auto"/>
        </w:rPr>
        <w:t>2.5.  Sophisticated Investor.</w:t>
      </w:r>
    </w:p>
    <w:p>
      <w:pPr>
        <w:spacing w:after="0" w:line="225" w:lineRule="exact"/>
        <w:rPr>
          <w:sz w:val="20"/>
          <w:szCs w:val="20"/>
          <w:color w:val="auto"/>
        </w:rPr>
      </w:pPr>
    </w:p>
    <w:p>
      <w:pPr>
        <w:ind w:left="1240" w:hanging="260"/>
        <w:spacing w:after="0"/>
        <w:tabs>
          <w:tab w:leader="none" w:pos="12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Subscriber is sophisticated in financial matters and is able to evaluate the risks and benefits of the investment in the Securities.</w:t>
      </w:r>
    </w:p>
    <w:p>
      <w:pPr>
        <w:spacing w:after="0" w:line="236" w:lineRule="exact"/>
        <w:rPr>
          <w:rFonts w:ascii="Arial" w:cs="Arial" w:eastAsia="Arial" w:hAnsi="Arial"/>
          <w:sz w:val="17"/>
          <w:szCs w:val="17"/>
          <w:color w:val="auto"/>
        </w:rPr>
      </w:pPr>
    </w:p>
    <w:p>
      <w:pPr>
        <w:jc w:val="both"/>
        <w:ind w:firstLine="980"/>
        <w:spacing w:after="0" w:line="259" w:lineRule="auto"/>
        <w:tabs>
          <w:tab w:leader="none" w:pos="125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Subscriber is aware that an investment in the Securities is highly speculative and subject to substantial risks because, among other things, the Securities are subject to transfer restrictions and have not been registered under the Securities Act and therefore cannot be sold unless subsequently registered under the Securities Act or an exemption from such registration is available. The Subscriber is able to bear the economic risk of its investment in the Securities for an indefinite period of time.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2.6. Independent Investigation. The Subscriber, in making the decision to purchase the Units, has relied upon an independent investigation of the Company and has not relied upon any information or representations made by any third parties or upon any oral or written representations or assurances from the Company, its officers, directors or employees or any other representatives or agents of the Company, other than as set forth in this Agreement. The Subscriber is familiar with the business, operations and financial condition of the Company and has had an opportunity to ask questions of, and receive answers from the Company’s officers and directors concerning the Company and the terms and conditions of the offering of the Units and has had full access to such other information concerning the Company as the Subscriber has requested. The Subscriber confirms that all documents that it has requested have been made available and that the Subscriber has been supplied with all of the additional information concerning this investment which the Subscriber has requested.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2.7 Organization and Authority. The Subscriber is duly organized, validly existing and in good standing under the laws of the State of Delaware and it possesses all requisite power and authority necessary to carry out the transactions contemplated by this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2.8. Authority. This Agreement has been validly authorized, executed and delivered by the Subscriber and is a valid and binding agreement enforceable in accordance with its terms, subject to the general principles of equity and to bankruptcy or other laws affecting the enforcement of creditors’ rights generally.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2.9. No Conflicts. The execution, delivery and performance of this Agreement and the consummation by the Subscriber of the transactions contemplated hereby do not violate, conflict with or constitute a default under (i) the Subscriber's charter documents, (ii) any agreement or instrument to which the Subscriber is a party or (iii) any law, statute, rule or regulation to which the Subscriber is subject, or any agreement, order, judgment or decree to which the Subscriber is subject.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2.10. No Legal Advice from Company. The Subscriber acknowledges it has had the opportunity to review this Agreement and the transactions contemplated by this Agreement and the other agreements entered into between the parties hereto with the Subscriber’s own legal counsel and investment and tax advisors. Except for any statements or representations of the Company made in this Agreement and the other agreements entered into between the parties hereto, the Subscriber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2.11. Reliance on Representations and Warranties. The Subscriber understands the Units are being offered and sold to the Subscriber in reliance on exemptions from the registration requirements under the Securities Act, and analogous provisions in the laws and regulations of various states, and that the Company is relying upon the truth and accuracy of the representations, warranties, agreements, acknowledgments and understandings of the Subscriber set forth in this Agreement in order to determine the applicability of such provisions.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2.12. No General Solicitation. The Subscriber is not subscribing for the Units as a result of or subsequent to any general solicitation or general advertising, including but not limited to any advertisement, article, notice or other communication published in any newspaper, magazine, or similar media or broadcast over television or radio, or presented at any seminar or meeting or in a registration statement with respect to the IPO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1" w:name="page332"/>
    <w:bookmarkEnd w:id="331"/>
    <w:p>
      <w:pPr>
        <w:ind w:right="20" w:firstLine="648"/>
        <w:spacing w:after="0" w:line="277" w:lineRule="auto"/>
        <w:rPr>
          <w:sz w:val="20"/>
          <w:szCs w:val="20"/>
          <w:color w:val="auto"/>
        </w:rPr>
      </w:pPr>
      <w:r>
        <w:rPr>
          <w:rFonts w:ascii="Arial" w:cs="Arial" w:eastAsia="Arial" w:hAnsi="Arial"/>
          <w:sz w:val="18"/>
          <w:szCs w:val="18"/>
          <w:color w:val="auto"/>
        </w:rPr>
        <w:t>2.13. Legend. The Subscriber acknowledges and agrees the certificates (if any) evidencing each of the Securities shall bear a restrictive legend (the “</w:t>
      </w:r>
      <w:r>
        <w:rPr>
          <w:rFonts w:ascii="Arial" w:cs="Arial" w:eastAsia="Arial" w:hAnsi="Arial"/>
          <w:sz w:val="18"/>
          <w:szCs w:val="18"/>
          <w:b w:val="1"/>
          <w:bCs w:val="1"/>
          <w:color w:val="auto"/>
        </w:rPr>
        <w:t>Legend</w:t>
      </w:r>
      <w:r>
        <w:rPr>
          <w:rFonts w:ascii="Arial" w:cs="Arial" w:eastAsia="Arial" w:hAnsi="Arial"/>
          <w:sz w:val="18"/>
          <w:szCs w:val="18"/>
          <w:color w:val="auto"/>
        </w:rPr>
        <w:t>”), in form and substance substantially as set forth in Section 4 hereof.</w:t>
      </w:r>
    </w:p>
    <w:p>
      <w:pPr>
        <w:spacing w:after="0" w:line="170" w:lineRule="exact"/>
        <w:rPr>
          <w:sz w:val="20"/>
          <w:szCs w:val="20"/>
          <w:color w:val="auto"/>
        </w:rPr>
      </w:pPr>
    </w:p>
    <w:p>
      <w:pPr>
        <w:ind w:left="560" w:hanging="228"/>
        <w:spacing w:after="0"/>
        <w:tabs>
          <w:tab w:leader="none" w:pos="560"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Covenants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and agrees with, the Subscriber that: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3.1. Valid Issuance of Capital Stock. The total number of shares of all classes of capital stock which the Company has authority to issue is 280,000,000 shares of Class A Common Stock, 20,000,000 shares of Class B Common Stock, $0.0001 par value per share (the “</w:t>
      </w:r>
      <w:r>
        <w:rPr>
          <w:rFonts w:ascii="Arial" w:cs="Arial" w:eastAsia="Arial" w:hAnsi="Arial"/>
          <w:sz w:val="18"/>
          <w:szCs w:val="18"/>
          <w:b w:val="1"/>
          <w:bCs w:val="1"/>
          <w:color w:val="auto"/>
        </w:rPr>
        <w:t>Class B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and 1,000,000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As of the date hereof, the Company has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9,487,500 shares of Class B Common Stock (of which up to 1,237,500 shares are subject to forfeiture as described in the Registration Statement), no shares of Class A Common Stock and no shares of Preferred Stock. All of the issued shares of capital stock of the Company have been duly authorized, validly issued, and are fully paid and non-assessable.</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3.2. Title to Securities. Upon issuance in accordance with, and payment pursuant to, the terms hereof, that certain warrant agreement to be entered into between the Company and Continental, as warrant agent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each of the Units, Placement Shares, Placement Warrants, and Warrant Shares will be duly and validly issued, fully paid and non-assessable. On the date of issuance of the Units and the Warrant Shares shall have been reserved for issuance. Upon issuance in accordance with, and payment pursuant to, the terms hereof and the Warrant Agreement, the Subscriber will have or receive good title to the Units, Placement Shares and Placement Warrants, free and clear of all liens, claims and encumbrances of any kind, other than (i) transfer restrictions hereunder and pursuant to the Insider Letter and (ii) transfer restrictions under federal and state securities laws.</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3.3. Organization and Qualification. The Company is a corporation duly incorporated, validly existing and in good standing under the laws of the State of Delaware and has the requisite corporate power to own its properties and assets and to carry on its business as now being conducted.</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3.4. Authorization; Enforcement. (i) The Company has the requisite corporate power and authority to enter into and perform its obligations under this Agreement and to issue the Securities in accordance with the terms hereof, (ii) the execution, delivery and performance of this Agreement by the Company and the consummation by it of the transactions contemplated hereby have been duly authorized by all necessary corporate action, and no further consent or authorization of the Company or its Board of Directors or stockholders is required, and (iii) this Agreement constitutes valid and binding obligations of the Company enforceable against the Company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3.5. No Conflicts. The execution, delivery and performance of this Agreement and the consummation by the Company of the transactions contemplated hereby do not (i) result in a violation of the Company’s certificate of incorporation or by-laws, (ii) conflict with, or constitute a default under any agreement or instrument to which the Company is a party or (iii) any law statute, rule or regulation to which the Company is subject or any agreement, order, judgment or decree to which the Company is subject. Other than any SEC or state securities filings which may be required to be made by the Company subsequent to a Closing Date, and any registration statement which may be filed pursuant thereto, the Company is not required under federal, state or local law, rule or regulation to obtain any consent, authorization or order of, or make any filing or registration with, any court or governmental agency or self-regulatory entity in order for it to perform any of its obligations under this Agreement or issue the Units, Placement Shares, Placement Warrants or Warrant Shares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2" w:name="page333"/>
    <w:bookmarkEnd w:id="332"/>
    <w:p>
      <w:pPr>
        <w:ind w:left="520" w:hanging="188"/>
        <w:spacing w:after="0"/>
        <w:tabs>
          <w:tab w:leader="none" w:pos="52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Legends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4.1. Legend. The Company will issue the Units, Placement Shares, Placement Warrants and Placement Rights, and when issued, the Warrant Shares, purchased by the Subscriber in the name of the Subscriber. The certificates (if any) evidencing Securities will bear the following Legend and appropriate “stop transfer” instructions:</w:t>
      </w:r>
    </w:p>
    <w:p>
      <w:pPr>
        <w:spacing w:after="0" w:line="184"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“SECURITIES ACT”), OR ANY STATE SECURITIES LAWS AND NEITHER THE SECURITIES NOR ANY INTEREST THEREIN MAY BE OFFERED, SOLD, TRANSFERRED, PLEDGED OR OTHERWISE DISPOSED OF EXCEPT PURSUANT TO AN EFFECTIVE REGISTRATION STATEMENT UNDER THE SECURITIES ACT OR SUCH LAWS OR AN EXEMPTION FROM REGISTRATION UNDER THE SECURITIES ACT AND SUCH LAWS WHICH, IN THE OPINION OF COUNSEL FOR THIS CORPORATION, IS AVAILABLE.”</w:t>
      </w:r>
    </w:p>
    <w:p>
      <w:pPr>
        <w:spacing w:after="0" w:line="192"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“THE SECURITIES REPRESENTED BY THIS CERTIFICATE ARE SUBJECT TO LOCKUP PURSUANT TO AN INSIDER LETTER BETWEEN, AMONG OTHERS, BURTECH ACQUISITION CORP. AND BURTECH LP, LLC AND MAY ONLY BE OFFERED, SOLD, TRANSFERRED, PLEDGED OR OTHERWISE DISPOSED DURING THE TERM OF THE LOCKUP PURSUANT TO THE TERMS SET FORTH IN THE INSIDER LETTER.”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4.2. Subscriber’s Compliance. Nothing in this Section 4 shall affect in any way the Subscriber’s obligations and agreements to comply with all applicable securities laws upon resale of the Securities.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4.3. Company’s Refusal to Register Transfer of the Securities. The Company shall refuse to register any transfer of the Securities, if in the sole judgment of the Company such purported transfer would not be made (i) pursuant to an effective registration statement filed under the Securities Act, or pursuant to an available exemption from the registration requirements of the Securities Act and (ii) in compliance herewith and with the Insider Letter.</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4.4. Registration Rights. The Subscriber will be entitled to certain registration rights which will be governed by a registration rights agreement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to be entered into between, among others, the Subscriber and the Company, on or prior to the effective date of the Registration Statement.</w:t>
      </w:r>
    </w:p>
    <w:p>
      <w:pPr>
        <w:spacing w:after="0" w:line="184" w:lineRule="exact"/>
        <w:rPr>
          <w:sz w:val="20"/>
          <w:szCs w:val="20"/>
          <w:color w:val="auto"/>
        </w:rPr>
      </w:pPr>
    </w:p>
    <w:p>
      <w:pPr>
        <w:ind w:left="560" w:hanging="228"/>
        <w:spacing w:after="0"/>
        <w:tabs>
          <w:tab w:leader="none" w:pos="56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Waiver of Liquidation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Securities purchased pursuant to this Agreement, the Subscriber hereby waives any and all right, title, interest or claim of any kind in or to any distributions of the amounts in the Trust Account with respect to the Securities, whether (i) in connection with the exercise of redemption rights if the Company consummates the Business Combination, (ii) in connection with any tender offer conducted by the Company prior to a Business Combination, (iii) upon the Company’s redemption of shares of Common Stock sold in the Company’s IPO upon the Company’s failure to timely complete the Business Combination or (iv) in connection with a stockholder vote to approve an amendment to the Company’s amended and restated certificate of incorporation (A) to modify the substance or timing of the Company’s obligation to redeem 100% of the Company’s public shares if the Company does not timely complete the Business Combination or (B) with respect to any other provision relating to stockholders’ rights or pre-Business Combination activity. In the event the Subscriber purchases shares of Common Stock in the IPO or in the aftermarket, any additional shares so purchased shall be eligible to receive the redemption value of such shares of Common Stock upon the same terms offered to all other purchasers of Common Stock in the IPO in the event the Company fails to consummate the Business Combination.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i w:val="1"/>
          <w:iCs w:val="1"/>
          <w:color w:val="auto"/>
        </w:rPr>
        <w:t>Terms of Placement Warrants</w:t>
      </w:r>
      <w:r>
        <w:rPr>
          <w:rFonts w:ascii="Arial" w:cs="Arial" w:eastAsia="Arial" w:hAnsi="Arial"/>
          <w:sz w:val="18"/>
          <w:szCs w:val="18"/>
          <w:color w:val="auto"/>
        </w:rPr>
        <w:t>. Each Placement Warrant shall have the terms set forth in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3" w:name="page334"/>
    <w:bookmarkEnd w:id="333"/>
    <w:p>
      <w:pPr>
        <w:ind w:left="520" w:hanging="188"/>
        <w:spacing w:after="0"/>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Rescission Right Waiver and Indemnification.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7.1. The Subscriber understands and acknowledges an exemption from the registration requirements of the Securities Act requires there be no general solicitation of purchasers of the Units. In this regard, if the IPO were deemed to be a general solicitation with respect to the Units, the offer and sale of such Units may not be exempt from registration and, if not, the Subscriber may have a right to rescind its purchase of the Units. In order to facilitate the completion of the Placement and in order to protect the Company, its stockholders and the amounts in the Trust Account from claims that may adversely affect the Company or the interests of its stockholders, the Subscriber hereby agrees to waive, to the maximum extent permitted by applicable law, any claims, right to sue or rights in law or arbitration, as the case may be, to seek rescission of its purchase of the Units. The Subscriber acknowledges and agrees this waiver is being made in order to induce the Company to sell the Units to the Subscriber. The Subscriber agrees the foregoing waiver of rescission rights shall apply to any and all known or unknown actions, causes of action, suits, claims or proceedings (collectively, “</w:t>
      </w:r>
      <w:r>
        <w:rPr>
          <w:rFonts w:ascii="Arial" w:cs="Arial" w:eastAsia="Arial" w:hAnsi="Arial"/>
          <w:sz w:val="17"/>
          <w:szCs w:val="17"/>
          <w:b w:val="1"/>
          <w:bCs w:val="1"/>
          <w:color w:val="auto"/>
        </w:rPr>
        <w:t>Claims</w:t>
      </w:r>
      <w:r>
        <w:rPr>
          <w:rFonts w:ascii="Arial" w:cs="Arial" w:eastAsia="Arial" w:hAnsi="Arial"/>
          <w:sz w:val="17"/>
          <w:szCs w:val="17"/>
          <w:color w:val="auto"/>
        </w:rPr>
        <w:t>”) and related losses, costs, penalties, fees, liabilities and damages, whether compensatory, consequential or exemplary, and expenses in connection therewith, including reasonable attorneys’ and expert witness fees and disbursements and all other expenses reasonably incurred in investigating, preparing or defending against any Claims, whether pending or threatened, in connection with any present or future actual or asserted right to rescind the purchase of the Units hereunder or relating to the purchase of the Units and the transactions contemplated hereby.</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7.2. The Subscriber agrees not to seek recourse against the Trust Account for any reason whatsoever in connection with its purchase of the Units or any Claim that may arise now or in the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7.3. The Subscriber acknowledges and agrees that the stockholders of the Company are and shall be third-party beneficiaries of this Section 7.</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7.4. The Subscriber agrees that to the extent any waiver of rights under this Section 7 is ineffective as a matter of law, the Subscriber has offered such waiver for the benefit of the Company as an equitable right that shall survive any statutory disqualification or bar that applies to a legal right. The Subscriber acknowledges the receipt and sufficiency of consideration received from the Company hereunder in this regard.</w:t>
      </w:r>
    </w:p>
    <w:p>
      <w:pPr>
        <w:spacing w:after="0" w:line="165" w:lineRule="exact"/>
        <w:rPr>
          <w:sz w:val="20"/>
          <w:szCs w:val="20"/>
          <w:color w:val="auto"/>
        </w:rPr>
      </w:pPr>
    </w:p>
    <w:p>
      <w:pPr>
        <w:ind w:left="520" w:hanging="188"/>
        <w:spacing w:after="0"/>
        <w:tabs>
          <w:tab w:leader="none" w:pos="520"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Terms of the Units and Placement Warrants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8.1. The Units and their component parts are substantially identical to the units to be offered in the IPO except that: (i) the Units and component parts are subject to the transfer restrictions described in the Insider Letter, (ii) the Placement Warrants will be non-redeemable if called for redemption pursuant to Section 6.1 of the Warrant Agreement so long as they are held by the Subscriber (or any of its permitted transferees) and as otherwise provided in Section 5 herein, and may be exercisable on a “cashless” basis if held by the Subscriber or its permitted transferees, as further described in the Warrant Agreement and (iii) the Units and component parts are being purchased pursuant to an exemption from the registration requirements of the Securities Act and will become freely tradable only after the expiration of the lockup described above in clause (i) and they are registered pursuant to the Registration Rights Agreement to be signed on or before the date of the Prospectus or an exemption from registration is available.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8.2 The Subscriber agrees to vote the Placement Shares in accordance with the terms of the Insider Letter and as otherwise described in the Registration Statement.</w:t>
      </w:r>
    </w:p>
    <w:p>
      <w:pPr>
        <w:spacing w:after="0" w:line="170" w:lineRule="exact"/>
        <w:rPr>
          <w:sz w:val="20"/>
          <w:szCs w:val="20"/>
          <w:color w:val="auto"/>
        </w:rPr>
      </w:pPr>
    </w:p>
    <w:p>
      <w:pPr>
        <w:ind w:left="560" w:hanging="228"/>
        <w:spacing w:after="0"/>
        <w:tabs>
          <w:tab w:leader="none" w:pos="56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Governing Law; Jurisdiction</w:t>
      </w:r>
      <w:r>
        <w:rPr>
          <w:rFonts w:ascii="Arial" w:cs="Arial" w:eastAsia="Arial" w:hAnsi="Arial"/>
          <w:sz w:val="18"/>
          <w:szCs w:val="18"/>
          <w:color w:val="auto"/>
        </w:rPr>
        <w:t>;</w:t>
      </w:r>
      <w:r>
        <w:rPr>
          <w:rFonts w:ascii="Arial" w:cs="Arial" w:eastAsia="Arial" w:hAnsi="Arial"/>
          <w:sz w:val="18"/>
          <w:szCs w:val="18"/>
          <w:i w:val="1"/>
          <w:iCs w:val="1"/>
          <w:color w:val="auto"/>
        </w:rPr>
        <w:t xml:space="preserve"> Waiver of Jury Trial</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Agreement shall be governed by and construed in accordance with the law of the State of New York. </w:t>
      </w:r>
      <w:r>
        <w:rPr>
          <w:rFonts w:ascii="Arial" w:cs="Arial" w:eastAsia="Arial" w:hAnsi="Arial"/>
          <w:sz w:val="18"/>
          <w:szCs w:val="18"/>
          <w:b w:val="1"/>
          <w:bCs w:val="1"/>
          <w:color w:val="auto"/>
        </w:rPr>
        <w:t>THE PARTIES HERETO HEREBY</w:t>
      </w:r>
      <w:r>
        <w:rPr>
          <w:rFonts w:ascii="Arial" w:cs="Arial" w:eastAsia="Arial" w:hAnsi="Arial"/>
          <w:sz w:val="18"/>
          <w:szCs w:val="18"/>
          <w:color w:val="auto"/>
        </w:rPr>
        <w:t xml:space="preserve"> </w:t>
      </w:r>
      <w:r>
        <w:rPr>
          <w:rFonts w:ascii="Arial" w:cs="Arial" w:eastAsia="Arial" w:hAnsi="Arial"/>
          <w:sz w:val="18"/>
          <w:szCs w:val="18"/>
          <w:b w:val="1"/>
          <w:bCs w:val="1"/>
          <w:color w:val="auto"/>
        </w:rPr>
        <w:t>WAIVE ANY RIGHT TO A JURY TRIAL IN CONNECTION WITH ANY LITIGATION PURSUANT TO THIS AGREEMENT AND THE TRANSACTIONS CONTEMPLATED HEREBY.</w:t>
      </w:r>
    </w:p>
    <w:p>
      <w:pPr>
        <w:spacing w:after="0" w:line="180" w:lineRule="exact"/>
        <w:rPr>
          <w:sz w:val="20"/>
          <w:szCs w:val="20"/>
          <w:color w:val="auto"/>
        </w:rPr>
      </w:pPr>
    </w:p>
    <w:p>
      <w:pPr>
        <w:ind w:left="640" w:hanging="308"/>
        <w:spacing w:after="0"/>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Assignment; Entire Agreement; Amendment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10.1. Assignment. Neither this Agreement nor any rights hereunder may be assigned by any party to any other person other than by the Subscriber to a person agreeing to be bound by the terms hereof, including the waiver contained in Section 7 hereof.</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10.2. Entire Agreement. This Agreement sets forth the entire agreement and understanding between the parties as to the subject matter thereof and merges and supersedes all prior discussions, agreements and understandings of any and every nature among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4" w:name="page335"/>
    <w:bookmarkEnd w:id="334"/>
    <w:p>
      <w:pPr>
        <w:ind w:firstLine="648"/>
        <w:spacing w:after="0" w:line="277" w:lineRule="auto"/>
        <w:rPr>
          <w:sz w:val="20"/>
          <w:szCs w:val="20"/>
          <w:color w:val="auto"/>
        </w:rPr>
      </w:pPr>
      <w:r>
        <w:rPr>
          <w:rFonts w:ascii="Arial" w:cs="Arial" w:eastAsia="Arial" w:hAnsi="Arial"/>
          <w:sz w:val="18"/>
          <w:szCs w:val="18"/>
          <w:color w:val="auto"/>
        </w:rPr>
        <w:t>10.3. Amendment. Except as expressly provided in this Agreement, neither this Agreement nor any term hereof may be amended, waived, discharged or terminated other than by a written instrument signed by all of the parties hereto.</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10.4. Binding upon Successors. This Agreement shall be binding upon and inure to the benefit of the parties hereto and to their respective heirs, legal representatives, successors and permitted assigns.</w:t>
      </w:r>
    </w:p>
    <w:p>
      <w:pPr>
        <w:spacing w:after="0" w:line="170" w:lineRule="exact"/>
        <w:rPr>
          <w:sz w:val="20"/>
          <w:szCs w:val="20"/>
          <w:color w:val="auto"/>
        </w:rPr>
      </w:pPr>
    </w:p>
    <w:p>
      <w:pPr>
        <w:ind w:left="680" w:hanging="348"/>
        <w:spacing w:after="0"/>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11.1 Notices. Unless otherwise provided herein, any notice or other communication to a party hereunder shall be sufficiently given if in writing and personally delivered or sent by facsimile or other electronic transmission with copy sent in another manner herein provided or sent by courier (which for all purposes of this Agreement shall include Federal Express or other recognized overnight courier) or mailed to said party by certified mail, return receipt requested, at its address provided for herein or such other address as either may designate for itself in such notice to the other. Communications shall be deemed to have been received when delivered personally, on the scheduled arrival date when sent by next day or 2nd-day courier service, or if sent by facsimile upon receipt of confirmation of transmittal or, if sent by mail, then three days after deposit in the mail. If given by electronic transmission, such notice shall be deemed to be delivered (a) if by electronic mail, when directed to an electronic mail address at which the stockholder has consented to receive notice; (b) if by a posting on an electronic network together with separate notice to the stockholder of such specific posting, upon the later of</w:t>
      </w:r>
    </w:p>
    <w:p>
      <w:pPr>
        <w:spacing w:after="0" w:line="1" w:lineRule="exact"/>
        <w:rPr>
          <w:sz w:val="20"/>
          <w:szCs w:val="20"/>
          <w:color w:val="auto"/>
        </w:rPr>
      </w:pPr>
    </w:p>
    <w:p>
      <w:pPr>
        <w:ind w:left="260" w:hanging="252"/>
        <w:spacing w:after="0"/>
        <w:tabs>
          <w:tab w:leader="none" w:pos="2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such posting and (2) the giving of such separate notice; and (c) if by any other form of electronic transmission, when directed to the stockholder.</w:t>
      </w:r>
    </w:p>
    <w:p>
      <w:pPr>
        <w:spacing w:after="0" w:line="222" w:lineRule="exact"/>
        <w:rPr>
          <w:rFonts w:ascii="Arial" w:cs="Arial" w:eastAsia="Arial" w:hAnsi="Arial"/>
          <w:sz w:val="17"/>
          <w:szCs w:val="17"/>
          <w:color w:val="auto"/>
        </w:rPr>
      </w:pPr>
    </w:p>
    <w:p>
      <w:pPr>
        <w:ind w:left="600" w:hanging="268"/>
        <w:spacing w:after="0"/>
        <w:tabs>
          <w:tab w:leader="none" w:pos="600"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Counterparts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ind w:left="600" w:hanging="268"/>
        <w:spacing w:after="0"/>
        <w:tabs>
          <w:tab w:leader="none" w:pos="60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Survival; Severability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13.1. Survival. The representations, warranties, covenants and agreements of the parties hereto shall survive the Closing Dates.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13.2. Severability.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184" w:lineRule="exact"/>
        <w:rPr>
          <w:sz w:val="20"/>
          <w:szCs w:val="20"/>
          <w:color w:val="auto"/>
        </w:rPr>
      </w:pPr>
    </w:p>
    <w:p>
      <w:pPr>
        <w:ind w:left="600" w:hanging="268"/>
        <w:spacing w:after="0"/>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Headings.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titles and subtitles used in this Agreement are used for convenience only and are not to be considered in construing or interpreting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5" w:name="page336"/>
    <w:bookmarkEnd w:id="335"/>
    <w:p>
      <w:pPr>
        <w:spacing w:after="0"/>
        <w:rPr>
          <w:sz w:val="20"/>
          <w:szCs w:val="20"/>
          <w:color w:val="auto"/>
        </w:rPr>
      </w:pPr>
      <w:r>
        <w:rPr>
          <w:rFonts w:ascii="Arial" w:cs="Arial" w:eastAsia="Arial" w:hAnsi="Arial"/>
          <w:sz w:val="16"/>
          <w:szCs w:val="16"/>
          <w:color w:val="auto"/>
        </w:rPr>
        <w:t>IN WITNESS WHEREOF, the parties hereto have executed this Agreement to be effective as of the date first set forth above.</w:t>
      </w:r>
    </w:p>
    <w:p>
      <w:pPr>
        <w:spacing w:after="0" w:line="24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14605</wp:posOffset>
            </wp:positionV>
            <wp:extent cx="34201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Roman Livson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SUBSCRIBER:</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BurTech LP, LLC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14605</wp:posOffset>
            </wp:positionV>
            <wp:extent cx="34201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[Unit Subscription Agreement with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THIS INDEMNITY AGREEMENT (this “Agreement”) is made as of [ ], 2021, by and between BurTech Acquisition Corp., a Delaware corporation (the “Company”), and ___________ (“Indemnitee”).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of the Company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of the Company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right="16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the date hereof, the Company and Indemnitee do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7" w:name="page338"/>
    <w:bookmarkEnd w:id="337"/>
    <w:p>
      <w:pPr>
        <w:jc w:val="center"/>
        <w:ind w:right="-59"/>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ind w:right="40" w:firstLine="656"/>
        <w:spacing w:after="0" w:line="256" w:lineRule="auto"/>
        <w:tabs>
          <w:tab w:leader="none" w:pos="828"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color w:val="auto"/>
        </w:rPr>
      </w:pPr>
    </w:p>
    <w:p>
      <w:pPr>
        <w:ind w:right="80" w:firstLine="1304"/>
        <w:spacing w:after="0" w:line="279" w:lineRule="auto"/>
        <w:tabs>
          <w:tab w:leader="none" w:pos="1586" w:val="left"/>
        </w:tabs>
        <w:numPr>
          <w:ilvl w:val="1"/>
          <w:numId w:val="220"/>
        </w:numPr>
        <w:rPr>
          <w:rFonts w:ascii="Arial" w:cs="Arial" w:eastAsia="Arial" w:hAnsi="Arial"/>
          <w:sz w:val="17"/>
          <w:szCs w:val="17"/>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100" w:firstLine="1304"/>
        <w:spacing w:after="0" w:line="277" w:lineRule="auto"/>
        <w:tabs>
          <w:tab w:leader="none" w:pos="159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color w:val="auto"/>
        </w:rPr>
      </w:pPr>
    </w:p>
    <w:p>
      <w:pPr>
        <w:ind w:right="100" w:firstLine="1952"/>
        <w:spacing w:after="0" w:line="273" w:lineRule="auto"/>
        <w:tabs>
          <w:tab w:leader="none" w:pos="2159" w:val="left"/>
        </w:tabs>
        <w:numPr>
          <w:ilvl w:val="2"/>
          <w:numId w:val="220"/>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BurTech LP,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140" w:firstLine="1952"/>
        <w:spacing w:after="0" w:line="259" w:lineRule="auto"/>
        <w:tabs>
          <w:tab w:leader="none" w:pos="2209" w:val="left"/>
        </w:tabs>
        <w:numPr>
          <w:ilvl w:val="2"/>
          <w:numId w:val="220"/>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ind w:firstLine="1952"/>
        <w:spacing w:after="0" w:line="268" w:lineRule="auto"/>
        <w:tabs>
          <w:tab w:leader="none" w:pos="2259" w:val="left"/>
        </w:tabs>
        <w:numPr>
          <w:ilvl w:val="2"/>
          <w:numId w:val="220"/>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38" w:name="page339"/>
    <w:bookmarkEnd w:id="338"/>
    <w:p>
      <w:pPr>
        <w:jc w:val="both"/>
        <w:ind w:right="200" w:firstLine="1952"/>
        <w:spacing w:after="0" w:line="259" w:lineRule="auto"/>
        <w:tabs>
          <w:tab w:leader="none" w:pos="2249"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ind w:right="440" w:firstLine="1952"/>
        <w:spacing w:after="0" w:line="263" w:lineRule="auto"/>
        <w:tabs>
          <w:tab w:leader="none" w:pos="2199"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right="180" w:firstLine="1304"/>
        <w:spacing w:after="0" w:line="263" w:lineRule="auto"/>
        <w:tabs>
          <w:tab w:leader="none" w:pos="159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600" w:hanging="296"/>
        <w:spacing w:after="0"/>
        <w:tabs>
          <w:tab w:leader="none" w:pos="16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firstLine="1304"/>
        <w:spacing w:after="0" w:line="277" w:lineRule="auto"/>
        <w:tabs>
          <w:tab w:leader="none" w:pos="156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ind w:right="80" w:firstLine="1304"/>
        <w:spacing w:after="0" w:line="259" w:lineRule="auto"/>
        <w:tabs>
          <w:tab w:leader="none" w:pos="159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600" w:hanging="296"/>
        <w:spacing w:after="0"/>
        <w:tabs>
          <w:tab w:leader="none" w:pos="16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right="300" w:firstLine="1304"/>
        <w:spacing w:after="0" w:line="289" w:lineRule="auto"/>
        <w:tabs>
          <w:tab w:leader="none" w:pos="155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ind w:left="1560" w:hanging="256"/>
        <w:spacing w:after="0"/>
        <w:tabs>
          <w:tab w:leader="none" w:pos="15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References to “</w:t>
      </w:r>
      <w:r>
        <w:rPr>
          <w:rFonts w:ascii="Arial" w:cs="Arial" w:eastAsia="Arial" w:hAnsi="Arial"/>
          <w:sz w:val="16"/>
          <w:szCs w:val="16"/>
          <w:b w:val="1"/>
          <w:bCs w:val="1"/>
          <w:i w:val="1"/>
          <w:iCs w:val="1"/>
          <w:color w:val="auto"/>
        </w:rPr>
        <w:t>fines</w:t>
      </w:r>
      <w:r>
        <w:rPr>
          <w:rFonts w:ascii="Arial" w:cs="Arial" w:eastAsia="Arial" w:hAnsi="Arial"/>
          <w:sz w:val="16"/>
          <w:szCs w:val="16"/>
          <w:color w:val="auto"/>
        </w:rPr>
        <w:t>” shall include any excise tax assessed on Indemnitee with respect to any employee benefit plan; references to</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serving at the request of the Company</w:t>
      </w:r>
      <w:r>
        <w:rPr>
          <w:rFonts w:ascii="Arial" w:cs="Arial" w:eastAsia="Arial" w:hAnsi="Arial"/>
          <w:sz w:val="18"/>
          <w:szCs w:val="18"/>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color w:val="auto"/>
        </w:rPr>
        <w:t>not opposed to the best interests of the Company</w:t>
      </w:r>
      <w:r>
        <w:rPr>
          <w:rFonts w:ascii="Arial" w:cs="Arial" w:eastAsia="Arial" w:hAnsi="Arial"/>
          <w:sz w:val="18"/>
          <w:szCs w:val="18"/>
          <w:color w:val="auto"/>
        </w:rPr>
        <w:t>” as referred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9" w:name="page340"/>
    <w:bookmarkEnd w:id="339"/>
    <w:p>
      <w:pPr>
        <w:ind w:left="-656" w:right="120" w:firstLine="1304"/>
        <w:spacing w:after="0" w:line="293" w:lineRule="auto"/>
        <w:tabs>
          <w:tab w:leader="none" w:pos="94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ind w:left="-656" w:right="20" w:firstLine="1304"/>
        <w:spacing w:after="0" w:line="273" w:lineRule="auto"/>
        <w:tabs>
          <w:tab w:leader="none" w:pos="9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ind w:left="-656" w:right="80" w:firstLine="1304"/>
        <w:spacing w:after="0" w:line="290" w:lineRule="auto"/>
        <w:tabs>
          <w:tab w:leader="none" w:pos="99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left="-656" w:right="80" w:firstLine="1304"/>
        <w:spacing w:after="0" w:line="342" w:lineRule="auto"/>
        <w:tabs>
          <w:tab w:leader="none" w:pos="94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19" w:lineRule="exact"/>
        <w:rPr>
          <w:rFonts w:ascii="Arial" w:cs="Arial" w:eastAsia="Arial" w:hAnsi="Arial"/>
          <w:sz w:val="16"/>
          <w:szCs w:val="16"/>
          <w:color w:val="auto"/>
        </w:rPr>
      </w:pPr>
    </w:p>
    <w:p>
      <w:pPr>
        <w:ind w:left="-656" w:right="100" w:firstLine="656"/>
        <w:spacing w:after="0" w:line="271" w:lineRule="auto"/>
        <w:tabs>
          <w:tab w:leader="none" w:pos="172"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color w:val="auto"/>
        </w:rPr>
      </w:pPr>
    </w:p>
    <w:p>
      <w:pPr>
        <w:ind w:left="-656" w:firstLine="656"/>
        <w:spacing w:after="0" w:line="289" w:lineRule="auto"/>
        <w:tabs>
          <w:tab w:leader="none" w:pos="172" w:val="left"/>
        </w:tabs>
        <w:numPr>
          <w:ilvl w:val="0"/>
          <w:numId w:val="224"/>
        </w:numPr>
        <w:rPr>
          <w:rFonts w:ascii="Arial" w:cs="Arial" w:eastAsia="Arial" w:hAnsi="Arial"/>
          <w:sz w:val="16"/>
          <w:szCs w:val="16"/>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250825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40" w:name="page341"/>
    <w:bookmarkEnd w:id="340"/>
    <w:p>
      <w:pPr>
        <w:ind w:left="-656" w:right="20" w:firstLine="656"/>
        <w:spacing w:after="0" w:line="269" w:lineRule="auto"/>
        <w:tabs>
          <w:tab w:leader="none" w:pos="172" w:val="left"/>
        </w:tabs>
        <w:numPr>
          <w:ilvl w:val="0"/>
          <w:numId w:val="225"/>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78" w:lineRule="exact"/>
        <w:rPr>
          <w:rFonts w:ascii="Arial" w:cs="Arial" w:eastAsia="Arial" w:hAnsi="Arial"/>
          <w:sz w:val="17"/>
          <w:szCs w:val="17"/>
          <w:color w:val="auto"/>
        </w:rPr>
      </w:pPr>
    </w:p>
    <w:p>
      <w:pPr>
        <w:ind w:left="-656" w:right="80" w:firstLine="656"/>
        <w:spacing w:after="0" w:line="281" w:lineRule="auto"/>
        <w:tabs>
          <w:tab w:leader="none" w:pos="172" w:val="left"/>
        </w:tabs>
        <w:numPr>
          <w:ilvl w:val="0"/>
          <w:numId w:val="225"/>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 Section 27,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color w:val="auto"/>
        </w:rPr>
      </w:pPr>
    </w:p>
    <w:p>
      <w:pPr>
        <w:ind w:left="-656" w:right="20" w:firstLine="656"/>
        <w:spacing w:after="0" w:line="291" w:lineRule="auto"/>
        <w:tabs>
          <w:tab w:leader="none" w:pos="172"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 xml:space="preserve">ADDITIONAL INDEMNIFICATION, HOLD HARMLESS AND EXONERATION RIGHTS. </w:t>
      </w:r>
      <w:r>
        <w:rPr>
          <w:rFonts w:ascii="Arial" w:cs="Arial" w:eastAsia="Arial" w:hAnsi="Arial"/>
          <w:sz w:val="16"/>
          <w:szCs w:val="16"/>
          <w:color w:val="auto"/>
        </w:rPr>
        <w:t>Notwithstanding any limitation in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3, 4, or 5, and except for Section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color w:val="auto"/>
        </w:rPr>
      </w:pPr>
    </w:p>
    <w:p>
      <w:pPr>
        <w:ind w:left="184" w:hanging="184"/>
        <w:spacing w:after="0"/>
        <w:tabs>
          <w:tab w:leader="none" w:pos="184"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6" w:right="80" w:firstLine="1304"/>
        <w:spacing w:after="0" w:line="275" w:lineRule="auto"/>
        <w:tabs>
          <w:tab w:leader="none" w:pos="93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left="-656" w:firstLine="1304"/>
        <w:spacing w:after="0" w:line="308" w:lineRule="auto"/>
        <w:tabs>
          <w:tab w:leader="none" w:pos="94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656" w:firstLine="1304"/>
        <w:spacing w:after="0" w:line="277" w:lineRule="auto"/>
        <w:tabs>
          <w:tab w:leader="none" w:pos="93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1" w:name="page342"/>
    <w:bookmarkEnd w:id="341"/>
    <w:p>
      <w:pPr>
        <w:ind w:left="-656" w:right="300" w:firstLine="656"/>
        <w:spacing w:after="0" w:line="312" w:lineRule="auto"/>
        <w:tabs>
          <w:tab w:leader="none" w:pos="172"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t>EXCLUSIONS</w:t>
      </w:r>
      <w:r>
        <w:rPr>
          <w:rFonts w:ascii="Arial" w:cs="Arial" w:eastAsia="Arial" w:hAnsi="Arial"/>
          <w:sz w:val="17"/>
          <w:szCs w:val="17"/>
          <w:color w:val="auto"/>
        </w:rPr>
        <w:t>. Notwithstanding any provision in this Agreement, the Company shall not be obligated under this Agreement to make any</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advance expenses, hold harmless or exoneration payment in connection with any claim made against Indemnitee:</w:t>
      </w:r>
    </w:p>
    <w:p>
      <w:pPr>
        <w:spacing w:after="0" w:line="143" w:lineRule="exact"/>
        <w:rPr>
          <w:rFonts w:ascii="Arial" w:cs="Arial" w:eastAsia="Arial" w:hAnsi="Arial"/>
          <w:sz w:val="17"/>
          <w:szCs w:val="17"/>
          <w:color w:val="auto"/>
        </w:rPr>
      </w:pPr>
    </w:p>
    <w:p>
      <w:pPr>
        <w:ind w:left="-656" w:right="340" w:firstLine="1304"/>
        <w:spacing w:after="0" w:line="263" w:lineRule="auto"/>
        <w:tabs>
          <w:tab w:leader="none" w:pos="93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656" w:right="320" w:firstLine="1304"/>
        <w:spacing w:after="0" w:line="342" w:lineRule="auto"/>
        <w:tabs>
          <w:tab w:leader="none" w:pos="94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23" w:lineRule="exact"/>
        <w:rPr>
          <w:rFonts w:ascii="Arial" w:cs="Arial" w:eastAsia="Arial" w:hAnsi="Arial"/>
          <w:sz w:val="16"/>
          <w:szCs w:val="16"/>
          <w:color w:val="auto"/>
        </w:rPr>
      </w:pPr>
    </w:p>
    <w:p>
      <w:pPr>
        <w:ind w:left="-656" w:right="20" w:firstLine="1304"/>
        <w:spacing w:after="0" w:line="273" w:lineRule="auto"/>
        <w:tabs>
          <w:tab w:leader="none" w:pos="93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73" w:lineRule="exact"/>
        <w:rPr>
          <w:rFonts w:ascii="Arial" w:cs="Arial" w:eastAsia="Arial" w:hAnsi="Arial"/>
          <w:sz w:val="17"/>
          <w:szCs w:val="17"/>
          <w:color w:val="auto"/>
        </w:rPr>
      </w:pPr>
    </w:p>
    <w:p>
      <w:pPr>
        <w:ind w:left="264" w:hanging="264"/>
        <w:spacing w:after="0"/>
        <w:tabs>
          <w:tab w:leader="none" w:pos="264"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6" w:firstLine="1304"/>
        <w:spacing w:after="0" w:line="287" w:lineRule="auto"/>
        <w:tabs>
          <w:tab w:leader="none" w:pos="93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Section 10(a) shall not apply to any claim made by Indemnitee for which an indemnification, hold harmless or exoneration payment is excluded pursuant to Section 9.</w:t>
      </w:r>
    </w:p>
    <w:p>
      <w:pPr>
        <w:spacing w:after="0" w:line="167" w:lineRule="exact"/>
        <w:rPr>
          <w:rFonts w:ascii="Arial" w:cs="Arial" w:eastAsia="Arial" w:hAnsi="Arial"/>
          <w:sz w:val="16"/>
          <w:szCs w:val="16"/>
          <w:color w:val="auto"/>
        </w:rPr>
      </w:pPr>
    </w:p>
    <w:p>
      <w:pPr>
        <w:ind w:left="944" w:hanging="296"/>
        <w:spacing w:after="0"/>
        <w:tabs>
          <w:tab w:leader="none" w:pos="94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656" w:right="300" w:firstLine="1304"/>
        <w:spacing w:after="0" w:line="277" w:lineRule="auto"/>
        <w:tabs>
          <w:tab w:leader="none" w:pos="93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rFonts w:ascii="Arial" w:cs="Arial" w:eastAsia="Arial" w:hAnsi="Arial"/>
          <w:sz w:val="18"/>
          <w:szCs w:val="18"/>
          <w:color w:val="auto"/>
        </w:rPr>
      </w:pPr>
    </w:p>
    <w:p>
      <w:pPr>
        <w:ind w:left="264" w:hanging="264"/>
        <w:spacing w:after="0"/>
        <w:tabs>
          <w:tab w:leader="none" w:pos="264"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6" w:right="80" w:firstLine="1304"/>
        <w:spacing w:after="0" w:line="279" w:lineRule="auto"/>
        <w:tabs>
          <w:tab w:leader="none" w:pos="93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4"/>
          </w:cols>
          <w:pgMar w:left="976" w:top="904" w:right="439" w:bottom="1440" w:gutter="0" w:footer="0" w:header="0"/>
        </w:sectPr>
      </w:pPr>
    </w:p>
    <w:bookmarkStart w:id="342" w:name="page343"/>
    <w:bookmarkEnd w:id="342"/>
    <w:p>
      <w:pPr>
        <w:ind w:left="-656" w:right="320" w:firstLine="1304"/>
        <w:spacing w:after="0" w:line="259" w:lineRule="auto"/>
        <w:tabs>
          <w:tab w:leader="none" w:pos="9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264" w:hanging="264"/>
        <w:spacing w:after="0"/>
        <w:tabs>
          <w:tab w:leader="none" w:pos="264"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6" w:firstLine="1304"/>
        <w:spacing w:after="0" w:line="287" w:lineRule="auto"/>
        <w:tabs>
          <w:tab w:leader="none" w:pos="93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stockholders.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ind w:left="-656" w:right="20" w:firstLine="1304"/>
        <w:spacing w:after="0" w:line="285" w:lineRule="auto"/>
        <w:tabs>
          <w:tab w:leader="none" w:pos="9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656" w:right="60" w:firstLine="1304"/>
        <w:spacing w:after="0" w:line="263" w:lineRule="auto"/>
        <w:tabs>
          <w:tab w:leader="none" w:pos="93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43" w:name="page344"/>
    <w:bookmarkEnd w:id="343"/>
    <w:p>
      <w:pPr>
        <w:ind w:left="264" w:hanging="264"/>
        <w:spacing w:after="0"/>
        <w:tabs>
          <w:tab w:leader="none" w:pos="264"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6" w:right="20" w:firstLine="1304"/>
        <w:spacing w:after="0" w:line="271" w:lineRule="auto"/>
        <w:tabs>
          <w:tab w:leader="none" w:pos="93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656" w:right="60" w:firstLine="1304"/>
        <w:spacing w:after="0" w:line="271" w:lineRule="auto"/>
        <w:tabs>
          <w:tab w:leader="none" w:pos="9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ind w:left="-656" w:right="140" w:firstLine="1304"/>
        <w:spacing w:after="0" w:line="257" w:lineRule="auto"/>
        <w:tabs>
          <w:tab w:leader="none" w:pos="93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656" w:firstLine="1304"/>
        <w:spacing w:after="0" w:line="290" w:lineRule="auto"/>
        <w:tabs>
          <w:tab w:leader="none" w:pos="9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656" w:right="100" w:firstLine="1304"/>
        <w:spacing w:after="0" w:line="342" w:lineRule="auto"/>
        <w:tabs>
          <w:tab w:leader="none" w:pos="93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224790</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4" w:name="page345"/>
    <w:bookmarkEnd w:id="344"/>
    <w:p>
      <w:pPr>
        <w:ind w:left="264" w:hanging="264"/>
        <w:spacing w:after="0"/>
        <w:tabs>
          <w:tab w:leader="none" w:pos="264"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6" w:right="20" w:firstLine="1304"/>
        <w:spacing w:after="0" w:line="252" w:lineRule="auto"/>
        <w:tabs>
          <w:tab w:leader="none" w:pos="93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98" w:lineRule="exact"/>
        <w:rPr>
          <w:rFonts w:ascii="Arial" w:cs="Arial" w:eastAsia="Arial" w:hAnsi="Arial"/>
          <w:sz w:val="18"/>
          <w:szCs w:val="18"/>
          <w:color w:val="auto"/>
        </w:rPr>
      </w:pPr>
    </w:p>
    <w:p>
      <w:pPr>
        <w:ind w:left="-656" w:right="140" w:firstLine="1304"/>
        <w:spacing w:after="0" w:line="263" w:lineRule="auto"/>
        <w:tabs>
          <w:tab w:leader="none" w:pos="9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left="-656" w:firstLine="1304"/>
        <w:spacing w:after="0" w:line="254" w:lineRule="auto"/>
        <w:tabs>
          <w:tab w:leader="none" w:pos="93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 any judicial proceeding or arbitration commenced pursuant to this Section 14,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94" w:lineRule="exact"/>
        <w:rPr>
          <w:rFonts w:ascii="Arial" w:cs="Arial" w:eastAsia="Arial" w:hAnsi="Arial"/>
          <w:sz w:val="18"/>
          <w:szCs w:val="18"/>
          <w:color w:val="auto"/>
        </w:rPr>
      </w:pPr>
    </w:p>
    <w:p>
      <w:pPr>
        <w:ind w:left="-656" w:right="220" w:firstLine="1304"/>
        <w:spacing w:after="0" w:line="279" w:lineRule="auto"/>
        <w:tabs>
          <w:tab w:leader="none" w:pos="94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left="-656" w:right="20" w:firstLine="1304"/>
        <w:spacing w:after="0" w:line="263" w:lineRule="auto"/>
        <w:tabs>
          <w:tab w:leader="none" w:pos="93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left="-656" w:right="40" w:firstLine="1304"/>
        <w:spacing w:after="0" w:line="271" w:lineRule="auto"/>
        <w:tabs>
          <w:tab w:leader="none" w:pos="91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ind w:left="-656" w:right="60" w:firstLine="1304"/>
        <w:spacing w:after="0" w:line="259" w:lineRule="auto"/>
        <w:tabs>
          <w:tab w:leader="none" w:pos="9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5" w:name="page346"/>
    <w:bookmarkEnd w:id="345"/>
    <w:p>
      <w:pPr>
        <w:ind w:left="-656" w:right="60" w:firstLine="656"/>
        <w:spacing w:after="0" w:line="261" w:lineRule="auto"/>
        <w:tabs>
          <w:tab w:leader="none" w:pos="262"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 Section 27, to the extent requested by Indemnitee and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color w:val="auto"/>
        </w:rPr>
      </w:pPr>
    </w:p>
    <w:p>
      <w:pPr>
        <w:ind w:left="324" w:hanging="324"/>
        <w:spacing w:after="0"/>
        <w:tabs>
          <w:tab w:leader="none" w:pos="324"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6" w:firstLine="1304"/>
        <w:spacing w:after="0" w:line="269" w:lineRule="auto"/>
        <w:tabs>
          <w:tab w:leader="none" w:pos="93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1" w:lineRule="exact"/>
        <w:rPr>
          <w:rFonts w:ascii="Arial" w:cs="Arial" w:eastAsia="Arial" w:hAnsi="Arial"/>
          <w:sz w:val="17"/>
          <w:szCs w:val="17"/>
          <w:color w:val="auto"/>
        </w:rPr>
      </w:pPr>
    </w:p>
    <w:p>
      <w:pPr>
        <w:ind w:left="-656" w:right="40" w:firstLine="1304"/>
        <w:spacing w:after="0" w:line="290" w:lineRule="auto"/>
        <w:tabs>
          <w:tab w:leader="none" w:pos="94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ind w:left="-656" w:right="20" w:firstLine="1304"/>
        <w:spacing w:after="0" w:line="290" w:lineRule="auto"/>
        <w:tabs>
          <w:tab w:leader="none" w:pos="93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656" w:right="340" w:firstLine="1304"/>
        <w:spacing w:after="0" w:line="286" w:lineRule="auto"/>
        <w:tabs>
          <w:tab w:leader="none" w:pos="94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6" w:name="page347"/>
    <w:bookmarkEnd w:id="346"/>
    <w:p>
      <w:pPr>
        <w:ind w:right="40" w:firstLine="1304"/>
        <w:spacing w:after="0" w:line="253" w:lineRule="auto"/>
        <w:tabs>
          <w:tab w:leader="none" w:pos="158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92" w:lineRule="exact"/>
        <w:rPr>
          <w:rFonts w:ascii="Arial" w:cs="Arial" w:eastAsia="Arial" w:hAnsi="Arial"/>
          <w:sz w:val="18"/>
          <w:szCs w:val="18"/>
          <w:color w:val="auto"/>
        </w:rPr>
      </w:pPr>
    </w:p>
    <w:p>
      <w:pPr>
        <w:ind w:firstLine="656"/>
        <w:spacing w:after="0" w:line="255" w:lineRule="auto"/>
        <w:tabs>
          <w:tab w:leader="none" w:pos="918"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color w:val="auto"/>
        </w:rPr>
      </w:pPr>
    </w:p>
    <w:p>
      <w:pPr>
        <w:ind w:left="920" w:hanging="264"/>
        <w:spacing w:after="0"/>
        <w:tabs>
          <w:tab w:leader="none" w:pos="920" w:val="left"/>
        </w:tabs>
        <w:numPr>
          <w:ilvl w:val="0"/>
          <w:numId w:val="233"/>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color w:val="auto"/>
        </w:rPr>
      </w:pPr>
    </w:p>
    <w:p>
      <w:pPr>
        <w:ind w:right="40"/>
        <w:spacing w:after="0" w:line="269" w:lineRule="auto"/>
        <w:rPr>
          <w:rFonts w:ascii="Arial" w:cs="Arial" w:eastAsia="Arial" w:hAnsi="Arial"/>
          <w:sz w:val="17"/>
          <w:szCs w:val="17"/>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color w:val="auto"/>
        </w:rPr>
      </w:pPr>
    </w:p>
    <w:p>
      <w:pPr>
        <w:ind w:left="920" w:hanging="264"/>
        <w:spacing w:after="0"/>
        <w:tabs>
          <w:tab w:leader="none" w:pos="92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40" w:firstLine="1304"/>
        <w:spacing w:after="0" w:line="263" w:lineRule="auto"/>
        <w:tabs>
          <w:tab w:leader="none" w:pos="158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ind w:right="280" w:firstLine="1304"/>
        <w:spacing w:after="0" w:line="286" w:lineRule="auto"/>
        <w:tabs>
          <w:tab w:leader="none" w:pos="1596" w:val="left"/>
        </w:tabs>
        <w:numPr>
          <w:ilvl w:val="1"/>
          <w:numId w:val="233"/>
        </w:numPr>
        <w:rPr>
          <w:rFonts w:ascii="Arial" w:cs="Arial" w:eastAsia="Arial" w:hAnsi="Arial"/>
          <w:sz w:val="17"/>
          <w:szCs w:val="17"/>
          <w:color w:val="auto"/>
        </w:rPr>
      </w:pPr>
      <w:r>
        <w:rPr>
          <w:rFonts w:ascii="Arial" w:cs="Arial" w:eastAsia="Arial" w:hAnsi="Arial"/>
          <w:sz w:val="17"/>
          <w:szCs w:val="17"/>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5" w:lineRule="exact"/>
        <w:rPr>
          <w:rFonts w:ascii="Arial" w:cs="Arial" w:eastAsia="Arial" w:hAnsi="Arial"/>
          <w:sz w:val="17"/>
          <w:szCs w:val="17"/>
          <w:color w:val="auto"/>
        </w:rPr>
      </w:pPr>
    </w:p>
    <w:p>
      <w:pPr>
        <w:ind w:right="180" w:firstLine="1304"/>
        <w:spacing w:after="0" w:line="273" w:lineRule="auto"/>
        <w:tabs>
          <w:tab w:leader="none" w:pos="1586"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47" w:name="page348"/>
    <w:bookmarkEnd w:id="347"/>
    <w:p>
      <w:pPr>
        <w:ind w:right="220" w:firstLine="1304"/>
        <w:spacing w:after="0" w:line="259" w:lineRule="auto"/>
        <w:tabs>
          <w:tab w:leader="none" w:pos="15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ind w:right="80" w:firstLine="1304"/>
        <w:spacing w:after="0" w:line="289" w:lineRule="auto"/>
        <w:tabs>
          <w:tab w:leader="none" w:pos="1586"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rFonts w:ascii="Arial" w:cs="Arial" w:eastAsia="Arial" w:hAnsi="Arial"/>
          <w:sz w:val="16"/>
          <w:szCs w:val="16"/>
          <w:color w:val="auto"/>
        </w:rPr>
      </w:pPr>
    </w:p>
    <w:p>
      <w:pPr>
        <w:ind w:right="280" w:firstLine="656"/>
        <w:spacing w:after="0" w:line="266" w:lineRule="auto"/>
        <w:tabs>
          <w:tab w:leader="none" w:pos="1008"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color w:val="auto"/>
        </w:rPr>
      </w:pPr>
    </w:p>
    <w:p>
      <w:pPr>
        <w:ind w:right="120" w:firstLine="656"/>
        <w:spacing w:after="0" w:line="289" w:lineRule="auto"/>
        <w:tabs>
          <w:tab w:leader="none" w:pos="918" w:val="left"/>
        </w:tabs>
        <w:numPr>
          <w:ilvl w:val="0"/>
          <w:numId w:val="235"/>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1" w:lineRule="exact"/>
        <w:rPr>
          <w:rFonts w:ascii="Arial" w:cs="Arial" w:eastAsia="Arial" w:hAnsi="Arial"/>
          <w:sz w:val="17"/>
          <w:szCs w:val="17"/>
          <w:color w:val="auto"/>
        </w:rPr>
      </w:pPr>
    </w:p>
    <w:p>
      <w:pPr>
        <w:ind w:right="140" w:firstLine="1304"/>
        <w:spacing w:after="0" w:line="277" w:lineRule="auto"/>
        <w:tabs>
          <w:tab w:leader="none" w:pos="158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Shahal Khan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Alex Weniger-Araujo,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407-4000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aweniger@loeb.com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7" w:lineRule="exact"/>
        <w:rPr>
          <w:sz w:val="20"/>
          <w:szCs w:val="20"/>
          <w:color w:val="auto"/>
        </w:rPr>
      </w:pPr>
    </w:p>
    <w:p>
      <w:pPr>
        <w:ind w:firstLine="656"/>
        <w:spacing w:after="0" w:line="289" w:lineRule="auto"/>
        <w:tabs>
          <w:tab w:leader="none" w:pos="918"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by, and construed and enforced in accordance with, the law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8" w:name="page349"/>
    <w:bookmarkEnd w:id="348"/>
    <w:p>
      <w:pPr>
        <w:jc w:val="both"/>
        <w:ind w:right="380" w:firstLine="656"/>
        <w:spacing w:after="0" w:line="266" w:lineRule="auto"/>
        <w:tabs>
          <w:tab w:leader="none" w:pos="91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color w:val="auto"/>
        </w:rPr>
      </w:pPr>
    </w:p>
    <w:p>
      <w:pPr>
        <w:ind w:right="40" w:firstLine="656"/>
        <w:spacing w:after="0" w:line="266" w:lineRule="auto"/>
        <w:tabs>
          <w:tab w:leader="none" w:pos="91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color w:val="auto"/>
        </w:rPr>
      </w:pPr>
    </w:p>
    <w:p>
      <w:pPr>
        <w:ind w:right="180" w:firstLine="656"/>
        <w:spacing w:after="0" w:line="258" w:lineRule="auto"/>
        <w:tabs>
          <w:tab w:leader="none" w:pos="91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color w:val="auto"/>
        </w:rPr>
      </w:pPr>
    </w:p>
    <w:p>
      <w:pPr>
        <w:ind w:right="40" w:firstLine="656"/>
        <w:spacing w:after="0" w:line="266" w:lineRule="auto"/>
        <w:tabs>
          <w:tab w:leader="none" w:pos="91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75" w:lineRule="exact"/>
        <w:rPr>
          <w:rFonts w:ascii="Arial" w:cs="Arial" w:eastAsia="Arial" w:hAnsi="Arial"/>
          <w:sz w:val="18"/>
          <w:szCs w:val="18"/>
          <w:color w:val="auto"/>
        </w:rPr>
      </w:pPr>
    </w:p>
    <w:p>
      <w:pPr>
        <w:ind w:right="80" w:firstLine="656"/>
        <w:spacing w:after="0" w:line="261" w:lineRule="auto"/>
        <w:tabs>
          <w:tab w:leader="none" w:pos="91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Indemnitee hereby agrees that it does not have any right, title, interest or claim of any</w:t>
      </w:r>
      <w:r>
        <w:rPr>
          <w:rFonts w:ascii="Arial" w:cs="Arial" w:eastAsia="Arial" w:hAnsi="Arial"/>
          <w:sz w:val="18"/>
          <w:szCs w:val="18"/>
          <w:b w:val="1"/>
          <w:bCs w:val="1"/>
          <w:color w:val="auto"/>
        </w:rPr>
        <w:t xml:space="preserve"> </w:t>
      </w:r>
      <w:r>
        <w:rPr>
          <w:rFonts w:ascii="Arial" w:cs="Arial" w:eastAsia="Arial" w:hAnsi="Arial"/>
          <w:sz w:val="18"/>
          <w:szCs w:val="18"/>
          <w:color w:val="auto"/>
        </w:rPr>
        <w:t>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79" w:lineRule="exact"/>
        <w:rPr>
          <w:rFonts w:ascii="Arial" w:cs="Arial" w:eastAsia="Arial" w:hAnsi="Arial"/>
          <w:sz w:val="18"/>
          <w:szCs w:val="18"/>
          <w:color w:val="auto"/>
        </w:rPr>
      </w:pPr>
    </w:p>
    <w:p>
      <w:pPr>
        <w:ind w:firstLine="656"/>
        <w:spacing w:after="0" w:line="273" w:lineRule="auto"/>
        <w:tabs>
          <w:tab w:leader="none" w:pos="918" w:val="left"/>
        </w:tabs>
        <w:numPr>
          <w:ilvl w:val="0"/>
          <w:numId w:val="237"/>
        </w:numPr>
        <w:rPr>
          <w:rFonts w:ascii="Arial" w:cs="Arial" w:eastAsia="Arial" w:hAnsi="Arial"/>
          <w:sz w:val="17"/>
          <w:szCs w:val="17"/>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9" w:name="page350"/>
    <w:bookmarkEnd w:id="349"/>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980" w:top="904" w:right="759" w:bottom="1440" w:gutter="0" w:footer="0" w:header="0"/>
        </w:sectPr>
      </w:pPr>
    </w:p>
    <w:bookmarkStart w:id="350" w:name="page351"/>
    <w:bookmarkEnd w:id="350"/>
    <w:p>
      <w:pPr>
        <w:ind w:left="10120"/>
        <w:spacing w:after="0"/>
        <w:rPr>
          <w:sz w:val="20"/>
          <w:szCs w:val="20"/>
          <w:color w:val="auto"/>
        </w:rPr>
      </w:pPr>
      <w:r>
        <w:rPr>
          <w:rFonts w:ascii="Arial" w:cs="Arial" w:eastAsia="Arial" w:hAnsi="Arial"/>
          <w:sz w:val="19"/>
          <w:szCs w:val="19"/>
          <w:b w:val="1"/>
          <w:bCs w:val="1"/>
          <w:color w:val="auto"/>
        </w:rPr>
        <w:t>Exhibit 10.8</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LP,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Administrative Service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letter agreement by and between BurTech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BurTech LP, LLC, a Delaware corporation ( the “</w:t>
      </w:r>
      <w:r>
        <w:rPr>
          <w:rFonts w:ascii="Arial" w:cs="Arial" w:eastAsia="Arial" w:hAnsi="Arial"/>
          <w:sz w:val="18"/>
          <w:szCs w:val="18"/>
          <w:b w:val="1"/>
          <w:bCs w:val="1"/>
          <w:color w:val="auto"/>
        </w:rPr>
        <w:t>Sponsor.</w:t>
      </w:r>
      <w:r>
        <w:rPr>
          <w:rFonts w:ascii="Arial" w:cs="Arial" w:eastAsia="Arial" w:hAnsi="Arial"/>
          <w:sz w:val="18"/>
          <w:szCs w:val="18"/>
          <w:color w:val="auto"/>
        </w:rPr>
        <w:t>”) will confirm our agreement that, commencing on the date the securities of the Company are first listed on the Nasdaq Capital Market (the “</w:t>
      </w:r>
      <w:r>
        <w:rPr>
          <w:rFonts w:ascii="Arial" w:cs="Arial" w:eastAsia="Arial" w:hAnsi="Arial"/>
          <w:sz w:val="18"/>
          <w:szCs w:val="18"/>
          <w:b w:val="1"/>
          <w:bCs w:val="1"/>
          <w:color w:val="auto"/>
        </w:rPr>
        <w:t>Listing Date</w:t>
      </w:r>
      <w:r>
        <w:rPr>
          <w:rFonts w:ascii="Arial" w:cs="Arial" w:eastAsia="Arial" w:hAnsi="Arial"/>
          <w:sz w:val="18"/>
          <w:szCs w:val="18"/>
          <w:color w:val="auto"/>
        </w:rPr>
        <w:t>”), pursuant to a Registration Statement on Form S-1 (Registration No. 333-258914) and related prospectus filed with the U.S. Securities and Exchange Commission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continuing until the earlier of the consummation by the Company of an initial business combination (as defined in the Registration Statement) or the Company’s liquidation (in each case as described in the Registration Statement) (such earlier date hereinafter referred to as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191" w:lineRule="exact"/>
        <w:rPr>
          <w:sz w:val="20"/>
          <w:szCs w:val="20"/>
          <w:color w:val="auto"/>
        </w:rPr>
      </w:pPr>
    </w:p>
    <w:p>
      <w:pPr>
        <w:jc w:val="both"/>
        <w:ind w:firstLine="656"/>
        <w:spacing w:after="0" w:line="259" w:lineRule="auto"/>
        <w:tabs>
          <w:tab w:leader="none" w:pos="8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Sponsor shall make available, or cause to be made available, to the Company, at 1300 Pennsylvania Ave NW, Suite 700, Washington, DC 20004 (or any successor location of the Sponsor), certain office space, utilities and secretarial and administrative support as may be reasonably required by the Company. In exchange therefor, the Company shall pay the Sponsor. the sum of $10,000 per month on the Listing Date and continuing monthly thereafter until the Termination Date; and</w:t>
      </w:r>
    </w:p>
    <w:p>
      <w:pPr>
        <w:spacing w:after="0" w:line="186" w:lineRule="exact"/>
        <w:rPr>
          <w:rFonts w:ascii="Arial" w:cs="Arial" w:eastAsia="Arial" w:hAnsi="Arial"/>
          <w:sz w:val="18"/>
          <w:szCs w:val="18"/>
          <w:color w:val="auto"/>
        </w:rPr>
      </w:pPr>
    </w:p>
    <w:p>
      <w:pPr>
        <w:jc w:val="both"/>
        <w:ind w:firstLine="656"/>
        <w:spacing w:after="0" w:line="293" w:lineRule="auto"/>
        <w:tabs>
          <w:tab w:leader="none" w:pos="91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Sponsor hereby irrevocably waives any and all right, title, interest, causes of action and claims of any kind as a result of, or arising out of, this letter agreement in or to, and any and all right to seek payment of any amounts due to it (each, a “</w:t>
      </w:r>
      <w:r>
        <w:rPr>
          <w:rFonts w:ascii="Arial" w:cs="Arial" w:eastAsia="Arial" w:hAnsi="Arial"/>
          <w:sz w:val="16"/>
          <w:szCs w:val="16"/>
          <w:b w:val="1"/>
          <w:bCs w:val="1"/>
          <w:color w:val="auto"/>
        </w:rPr>
        <w:t>Claim</w:t>
      </w:r>
      <w:r>
        <w:rPr>
          <w:rFonts w:ascii="Arial" w:cs="Arial" w:eastAsia="Arial" w:hAnsi="Arial"/>
          <w:sz w:val="16"/>
          <w:szCs w:val="16"/>
          <w:color w:val="auto"/>
        </w:rPr>
        <w:t>”) out of, the trust account established for the benefit of the public stockholders of the Company and into which substantially all of the proceeds of the Company’s initial public offering will be deposited (the “</w:t>
      </w:r>
      <w:r>
        <w:rPr>
          <w:rFonts w:ascii="Arial" w:cs="Arial" w:eastAsia="Arial" w:hAnsi="Arial"/>
          <w:sz w:val="16"/>
          <w:szCs w:val="16"/>
          <w:b w:val="1"/>
          <w:bCs w:val="1"/>
          <w:color w:val="auto"/>
        </w:rPr>
        <w:t>Trust Account</w:t>
      </w:r>
      <w:r>
        <w:rPr>
          <w:rFonts w:ascii="Arial" w:cs="Arial" w:eastAsia="Arial" w:hAnsi="Arial"/>
          <w:sz w:val="16"/>
          <w:szCs w:val="16"/>
          <w:color w:val="auto"/>
        </w:rPr>
        <w:t>”), and hereby irrevocably waives any Claim it may have in the future,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1" w:name="page352"/>
    <w:bookmarkEnd w:id="351"/>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letter agreement may not be amended, modified or waived as to any particular provision, except by a written instrument executed by the parties 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party hereto may assign either this letter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letter agreement constitutes the entire relationship of the parties hereto, and any litigation between the parties (whether grounded in contract, tort, statute, law or equity) shall be governed by, construed in accordance with, and interpreted pursuant to the law of the State of New York.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2" w:name="page353"/>
    <w:bookmarkEnd w:id="352"/>
    <w:p>
      <w:pPr>
        <w:ind w:left="50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BURTECH LP,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right"/>
        <w:ind w:right="1199"/>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Administrative Services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53" w:name="page354"/>
    <w:bookmarkEnd w:id="353"/>
    <w:p>
      <w:pPr>
        <w:ind w:left="10280"/>
        <w:spacing w:after="0"/>
        <w:rPr>
          <w:sz w:val="20"/>
          <w:szCs w:val="20"/>
          <w:color w:val="auto"/>
        </w:rPr>
      </w:pPr>
      <w:r>
        <w:rPr>
          <w:rFonts w:ascii="Arial" w:cs="Arial" w:eastAsia="Arial" w:hAnsi="Arial"/>
          <w:sz w:val="19"/>
          <w:szCs w:val="19"/>
          <w:b w:val="1"/>
          <w:bCs w:val="1"/>
          <w:color w:val="auto"/>
        </w:rPr>
        <w:t>Exhibit 14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BurTech Acquisition Corp. (the “Company”, “we”, or “our”) requires the highest standards of professional and ethical conduct from its employees, officers and directors. Our reputation for honesty and integrity is key to the success of its business. The Company intends that its business practices will comply with the laws of all of the jurisdictions in which it operates and that honesty, integrity and accountability will always characterize the Company’s business activity. No employee, officer or director may achieve results through violations of laws or regulations or unscrupulous dealings.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Code reflects the Company’s commitment to this culture of honesty, integrity and accountability and outlines the basic principles and policies with which all employees, officers and directors are expected to comply. Therefore, we expect you to read this Code thoroughly and carefully.</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following this Code in all aspects of your business activities, you are expected to seek guidance in any situation where there is a question regarding compliance issues, whether with the letter or the spirit of the Company’s policies and applicable laws. Cooperation with this Code is essential to the continued success of the Company’s business and the cultivation and maintenance of its reputation as a good corporate citizen. Misconduct is never justified, even where sanctioned or ordered by an officer or other individual in a position of higher management. No individual, regardless of stature or position, can authorize actions that are illegal, or that jeopardize or violate Company standards. We note that this Code sets forth general principles of conduct and ethics and is intended to work in conjunction with the specific policies and procedures that are covered in the Company’s compliance manual or in separate specific policy statements, such as the Securities Trading Policy and the Related Persons Transaction Policy, and you should refer to those policies and procedures for more detail in the specified context.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Nothing in this Code prohibits you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You do not need the prior authorization of the Company to make any such reports or disclosures and you are not required to notify the Company that you have made such reports or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Conflicts of Interest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conflict of interest occurs when your private interest interferes, appears to interfere or is inconsistent in any way with the interests of the Company. For example, conflicts of interest may arise if:</w:t>
      </w:r>
    </w:p>
    <w:p>
      <w:pPr>
        <w:spacing w:after="0" w:line="170" w:lineRule="exact"/>
        <w:rPr>
          <w:sz w:val="20"/>
          <w:szCs w:val="20"/>
          <w:color w:val="auto"/>
        </w:rPr>
      </w:pPr>
    </w:p>
    <w:p>
      <w:pPr>
        <w:ind w:left="340" w:right="20" w:hanging="332"/>
        <w:spacing w:after="0" w:line="277"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You cause the Company to engage in business transactions with a company that you, your friends or your relatives control without having obtained the appropriate prior approvals required.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You are in a position to (i) compete with, rather than help, the Company or (ii) make a business decision not on the basis of the Company’s interest but rather for your own personal advantage.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You take actions, or have personal or family interests, which may make it difficult to perform your work (or discharge your duties and obligations) effectively.</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You, or any of your family members or affiliates, receive improper personal benefits other than gratuities and payments received or provided in compliance with the guidelines set forth in “Gifts and Entertainment” below, as a result of your position in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4" w:name="page355"/>
    <w:bookmarkEnd w:id="354"/>
    <w:p>
      <w:pPr>
        <w:jc w:val="both"/>
        <w:spacing w:after="0" w:line="286" w:lineRule="auto"/>
        <w:rPr>
          <w:sz w:val="20"/>
          <w:szCs w:val="20"/>
          <w:color w:val="auto"/>
        </w:rPr>
      </w:pPr>
      <w:r>
        <w:rPr>
          <w:rFonts w:ascii="Arial" w:cs="Arial" w:eastAsia="Arial" w:hAnsi="Arial"/>
          <w:sz w:val="17"/>
          <w:szCs w:val="17"/>
          <w:color w:val="auto"/>
        </w:rPr>
        <w:t>A conflict of interest may not be immediately recognizable, so potential conflicts must be reported immediately to the Secretary of the Company (the “</w:t>
      </w:r>
      <w:r>
        <w:rPr>
          <w:rFonts w:ascii="Arial" w:cs="Arial" w:eastAsia="Arial" w:hAnsi="Arial"/>
          <w:sz w:val="17"/>
          <w:szCs w:val="17"/>
          <w:b w:val="1"/>
          <w:bCs w:val="1"/>
          <w:color w:val="auto"/>
        </w:rPr>
        <w:t>Secretary</w:t>
      </w:r>
      <w:r>
        <w:rPr>
          <w:rFonts w:ascii="Arial" w:cs="Arial" w:eastAsia="Arial" w:hAnsi="Arial"/>
          <w:sz w:val="17"/>
          <w:szCs w:val="17"/>
          <w:color w:val="auto"/>
        </w:rPr>
        <w:t>”). Further, if you become aware of a conflict or potential conflict involving another employee, officer or director, you should bring it to the attention of the Secretary or a member of the Audit Committee of the Board of Directors at the principal executive offices of the Company.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concern requires confidentiality, including keeping particular individuals anonymous, then this confidentially will be protected, except to the extent necessary to conduct an effective investigation or as required by under applicable law, regulation or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a policy that requires the review and approval of any transaction, arrangement or relationship where the Company was, is or will be a participant and the amount involved exceeds $120,000, and in which any “Related Person” (generally defined as any director (or director nominee) or executive officer of the Company, beneficial owner of more than 5% of the Company stock, any immediate family member of the foregoing and any entity in which any of the foregoing persons is employed or is a partner or principal or in which that person has a 10% or greater beneficial ownership interest) had, has or will have a direct or indirect material interest.</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Before entering any such transaction, arrangement or relationship, the Secretary must be notified of the facts and circumstances of the proposed transaction, arrangement or relationship. If the Secretary determines that a transaction, arrangement or relationship is indeed a related party transaction, then such transaction will be sent to the Audit Committee (or the Chair of such committee) for their review and approval. Only those transactions that are in the best interests of the Company shall be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Corporate Opportunities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carrying out your duties or responsibilities, you owe a duty to the Company to advance its legitimate interests. The Company’s certificate of incorporation and corporate governance guidelines contain important policies with respect to corporate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Public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Full, fair, accurate and timely disclosure must be made in the reports and other documents that the Company files with, or submits to, the SEC and in its other public communications. Such disclosure is critical to ensure that the Company maintains its good reputation, complies with its obligations under the securities laws and meets the expectations of its stockholders.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Persons responsible for the preparation of such documents and reports and other public communications must exercise the highest standard of care in accordance with the following guidelines:</w:t>
      </w:r>
    </w:p>
    <w:p>
      <w:pPr>
        <w:spacing w:after="0" w:line="170" w:lineRule="exact"/>
        <w:rPr>
          <w:sz w:val="20"/>
          <w:szCs w:val="20"/>
          <w:color w:val="auto"/>
        </w:rPr>
      </w:pPr>
    </w:p>
    <w:p>
      <w:pPr>
        <w:ind w:left="240" w:hanging="232"/>
        <w:spacing w:after="0"/>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accounting records, and the reports produced from such records, must comply with all applicable laws;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accounting records must fairly and accurately reflect the transactions or occurrences to which they relate;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accounting records must fairly and accurately reflect in reasonable detail the Company’s assets, liabilities, revenues and expenses;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accounting records must not contain any false or intentionally misleading entries;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transactions should be intentionally misclassified as to accounts, departments or accounting periods;</w:t>
      </w:r>
    </w:p>
    <w:p>
      <w:pPr>
        <w:spacing w:after="0" w:line="225" w:lineRule="exact"/>
        <w:rPr>
          <w:rFonts w:ascii="Arial" w:cs="Arial" w:eastAsia="Arial" w:hAnsi="Arial"/>
          <w:sz w:val="18"/>
          <w:szCs w:val="18"/>
          <w:color w:val="auto"/>
        </w:rPr>
      </w:pPr>
    </w:p>
    <w:p>
      <w:pPr>
        <w:ind w:left="240" w:hanging="232"/>
        <w:spacing w:after="0" w:line="277" w:lineRule="auto"/>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transactions must be supported by accurate documentation in reasonable detail and recorded in the proper account and in the proper accounting period;</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information should be concealed from the internal auditors or the independent auditors;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compliance with the Company’s internal control over financial reporting and disclosure controls and procedures is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color w:val="auto"/>
        </w:rPr>
        <w:t>VI. Confidentiality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Employees, officers and directors must maintain and protect the confidentiality of information entrusted to them by the Company, or that otherwise comes into their possession, during the course of their employment or while carrying out their duties and responsibilities, except when disclosure is authorized by the Company or legally mandated.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obligation to preserve confidential information continues even after employees, officers and directors leave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Confidential information encompasses all non-public information (including, for example, “inside information” or information that third-parties have entrusted to the Company) that may be of use to competitors, or may otherwise be harmful to the Company or its key stakeholders, if disclosed. Financial information is of special sensitivity and should under all circumstances be considered confidential, except where its disclosure is approved by the Company or when the information has been publicly disseminated.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Protection and Proper Use of Company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employees, officers and directors should promote and ensure the efficient and responsible use of the Company’s assets and resources by the Company. Theft, carelessness and waste have a direct impact on the Company’s profitability. Any suspected incidents of fraud or theft should be immediately reported for investigation.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assets, such as proprietary information, funds, materials, supplies, products, equipment, software, facilities, and other assets owned or leased by the Company or that are otherwise in the Company’s possession, may only be used for legitimate business purposes and must never be used for illegal purposes.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Proprietary information includes any information that is not generally known to the public or would be valued by, or helpful to, our competitors. Examples of proprietary information are intellectual property, business and strategic plans and employee information. The obligation to use proprietary information only for legitimate business purposes continues even after individuals leave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Insider Trading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Insider trading is unethical and illegal. Employees, officers and directors must not trade in securities of a company while in possession of material non-public information regarding that company. It is also illegal to “tip” or pass on inside information to any other person who might make an investment decision based on that information or pass the information to third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Fair Dealing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employee, officer and director, in carrying out his or her duties and responsibilities, should endeavor to deal fairly with each other and the Company’s customers, suppliers and competitors. No employee, officer or director should take unfair advantage of anyone through illegal conduct, manipulation, concealment, abuse of privileged information, misrepresentation of material facts or any other unfair-dealing practice.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Compliance with Laws, Rules and Regulations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Compliance with both the letter and spirit of all laws, rules and regulations applicable to the Company, including any securities exchange or other organization or body that regulates the Company, is critical to our reputation and continued success. All employees, officers and directors must respect and obey the laws of the cities, states and countries in which the Company operates and avoid even the appearance of impropriety.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Employees, officers or directors who fail to comply with this Code and applicable laws will be subject to disciplinary measures, up to and including discharge from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color w:val="auto"/>
        </w:rPr>
        <w:t>XI. Compliance with Antitrust Laws.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believes in fair and open competition, and adheres strictly to applicable antitrust laws. It should be noted however that the following section is not an exhaustive summary of relevant antitrust laws. Additional antitrust considerations not covered in this section include participation in trade association, monopolization, price discrimination and other practices that affect competition.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general proposition, any contact with a competitor may be problematic under antitrust laws. Accordingly, all employees, officers and directors should avoid any such contact relating to the business of the Company or the competitor without first obtaining the approval of the Secretary. Any additional concerns relating to the aforementioned areas of potential antitrust breach should also be directed to the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notes below some general rules concerning contact with competitors: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Agreements among competitors, whether written or oral, that relate to prices are illegal per se. In other words, such agreements, by themselves, constitute violations of the antitrust laws. There are no circumstances under which agreements among competitors relating to prices may be found legal. Price fixing is a criminal offense, and may subject the Company to substantial fines and penalties and the offending employee to imprisonment and fines.</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Antitrust laws may be violated even in the absence of a formal agreement relating to prices. Under certain circumstances, an agreement to fix prices may be inferred from conduct, such as the exchange of price information, and from communications among competitors even without an express understanding. Although exchanges of price information are permitted in certain circumstances, employees of the Company should not participate in such exchanges without first obtaining the approval of the Secretary.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It is a per se violation of antitrust laws for competitors to agree, expressly or by implication, to divide markets by territory or customers.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It is a per se violation of the antitrust laws for competitors to agree not to do business with a particular customer or supplier. As with agreements to fix prices, the antitrust laws can be violated even in the absence of an express understanding.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Any communication between competitors concerning problems with any customer or supplier may violate antitrust laws and should be avoided.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 Compliance with Environmental Laws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sensitive to the environmental, health and safety consequences of its operations. Accordingly, the Company strictly complies with all applicable Federal and State environmental laws and regulations, including, among others, the Clean Air Act, the Federal Water Pollution Control Act, the Resource Conservation and Recovery Act and the Occupational Safety and Health Act, and considers sustainability in its planning decisions. If any individual has any doubt as to the applicability or meaning of a particular environmental, health or safety regulation, he or she should discuss the matter with the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XIII. Discrimination and Harassment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values a diverse working environment and is committed to providing equal opportunity in all aspects of our business. Abusive, harassing or offensive conduct is unacceptable, whether verbal, physical or visual. Examples include derogatory comments based on racial or ethnic characteristics and unwelcome sexual advances. The Company encourages the reporting of harassment when it occurs.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color w:val="auto"/>
        </w:rPr>
        <w:t>XIV</w:t>
      </w:r>
      <w:r>
        <w:rPr>
          <w:rFonts w:ascii="Arial" w:cs="Arial" w:eastAsia="Arial" w:hAnsi="Arial"/>
          <w:sz w:val="18"/>
          <w:szCs w:val="18"/>
          <w:color w:val="auto"/>
        </w:rPr>
        <w:t>.</w:t>
      </w:r>
      <w:r>
        <w:rPr>
          <w:rFonts w:ascii="Arial" w:cs="Arial" w:eastAsia="Arial" w:hAnsi="Arial"/>
          <w:sz w:val="18"/>
          <w:szCs w:val="18"/>
          <w:b w:val="1"/>
          <w:bCs w:val="1"/>
          <w:color w:val="auto"/>
        </w:rPr>
        <w:t xml:space="preserve"> Safety and Health</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committed to keeping its workplaces free from hazards. You should report any accidents, injuries or unsafe equipment, practices or conditions immediately to a supervisor or other designated person. Threats or acts of violence or physical intimidation are prohibited.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You must not engage in the use of any substance that could prevent you from discharging your work duties and responsibilities safely and effectively.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XV. Company Records and Document Retention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Records created, received or used during the conduct of Company business, including all communications sent or received using the Company’s email system, are at all times the property of the Company wherever those records may be located. At any time, the Company and, in certain circumstances, third parties (including government officials), may review, without prior notice to personnel, any and all firm records, including records marked “Personal” or “Private.”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records that you create and store are subject to this Code and may be demanded by third parties during the course of litigation or a government investigation or, in the case of records sent outside the Company, subject to the records retention policies of the recipients.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therefore, avoid discriminatory remarks, harassment and threats of violence or similar inappropriate or unlawful conduct. This applies to communications of all kinds, including e-mail, instant messaging, voice mail messages, text messages, video recordings and informal notes or interoffice memos. Records should be retained and destroyed in accordance with the Company’s records retention policy.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XVI. Use of Electronic Media</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developed a policy to ensure that you understand the rules governing your use of the Company’s computer network, and options for e-mail and voicemail or other messaging services, Internet access or other use of electronic media. All Company equipment, including desks, computers and computer systems, computer software, electronic storage devices, cellphones or other mobile devices, e-mail, voicemail and other physical items are for business use only. The Company at all times retains the right to access and search all such electronic media or other items contained in or used in conjunction with the Company’s computer, e-mail, voicemail and Internet access systems and equipment with no prior notice.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 the Company’s computer network, e-mail and voicemail services, access to Internet services such as web-browsing or newsgroups is provided to employees by the Company only for business use. Any personal use must be infrequent and must not involve any prohibited activity, interfere with the productivity of the employee or his or her coworkers, consume system resources or storage capacity on an ongoing basis or involve large file transfers or otherwise deplete system resources available for business purposes.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messages and computer information are considered Company property and consequently, employees should not have an expectation of privacy in the context of computer and voice mail use. Unless prohibited by law, the Company reserves the right to access and disclose this information as necessary for business purposes. Use good judgment, and do not access, send messages or store any information that you would not want to be seen or heard by other individuals.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recognizes that many employees are choosing to express themselves by using Internet technologies, such as blogs, wikis, file-sharing, user generated audio and video, virtual worlds, and social networking sites, such as Facebook, LinkedIn and Twitter. Whether you choose to participate in such social networking outside of work on your own time is your own decision.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XVII. Business Gifts and Entertainment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Business gifts and entertainment are often customary courtesies designed to build goodwill among business partners and clients. However, issues may arise when such courtesies compromise, or appear to compromise, the recipient’s ability to make objective and fair business decisions. In addition, issues can arise when the intended recipient is a government official. Offering or receiving any gift, gratuity or entertainment that might be perceived to unfairly influence a business relationship should be avoided. These guidelines apply at all times, and do not change during traditional gift giving seasons, and apply equally to employees, officers or directors offering gifts and entertainment to the Company’s business associates.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8" w:name="page359"/>
    <w:bookmarkEnd w:id="358"/>
    <w:p>
      <w:pPr>
        <w:jc w:val="both"/>
        <w:spacing w:after="0" w:line="259" w:lineRule="auto"/>
        <w:rPr>
          <w:sz w:val="20"/>
          <w:szCs w:val="20"/>
          <w:color w:val="auto"/>
        </w:rPr>
      </w:pPr>
      <w:r>
        <w:rPr>
          <w:rFonts w:ascii="Arial" w:cs="Arial" w:eastAsia="Arial" w:hAnsi="Arial"/>
          <w:sz w:val="18"/>
          <w:szCs w:val="18"/>
          <w:color w:val="auto"/>
        </w:rPr>
        <w:t>The value of gifts should be nominal, both with respect to frequency and monetary amount. Frequent gifting to a recipient may be perceived as an attempt to create an obligation to the giver, and is therefore inappropriate. Likewise, business entertainment should be moderately scaled and intended only to facilitate legitimate business goals. For example, should tickets to a sporting or cultural event be offered, the offeror must attend the event as well. The following questions may provide guidance in the instance of doubt:</w:t>
      </w:r>
    </w:p>
    <w:p>
      <w:pPr>
        <w:spacing w:after="0" w:line="187" w:lineRule="exact"/>
        <w:rPr>
          <w:sz w:val="20"/>
          <w:szCs w:val="20"/>
          <w:color w:val="auto"/>
        </w:rPr>
      </w:pP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the action legal?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Does the action raise doubts or concerns?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Should another individual be consulted?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the action clearly business-related?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the action or gift moderate, reasonable, and in good taste?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Would public disclosure of the action or gift embarrass or harm the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there an expectation of reciprocation or favors?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Strict rules apply when the Company does business with governmental agencies and officials, whether in the U.S. or in other countries, as discussed in more detail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sensitive nature of these relationships, you must seek approval from a supervisor and/or the Secretary before offering or making any gifts or hospitality to governmental officials or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XVIII. Political Activities and Contributions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respects the right of each of its employees to participate in the political process and to engage in political activities of his or her choosing; however, while involved in their personal and civic affairs employees must make clear at all times that their views and actions are their own, and not those of the Company. Employees may not use the Company’s resources to support their choice of political parties, causes or candidates.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occasionally express its views on local and national issues that affect its operations. In such cases, Company funds and resources may be used, but only when permitted by law and by Company guidelines. The Company may also make limited contributions to political parties or candidates in jurisdictions where it is legal and customary to do so. The Company may pay related administrative and solicitation costs for political action committees formed in accordance with applicable laws and regulations. Any use of Company resources for the Company’s political activities, including contributions or donations, requires advance approval by the Company’s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XIX. Bribery and Corruption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Employees, officers and directors must comply with all laws prohibiting bribery, corruption and kickbacks, including laws prohibiting improper payments to domestic and foreign officials such as the U.S. Foreign Corrupt Practices Act (the “</w:t>
      </w:r>
      <w:r>
        <w:rPr>
          <w:rFonts w:ascii="Arial" w:cs="Arial" w:eastAsia="Arial" w:hAnsi="Arial"/>
          <w:sz w:val="18"/>
          <w:szCs w:val="18"/>
          <w:b w:val="1"/>
          <w:bCs w:val="1"/>
          <w:color w:val="auto"/>
        </w:rPr>
        <w:t>FCPA</w:t>
      </w:r>
      <w:r>
        <w:rPr>
          <w:rFonts w:ascii="Arial" w:cs="Arial" w:eastAsia="Arial" w:hAnsi="Arial"/>
          <w:sz w:val="18"/>
          <w:szCs w:val="18"/>
          <w:color w:val="auto"/>
        </w:rPr>
        <w:t>”). While this section focuses primarily on foreign officials, this Policy equally prohibits bribery of domestic officials and commercial or private sector parties.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FCPA prohibits an offer, payment, promise of payment or authorization of the payment of any money or thing of value to a foreign official, foreign political party, official of a foreign political party or candidate for political office to induce or influence any act or decision of such person or party or to secure any improper advantage. The FCPA prohibits such conduct whether done directly or indirectly through an agent or other intermediary.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9" w:name="page360"/>
    <w:bookmarkEnd w:id="359"/>
    <w:p>
      <w:pPr>
        <w:jc w:val="both"/>
        <w:spacing w:after="0" w:line="263" w:lineRule="auto"/>
        <w:rPr>
          <w:sz w:val="20"/>
          <w:szCs w:val="20"/>
          <w:color w:val="auto"/>
        </w:rPr>
      </w:pPr>
      <w:r>
        <w:rPr>
          <w:rFonts w:ascii="Arial" w:cs="Arial" w:eastAsia="Arial" w:hAnsi="Arial"/>
          <w:sz w:val="18"/>
          <w:szCs w:val="18"/>
          <w:color w:val="auto"/>
        </w:rPr>
        <w:t>Although U.S. law does allow certain payments to foreign officials intended solely to expedite non-discretionary routine government action, sometimes called “grease” or “facilitating” payments, this exception is a narrow one and such payments are often illegal under other laws. Accordingly, the Company’s policy is to avoid such payments.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Therefore, no payment may be made to a foreign official even for non-discretionary action without first consulting with and obtaining written authorization from the Secretary or a Chief Executive Officer. If a facilitating payment is authorized, such payment must be accurately and fairly recorded in the Company’s books, records and accounts.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FCPA further requires compliance by the Company with record keeping and internal controls requirements. The Company must maintain financial records which, in reasonable detail, accurately and fairly reflect transactions and disposition of corporate assets. In particular, all bank accounts that receive or disburse funds on behalf of the Company shall be properly authorized and any such transactions recorded on the official books and records of the Company. In addition, the Company must maintain a system of internal controls sufficient to provide reasonable assurances that the Company’s assets are used only in accordance with directives and authorizations by the board of directors and senior management, and that checks and balances are employed so as to prevent the by-passing or overriding of these controls.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Violation of the FCPA is an offense, subjecting the Company to substantial fines and penalties and any officer, director, employee or stockholder acting on behalf of the Company to imprisonment and fines. The FCPA prohibits the Company from paying, directly or indirectly, a fine imposed upon an individual pursuant to the FCPA. Violation of this policy may result in disciplinary actions up to and including discharge from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XX. Compliance with and Amendments of This Code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Failure to comply with this Code or applicable laws, rules or regulations may result in disciplinary measures, including discharge from your position with the Company. Violations of this Code may also constitute violations of law and may result in civil or criminal penalties for such person, such person’s supervisors and/or the Company. The Board of Directors will determine, or designate appropriate persons to determine, appropriate actions to be taken in the event of a violation of this Code in relation to Executives and Directors. In determining what action is appropriate in a particular case, the Board of Directors or its designee will consider the nature and severity of the violation, whether the violation was a single occurrence or repeated occurrences, whether the violation was intentional or inadvertent, whether the individual in question had been advised prior to the violation as to the proper course of action and whether or not the individual in question had committed other violations in the past. The Secretary will determine appropriate actions to be taken in the event of a violation of this code in relation to all other employees.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Code cannot, and is not intended to, address all of the ethical complexities that may arise during the course of employment or association with the Company. There will be occasions where circumstances not covered by policy or procedure arise, and where a judgment must be made as to the appropriate course of action. In such circumstances, the Company encourages common sense decision-making, and consultation with a manager, member of human resources, or the Secretary for guidance pursuant to the methods discussed below in “Compliance and Contact Details”.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material amendment of this Code will be made only by the Board of Directors and will be promptly disclosed as required by law or stock exchange regulation.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XXI. Compliance and Contact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Confidential Advice</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you think that an actual or possible violation has occurred, it is important to report your concerns immediately. If you do not feel comfortable discussing the matter with your supervisor, manager or human resources, please contact the Secretary at (202) 600-5757 or roman@burkhan.world.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Company strives to ensure that all questions or concerns are handled fairly, discreetly and thoroughly. You may choose to remain anonymous.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t>2. Employee Reporting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proactively promotes ethical behavior and encourages employees, officers and directors promptly to report evidence of illegal or unethical behavior, or violations of this Code to the Secretary (at (202) 600-5757 or roman@burkhan.world) or for issues involving officers and directors to the Chief Executive Officer (at 202) 600-5757 or shahal@burkhan.world or Leon Golden at [*]). You may choose to remain anonymous in reporting any possible violation of this Code.</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Once a report is made and received, the Company will investigate promptly and all employees, officers and directors are expected to cooperate candidly with relevant investigatory procedures. Appropriate remedial action may be taken, based on the outcome of such investigation.</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a no-tolerance policy for retaliation against persons who raise good faith compliance, ethics or related issues. However, it is unacceptable to file a report knowing it to be false.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Waiver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waiver of this Code for any executive officer or director will be made only by a majority of the independent directors of the Company and will be promptly disclosed as required by law or stock exchange regulation.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consent to the inclusion in this Registration Statement of BurTech Acquisition Corp. (the “Company”) on Amendment No. 2 to Form S-1 (File No. 333-258914) of our report dated August 18, 2021, except for Note 8, as to which the date is October 13, 2021, which includes an explanatory paragraph as to the Company’s ability to continue as a going concern, with respect to our audit of the financial statements of BurTech Acquisition Corp. as of May 21,</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2021 and for the period from March 2, 2021 (inception) through May 21, 2021, which report appears in the Prospectus, which is part of this Registration Statement. We also consent to the reference to our Firm under the heading “Experts” in such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2" w:name="page363"/>
    <w:bookmarkEnd w:id="362"/>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ind w:left="660" w:hanging="652"/>
        <w:spacing w:after="0"/>
        <w:tabs>
          <w:tab w:leader="none" w:pos="6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Audit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BurTech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shall provide assistance to the Board in fulfilling its legal and fiduciary obligations to oversee:</w:t>
      </w:r>
    </w:p>
    <w:p>
      <w:pPr>
        <w:spacing w:after="0" w:line="170" w:lineRule="exact"/>
        <w:rPr>
          <w:sz w:val="20"/>
          <w:szCs w:val="20"/>
          <w:color w:val="auto"/>
        </w:rPr>
      </w:pPr>
    </w:p>
    <w:p>
      <w:pPr>
        <w:ind w:left="1300" w:firstLine="4"/>
        <w:spacing w:after="0" w:line="277" w:lineRule="auto"/>
        <w:tabs>
          <w:tab w:leader="none" w:pos="155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integrity of the financial statements and other financial information provided by the Company to its stockholders, the public, any stock exchange and others;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qualifications and independence of the Company’s independent auditor;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its system of internal controls and independent auditor, and</w:t>
      </w:r>
    </w:p>
    <w:p>
      <w:pPr>
        <w:spacing w:after="0" w:line="225" w:lineRule="exact"/>
        <w:rPr>
          <w:rFonts w:ascii="Arial" w:cs="Arial" w:eastAsia="Arial" w:hAnsi="Arial"/>
          <w:sz w:val="18"/>
          <w:szCs w:val="18"/>
          <w:color w:val="auto"/>
        </w:rPr>
      </w:pPr>
    </w:p>
    <w:p>
      <w:pPr>
        <w:jc w:val="both"/>
        <w:ind w:left="1300" w:firstLine="4"/>
        <w:spacing w:after="0" w:line="311" w:lineRule="auto"/>
        <w:tabs>
          <w:tab w:leader="none" w:pos="1546"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such other matters as are assigned to the Committee by the Board pursuant to this Charter or as mandated under applicable laws, rules and regulations (including the Securities Exchange Act of 1934 and the rules and regulations promulgated thereunder,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as well as listing standards of the Nasdaq Capital Market (together, the “</w:t>
      </w:r>
      <w:r>
        <w:rPr>
          <w:rFonts w:ascii="Arial" w:cs="Arial" w:eastAsia="Arial" w:hAnsi="Arial"/>
          <w:sz w:val="16"/>
          <w:szCs w:val="16"/>
          <w:u w:val="single" w:color="auto"/>
          <w:color w:val="auto"/>
        </w:rPr>
        <w:t>Applicable Requirements</w:t>
      </w:r>
      <w:r>
        <w:rPr>
          <w:rFonts w:ascii="Arial" w:cs="Arial" w:eastAsia="Arial" w:hAnsi="Arial"/>
          <w:sz w:val="16"/>
          <w:szCs w:val="16"/>
          <w:color w:val="auto"/>
        </w:rPr>
        <w:t>”).</w:t>
      </w:r>
    </w:p>
    <w:p>
      <w:pPr>
        <w:spacing w:after="0" w:line="14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Although the Committee has the powers and responsibilities set forth in this Charter, the role of the Committee is oversight. The members of the Committee are not full-time employees of the Company and may or may not be accountants or auditors by profession or experts in the fields of accounting or auditing and, in any event, do not serve in such capacity. Consequently, it is not the duty of the Committee to conduct audits or to determine that the Company’s financial statements and disclosures are complete and accurate and are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and other Applicable Requirements. These are the responsibilities of management and the Company’s independent auditor.</w:t>
      </w:r>
    </w:p>
    <w:p>
      <w:pPr>
        <w:spacing w:after="0" w:line="157"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Committee shall consist of three or more directors, each of whom shall satisfy the independence, financial literacy, and other qualifications required by the Company’s corporate governance guidelines, Section 10A-3 of the Exchange Act and any other Applicable Requirements, subject to any phase-in periods or cure periods permitted by Rule 10A-3(b)(1)(iv)(A) under the Exchange Act and other Applicable Requirements. At least one member of the Committee shall be an “audit committee financial expert” (as defined by the SEC). Determinations of independence, financial literacy, experience and expertise shall be made by the Board as the Board interprets such qualifications in its business judgment.</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Members of the Committee shall be appointed by the Board on the recommendation of a majority of the independent directors of the Company. Members of the Committee may be removed at any time by action of the Board; provided, however, that if removing a member or members of the Committee would cause the Committee to have fewer than three members, then the Board must, based upon the recommendation of a majority of the independent directors of the Company, at the same time appoint enough additional members to the Committee so that the Committee will have at least three qualified members. The Committee’s chairperson shall be designated by the Board on the recommendation of a majority of the independent directors of the Company or, if not so designated, the members of the Committee shall elect a chairperson by a vote of the majority of the full Committee.</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form and delegate authority to subcommittees from time to time as it sees fit, provided that the subcommittees are composed entirely of directors who satisfy the applicable independence requirements of the Company’s corporate governance guidelines and the Applicable Requirements.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3" w:name="page364"/>
    <w:bookmarkEnd w:id="363"/>
    <w:p>
      <w:pPr>
        <w:ind w:left="660" w:hanging="652"/>
        <w:spacing w:after="0"/>
        <w:tabs>
          <w:tab w:leader="none" w:pos="6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Meetings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meet at least four times per year on a quarterly basis, or more frequently as required. Meetings shall be called by the chairperson of the Committee or, if there is no chairperson, by a majority of the members of the Committee. Meetings may be held telephonically or by other electronic means to the extent permitted by the Company’s organizational documents and applicable law. Committee actions may be taken by unanimous written consent.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shall also meet periodically with management, the chief internal auditor and the Company’s independent auditor in separate executive sessions to discuss any matters that the Committee or each of these groups believe should be discussed privately.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maintain minutes of its meetings and records relating to those meetings.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Authority and Responsibilities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fulfilling its duties and responsibilities hereunder, the Committee will be entitled to rely reasonably on (a) the integrity of those persons within the Company and the professionals and experts (such as the Company’s independent auditor) from whom it receives information, (b) the accuracy of the financial and other information provided to the Committee by such persons and (c) representations made by the Company’s independent auditor as to any services provided by such firm to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fulfill its responsibilities, the Committee shall: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the engagement of the Company’s independent and other auditors: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590"/>
              <w:spacing w:after="0"/>
              <w:rPr>
                <w:sz w:val="20"/>
                <w:szCs w:val="20"/>
                <w:color w:val="auto"/>
              </w:rPr>
            </w:pPr>
            <w:r>
              <w:rPr>
                <w:rFonts w:ascii="Arial" w:cs="Arial" w:eastAsia="Arial" w:hAnsi="Arial"/>
                <w:sz w:val="18"/>
                <w:szCs w:val="18"/>
                <w:color w:val="auto"/>
                <w:w w:val="79"/>
              </w:rPr>
              <w:t>1.</w:t>
            </w: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3"/>
              </w:rPr>
              <w:t>Be directly responsible for (a) the appointment, compensation, retention, (including termination), scope and oversight of the work of</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1"/>
              </w:rPr>
              <w:t>any independent registered public accounting firm engaged by the Company (including for the purpose of preparing or issuing an audit</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9"/>
              </w:rPr>
              <w:t>report or performing other audit, review or attestation services or other work for the Company), and (b) the resolution of any</w:t>
            </w:r>
          </w:p>
        </w:tc>
      </w:tr>
      <w:tr>
        <w:trPr>
          <w:trHeight w:val="230"/>
        </w:trPr>
        <w:tc>
          <w:tcPr>
            <w:tcW w:w="820" w:type="dxa"/>
            <w:vAlign w:val="bottom"/>
          </w:tcPr>
          <w:p>
            <w:pPr>
              <w:spacing w:after="0"/>
              <w:rPr>
                <w:sz w:val="20"/>
                <w:szCs w:val="20"/>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rPr>
              <w:t>disagreements between management and any such firm regarding financial reporting.</w:t>
            </w:r>
          </w:p>
        </w:tc>
      </w:tr>
      <w:tr>
        <w:trPr>
          <w:trHeight w:val="418"/>
        </w:trPr>
        <w:tc>
          <w:tcPr>
            <w:tcW w:w="820" w:type="dxa"/>
            <w:vAlign w:val="bottom"/>
          </w:tcPr>
          <w:p>
            <w:pPr>
              <w:jc w:val="right"/>
              <w:ind w:right="590"/>
              <w:spacing w:after="0"/>
              <w:rPr>
                <w:sz w:val="20"/>
                <w:szCs w:val="20"/>
                <w:color w:val="auto"/>
              </w:rPr>
            </w:pPr>
            <w:r>
              <w:rPr>
                <w:rFonts w:ascii="Arial" w:cs="Arial" w:eastAsia="Arial" w:hAnsi="Arial"/>
                <w:sz w:val="18"/>
                <w:szCs w:val="18"/>
                <w:color w:val="auto"/>
                <w:w w:val="79"/>
              </w:rPr>
              <w:t>2.</w:t>
            </w: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3"/>
              </w:rPr>
              <w:t>Have the sole authority to review in advance, and pre-approve (which may be pursuant to pre-approval policies and procedures) all</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7"/>
              </w:rPr>
              <w:t>audit or non-audit services to be provided by the Company’s independent or other auditors as permitted by Section 10A of the</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89"/>
              </w:rPr>
              <w:t>Exchange Act and to approve all related fees and other terms of engagement. The Committee shall also review and approve disclosures</w:t>
            </w:r>
          </w:p>
        </w:tc>
      </w:tr>
      <w:tr>
        <w:trPr>
          <w:trHeight w:val="190"/>
        </w:trPr>
        <w:tc>
          <w:tcPr>
            <w:tcW w:w="820" w:type="dxa"/>
            <w:vAlign w:val="bottom"/>
          </w:tcPr>
          <w:p>
            <w:pPr>
              <w:spacing w:after="0"/>
              <w:rPr>
                <w:sz w:val="16"/>
                <w:szCs w:val="16"/>
                <w:color w:val="auto"/>
              </w:rPr>
            </w:pPr>
          </w:p>
        </w:tc>
        <w:tc>
          <w:tcPr>
            <w:tcW w:w="10420" w:type="dxa"/>
            <w:vAlign w:val="bottom"/>
            <w:gridSpan w:val="5"/>
          </w:tcPr>
          <w:p>
            <w:pPr>
              <w:ind w:left="660"/>
              <w:spacing w:after="0" w:line="190" w:lineRule="exact"/>
              <w:rPr>
                <w:sz w:val="20"/>
                <w:szCs w:val="20"/>
                <w:color w:val="auto"/>
              </w:rPr>
            </w:pPr>
            <w:r>
              <w:rPr>
                <w:rFonts w:ascii="Arial" w:cs="Arial" w:eastAsia="Arial" w:hAnsi="Arial"/>
                <w:sz w:val="18"/>
                <w:szCs w:val="18"/>
                <w:color w:val="auto"/>
                <w:w w:val="94"/>
              </w:rPr>
              <w:t>required to be included by the Company in periodic reports filed with the Securities and Exchange Commission (the “SEC”) under</w:t>
            </w:r>
          </w:p>
        </w:tc>
      </w:tr>
      <w:tr>
        <w:trPr>
          <w:trHeight w:val="237"/>
        </w:trPr>
        <w:tc>
          <w:tcPr>
            <w:tcW w:w="820" w:type="dxa"/>
            <w:vAlign w:val="bottom"/>
          </w:tcPr>
          <w:p>
            <w:pPr>
              <w:spacing w:after="0"/>
              <w:rPr>
                <w:sz w:val="20"/>
                <w:szCs w:val="20"/>
                <w:color w:val="auto"/>
              </w:rPr>
            </w:pPr>
          </w:p>
        </w:tc>
        <w:tc>
          <w:tcPr>
            <w:tcW w:w="9460" w:type="dxa"/>
            <w:vAlign w:val="bottom"/>
            <w:gridSpan w:val="3"/>
          </w:tcPr>
          <w:p>
            <w:pPr>
              <w:ind w:left="660"/>
              <w:spacing w:after="0"/>
              <w:rPr>
                <w:sz w:val="20"/>
                <w:szCs w:val="20"/>
                <w:color w:val="auto"/>
              </w:rPr>
            </w:pPr>
            <w:r>
              <w:rPr>
                <w:rFonts w:ascii="Arial" w:cs="Arial" w:eastAsia="Arial" w:hAnsi="Arial"/>
                <w:sz w:val="18"/>
                <w:szCs w:val="18"/>
                <w:color w:val="auto"/>
              </w:rPr>
              <w:t>Section 13(a) of the Exchange Act with respect to audit and non-audit services.</w:t>
            </w:r>
          </w:p>
        </w:tc>
        <w:tc>
          <w:tcPr>
            <w:tcW w:w="34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r>
        <w:trPr>
          <w:trHeight w:val="418"/>
        </w:trPr>
        <w:tc>
          <w:tcPr>
            <w:tcW w:w="820" w:type="dxa"/>
            <w:vAlign w:val="bottom"/>
          </w:tcPr>
          <w:p>
            <w:pPr>
              <w:jc w:val="right"/>
              <w:ind w:right="590"/>
              <w:spacing w:after="0"/>
              <w:rPr>
                <w:sz w:val="20"/>
                <w:szCs w:val="20"/>
                <w:color w:val="auto"/>
              </w:rPr>
            </w:pPr>
            <w:r>
              <w:rPr>
                <w:rFonts w:ascii="Arial" w:cs="Arial" w:eastAsia="Arial" w:hAnsi="Arial"/>
                <w:sz w:val="18"/>
                <w:szCs w:val="18"/>
                <w:color w:val="auto"/>
                <w:w w:val="79"/>
              </w:rPr>
              <w:t>3.</w:t>
            </w: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1"/>
              </w:rPr>
              <w:t>At least annually, obtain and review a formal written report from the Company’s independent auditor (a) describing such firm’s internal</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2"/>
              </w:rPr>
              <w:t>quality control procedures, (b) describing any material issues raised by the most recent internal quality control review, peer review or</w:t>
            </w:r>
          </w:p>
        </w:tc>
      </w:tr>
      <w:tr>
        <w:trPr>
          <w:trHeight w:val="190"/>
        </w:trPr>
        <w:tc>
          <w:tcPr>
            <w:tcW w:w="820" w:type="dxa"/>
            <w:vAlign w:val="bottom"/>
          </w:tcPr>
          <w:p>
            <w:pPr>
              <w:spacing w:after="0"/>
              <w:rPr>
                <w:sz w:val="16"/>
                <w:szCs w:val="16"/>
                <w:color w:val="auto"/>
              </w:rPr>
            </w:pPr>
          </w:p>
        </w:tc>
        <w:tc>
          <w:tcPr>
            <w:tcW w:w="10420" w:type="dxa"/>
            <w:vAlign w:val="bottom"/>
            <w:gridSpan w:val="5"/>
          </w:tcPr>
          <w:p>
            <w:pPr>
              <w:ind w:left="660"/>
              <w:spacing w:after="0" w:line="190" w:lineRule="exact"/>
              <w:rPr>
                <w:sz w:val="20"/>
                <w:szCs w:val="20"/>
                <w:color w:val="auto"/>
              </w:rPr>
            </w:pPr>
            <w:r>
              <w:rPr>
                <w:rFonts w:ascii="Arial" w:cs="Arial" w:eastAsia="Arial" w:hAnsi="Arial"/>
                <w:sz w:val="18"/>
                <w:szCs w:val="18"/>
                <w:color w:val="auto"/>
                <w:w w:val="96"/>
              </w:rPr>
              <w:t>Public Company Accounting Oversight Board (“PCAOB”) review or inspection of such firm, or by any inquiry or investigation by</w:t>
            </w:r>
          </w:p>
        </w:tc>
      </w:tr>
      <w:tr>
        <w:trPr>
          <w:trHeight w:val="20"/>
        </w:trPr>
        <w:tc>
          <w:tcPr>
            <w:tcW w:w="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3"/>
              </w:rPr>
              <w:t>governmental or professional authorities, within the preceding five years, respecting one or more independent audits carried out by</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4"/>
              </w:rPr>
              <w:t>such firm, and any steps taken to deal with any such issues, and (c) assessing such firm’s independence, including delineating all</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89"/>
              </w:rPr>
              <w:t>relationships and engagements that may reasonably be thought to bear on the independence of the auditor, including those between the</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1"/>
              </w:rPr>
              <w:t>auditor and the Company. The Committee shall discuss this report with the Company’s independent auditor and shall take appropriate</w:t>
            </w:r>
          </w:p>
        </w:tc>
      </w:tr>
      <w:tr>
        <w:trPr>
          <w:trHeight w:val="230"/>
        </w:trPr>
        <w:tc>
          <w:tcPr>
            <w:tcW w:w="820" w:type="dxa"/>
            <w:vAlign w:val="bottom"/>
          </w:tcPr>
          <w:p>
            <w:pPr>
              <w:spacing w:after="0"/>
              <w:rPr>
                <w:sz w:val="20"/>
                <w:szCs w:val="20"/>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rPr>
              <w:t>action to ensure the independence of the independent auditor and to address any other matters based on such report.</w:t>
            </w:r>
          </w:p>
        </w:tc>
      </w:tr>
      <w:tr>
        <w:trPr>
          <w:trHeight w:val="418"/>
        </w:trPr>
        <w:tc>
          <w:tcPr>
            <w:tcW w:w="820" w:type="dxa"/>
            <w:vAlign w:val="bottom"/>
          </w:tcPr>
          <w:p>
            <w:pPr>
              <w:jc w:val="right"/>
              <w:ind w:right="590"/>
              <w:spacing w:after="0"/>
              <w:rPr>
                <w:sz w:val="20"/>
                <w:szCs w:val="20"/>
                <w:color w:val="auto"/>
              </w:rPr>
            </w:pPr>
            <w:r>
              <w:rPr>
                <w:rFonts w:ascii="Arial" w:cs="Arial" w:eastAsia="Arial" w:hAnsi="Arial"/>
                <w:sz w:val="18"/>
                <w:szCs w:val="18"/>
                <w:color w:val="auto"/>
                <w:w w:val="79"/>
              </w:rPr>
              <w:t>4.</w:t>
            </w: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6"/>
              </w:rPr>
              <w:t>Confirm that the “lead partner,” the “concurring partner” and the other “audit partner” rotation requirements under the Applicable</w:t>
            </w:r>
          </w:p>
        </w:tc>
      </w:tr>
      <w:tr>
        <w:trPr>
          <w:trHeight w:val="216"/>
        </w:trPr>
        <w:tc>
          <w:tcPr>
            <w:tcW w:w="820" w:type="dxa"/>
            <w:vAlign w:val="bottom"/>
          </w:tcPr>
          <w:p>
            <w:pPr>
              <w:spacing w:after="0"/>
              <w:rPr>
                <w:sz w:val="18"/>
                <w:szCs w:val="18"/>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w w:val="93"/>
              </w:rPr>
              <w:t>Requirements, including Regulation S-X have been complied with and set clear policies for audit partner rotation in compliance with</w:t>
            </w:r>
          </w:p>
        </w:tc>
      </w:tr>
      <w:tr>
        <w:trPr>
          <w:trHeight w:val="230"/>
        </w:trPr>
        <w:tc>
          <w:tcPr>
            <w:tcW w:w="820" w:type="dxa"/>
            <w:vAlign w:val="bottom"/>
          </w:tcPr>
          <w:p>
            <w:pPr>
              <w:spacing w:after="0"/>
              <w:rPr>
                <w:sz w:val="20"/>
                <w:szCs w:val="20"/>
                <w:color w:val="auto"/>
              </w:rPr>
            </w:pPr>
          </w:p>
        </w:tc>
        <w:tc>
          <w:tcPr>
            <w:tcW w:w="10420" w:type="dxa"/>
            <w:vAlign w:val="bottom"/>
            <w:gridSpan w:val="5"/>
          </w:tcPr>
          <w:p>
            <w:pPr>
              <w:ind w:left="660"/>
              <w:spacing w:after="0"/>
              <w:rPr>
                <w:sz w:val="20"/>
                <w:szCs w:val="20"/>
                <w:color w:val="auto"/>
              </w:rPr>
            </w:pPr>
            <w:r>
              <w:rPr>
                <w:rFonts w:ascii="Arial" w:cs="Arial" w:eastAsia="Arial" w:hAnsi="Arial"/>
                <w:sz w:val="18"/>
                <w:szCs w:val="18"/>
                <w:color w:val="auto"/>
              </w:rPr>
              <w:t>applicable laws and regulations.</w:t>
            </w:r>
          </w:p>
        </w:tc>
      </w:tr>
      <w:tr>
        <w:trPr>
          <w:trHeight w:val="648"/>
        </w:trPr>
        <w:tc>
          <w:tcPr>
            <w:tcW w:w="8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2"/>
          </w:tcPr>
          <w:p>
            <w:pPr>
              <w:ind w:left="4760"/>
              <w:spacing w:after="0"/>
              <w:rPr>
                <w:sz w:val="20"/>
                <w:szCs w:val="20"/>
                <w:color w:val="auto"/>
              </w:rPr>
            </w:pPr>
            <w:r>
              <w:rPr>
                <w:rFonts w:ascii="Arial" w:cs="Arial" w:eastAsia="Arial" w:hAnsi="Arial"/>
                <w:sz w:val="18"/>
                <w:szCs w:val="18"/>
                <w:color w:val="auto"/>
                <w:w w:val="79"/>
              </w:rPr>
              <w:t>2</w:t>
            </w:r>
          </w:p>
        </w:tc>
        <w:tc>
          <w:tcPr>
            <w:tcW w:w="4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64" w:name="page365"/>
    <w:bookmarkEnd w:id="364"/>
    <w:p>
      <w:pPr>
        <w:jc w:val="both"/>
        <w:ind w:left="1480" w:hanging="1479"/>
        <w:spacing w:after="0" w:line="272" w:lineRule="auto"/>
        <w:tabs>
          <w:tab w:leader="none" w:pos="14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Review all reports and communications required to be submitted by the Company’s independent registered public accounting firm to the Committee under Section 10A of the Securities Exchange Act and other Applicable Requirements. Such reports should describe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the Company to assess the independent registered public accounting firm’s independence.</w:t>
      </w:r>
    </w:p>
    <w:p>
      <w:pPr>
        <w:spacing w:after="0" w:line="177" w:lineRule="exact"/>
        <w:rPr>
          <w:sz w:val="20"/>
          <w:szCs w:val="20"/>
          <w:color w:val="auto"/>
        </w:rPr>
      </w:pPr>
    </w:p>
    <w:p>
      <w:pPr>
        <w:ind w:left="1480" w:right="60" w:hanging="1479"/>
        <w:spacing w:after="0" w:line="277" w:lineRule="auto"/>
        <w:tabs>
          <w:tab w:leader="none" w:pos="14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At least annually, evaluate the performance of the Company’s independent auditor, including the lead audit partner. In making its evaluation, the Committee should take into account the opinions of management and the internal audit group.</w:t>
      </w:r>
    </w:p>
    <w:p>
      <w:pPr>
        <w:spacing w:after="0" w:line="170" w:lineRule="exact"/>
        <w:rPr>
          <w:sz w:val="20"/>
          <w:szCs w:val="20"/>
          <w:color w:val="auto"/>
        </w:rPr>
      </w:pPr>
    </w:p>
    <w:p>
      <w:pPr>
        <w:ind w:left="1480" w:right="60" w:hanging="1479"/>
        <w:spacing w:after="0" w:line="277" w:lineRule="auto"/>
        <w:tabs>
          <w:tab w:leader="none" w:pos="14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Review and discuss with the Company’s independent auditor all relationships the auditor has with the Company and evaluate the auditor’s continued independence.</w:t>
      </w:r>
    </w:p>
    <w:p>
      <w:pPr>
        <w:spacing w:after="0" w:line="170" w:lineRule="exact"/>
        <w:rPr>
          <w:sz w:val="20"/>
          <w:szCs w:val="20"/>
          <w:color w:val="auto"/>
        </w:rPr>
      </w:pPr>
    </w:p>
    <w:p>
      <w:pPr>
        <w:ind w:left="1480" w:right="80" w:hanging="1479"/>
        <w:spacing w:after="0" w:line="277" w:lineRule="auto"/>
        <w:tabs>
          <w:tab w:leader="none" w:pos="14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Determine the Company’s hiring policies regarding partners, employees and former partners and employees of the Company’s independent auditor.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the Company’s financial statements and other financial reporting:</w:t>
      </w:r>
    </w:p>
    <w:p>
      <w:pPr>
        <w:spacing w:after="0" w:line="229" w:lineRule="exact"/>
        <w:rPr>
          <w:sz w:val="20"/>
          <w:szCs w:val="20"/>
          <w:color w:val="auto"/>
        </w:rPr>
      </w:pPr>
    </w:p>
    <w:p>
      <w:pPr>
        <w:jc w:val="both"/>
        <w:ind w:left="1480" w:hanging="1479"/>
        <w:spacing w:after="0" w:line="259" w:lineRule="auto"/>
        <w:tabs>
          <w:tab w:leader="none" w:pos="14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Review and discuss the Company’s annual audited and quarterly unaudited financial statements with management (including the Company’s internal audit group) and the Company’s independent auditor, including disclosures made in “Management’s Discussion and Analysis of Financial Condition and Results of Operations” to be included in the Company’s annual report on Form 10-K or quarterly reports on Form 10-Q.</w:t>
      </w:r>
    </w:p>
    <w:p>
      <w:pPr>
        <w:spacing w:after="0" w:line="187" w:lineRule="exact"/>
        <w:rPr>
          <w:sz w:val="20"/>
          <w:szCs w:val="20"/>
          <w:color w:val="auto"/>
        </w:rPr>
      </w:pPr>
    </w:p>
    <w:p>
      <w:pPr>
        <w:jc w:val="both"/>
        <w:ind w:left="1480" w:hanging="1472"/>
        <w:spacing w:after="0" w:line="286" w:lineRule="auto"/>
        <w:tabs>
          <w:tab w:leader="none" w:pos="14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Recommend to the Board whether the Company’s annual audited financial statements should be included in the Company’s annual report for filing with the SEC and timely prepare the report required by the SEC to be included in the Company’s annual proxy statement, if applicable, and any other reports of the Committee required by any Applicable Requirement.</w:t>
      </w:r>
    </w:p>
    <w:p>
      <w:pPr>
        <w:spacing w:after="0" w:line="165" w:lineRule="exact"/>
        <w:rPr>
          <w:rFonts w:ascii="Arial" w:cs="Arial" w:eastAsia="Arial" w:hAnsi="Arial"/>
          <w:sz w:val="17"/>
          <w:szCs w:val="17"/>
          <w:color w:val="auto"/>
        </w:rPr>
      </w:pPr>
    </w:p>
    <w:p>
      <w:pPr>
        <w:jc w:val="both"/>
        <w:ind w:left="1480" w:hanging="1472"/>
        <w:spacing w:after="0" w:line="273" w:lineRule="auto"/>
        <w:tabs>
          <w:tab w:leader="none" w:pos="14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Review and discuss with management and the Company’s independent auditor (a) major issues regarding, or significant changes in, the Company’s accounting principles and financial statement presentations, (b) analyses prepared by management or the Company’s independent auditor concerning significant financial reporting issues and judgments made in connection with the preparation of the financial statements, (c) the effect of regulatory and accounting initiatives, as well as off-balance sheet structures, on the financial statements of the Company, and (d) the type and presentation of information to be included in earnings press releases and any financial information and earnings guidance provided to analysts and rating agencies.</w:t>
      </w:r>
    </w:p>
    <w:p>
      <w:pPr>
        <w:spacing w:after="0" w:line="177" w:lineRule="exact"/>
        <w:rPr>
          <w:rFonts w:ascii="Arial" w:cs="Arial" w:eastAsia="Arial" w:hAnsi="Arial"/>
          <w:sz w:val="17"/>
          <w:szCs w:val="17"/>
          <w:color w:val="auto"/>
        </w:rPr>
      </w:pPr>
    </w:p>
    <w:p>
      <w:pPr>
        <w:ind w:left="1480" w:hanging="1472"/>
        <w:spacing w:after="0"/>
        <w:tabs>
          <w:tab w:leader="none" w:pos="14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Prior to the filing of any audited financial statements with the SEC, review with management and the Company’s independent auditor</w:t>
      </w:r>
    </w:p>
    <w:p>
      <w:pPr>
        <w:spacing w:after="0" w:line="46" w:lineRule="exact"/>
        <w:rPr>
          <w:rFonts w:ascii="Arial" w:cs="Arial" w:eastAsia="Arial" w:hAnsi="Arial"/>
          <w:sz w:val="16"/>
          <w:szCs w:val="16"/>
          <w:color w:val="auto"/>
        </w:rPr>
      </w:pPr>
    </w:p>
    <w:p>
      <w:pPr>
        <w:jc w:val="both"/>
        <w:ind w:left="1480" w:hanging="1"/>
        <w:spacing w:after="0" w:line="290" w:lineRule="auto"/>
        <w:tabs>
          <w:tab w:leader="none" w:pos="1727" w:val="left"/>
        </w:tabs>
        <w:numPr>
          <w:ilvl w:val="1"/>
          <w:numId w:val="247"/>
        </w:numPr>
        <w:rPr>
          <w:rFonts w:ascii="Arial" w:cs="Arial" w:eastAsia="Arial" w:hAnsi="Arial"/>
          <w:sz w:val="16"/>
          <w:szCs w:val="16"/>
          <w:color w:val="auto"/>
        </w:rPr>
      </w:pPr>
      <w:r>
        <w:rPr>
          <w:rFonts w:ascii="Arial" w:cs="Arial" w:eastAsia="Arial" w:hAnsi="Arial"/>
          <w:sz w:val="16"/>
          <w:szCs w:val="16"/>
          <w:color w:val="auto"/>
        </w:rPr>
        <w:t xml:space="preserve">all critical accounting policies and practices used by the Company, (b) all alternative accounting treatments of financial information reported in GAAP related to material items that have been discussed with management, including the ramifications of the use of such alternative treatments and disclosures and the treatment preferred by the Company’s independent auditor, (c) any reports or communications (and management’s responses thereto) submitted to the Committee by the Company’s independent auditor in accordance with PCAOB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amended or supplemented, and (d) any other material written communications between the Company’s independent auditor and management.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5" w:name="page366"/>
    <w:bookmarkEnd w:id="365"/>
    <w:p>
      <w:pPr>
        <w:jc w:val="both"/>
        <w:ind w:left="1480" w:hanging="1472"/>
        <w:spacing w:after="0" w:line="255"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Periodically review separately with each of management, the Company’s independent auditor and the internal audit group (a) any significant disagreement between management and the Company’s independent auditor or the internal audit group in connection with the preparation of the financial statements, (b) any audit problems or difficulties encountered during the course of the audit, including any restrictions on the scope of work or access to required information, and (c) management’s response to each. The Committee shall discuss with the independent auditor material issues on which the national office of the independent auditor was consulted by the Company’s audit team.</w:t>
      </w:r>
    </w:p>
    <w:p>
      <w:pPr>
        <w:spacing w:after="0" w:line="192" w:lineRule="exact"/>
        <w:rPr>
          <w:rFonts w:ascii="Arial" w:cs="Arial" w:eastAsia="Arial" w:hAnsi="Arial"/>
          <w:sz w:val="18"/>
          <w:szCs w:val="18"/>
          <w:color w:val="auto"/>
        </w:rPr>
      </w:pPr>
    </w:p>
    <w:p>
      <w:pPr>
        <w:jc w:val="both"/>
        <w:ind w:left="1480" w:hanging="1472"/>
        <w:spacing w:after="0" w:line="263"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Periodically discuss with the Company’s independent auditor, without management being present, (a) their judgment about the quality, integrity and appropriateness of the Company’s accounting principles and financial disclosure practices as applied in its financial reporting and (b) the completeness and accuracy of the Company’s financial statements.</w:t>
      </w:r>
    </w:p>
    <w:p>
      <w:pPr>
        <w:spacing w:after="0" w:line="183" w:lineRule="exact"/>
        <w:rPr>
          <w:rFonts w:ascii="Arial" w:cs="Arial" w:eastAsia="Arial" w:hAnsi="Arial"/>
          <w:sz w:val="18"/>
          <w:szCs w:val="18"/>
          <w:color w:val="auto"/>
        </w:rPr>
      </w:pPr>
    </w:p>
    <w:p>
      <w:pPr>
        <w:jc w:val="both"/>
        <w:ind w:left="1480" w:hanging="1472"/>
        <w:spacing w:after="0" w:line="25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 and discuss with management the Company’s earnings press releases, including the use of non-GAAP financial measures and other “pro forma” or “adjusted” presentations, as well as financial information and earnings guidance provided to analysts and rating agencies. Such discussions may be general (consisting of discussing the types of information to be disclosed and the types of presentations to be made), and each earnings release or each instance in which the Company provides earnings guidance need not be discussed in advance.</w:t>
      </w:r>
    </w:p>
    <w:p>
      <w:pPr>
        <w:spacing w:after="0" w:line="187" w:lineRule="exact"/>
        <w:rPr>
          <w:rFonts w:ascii="Arial" w:cs="Arial" w:eastAsia="Arial" w:hAnsi="Arial"/>
          <w:sz w:val="18"/>
          <w:szCs w:val="18"/>
          <w:color w:val="auto"/>
        </w:rPr>
      </w:pPr>
    </w:p>
    <w:p>
      <w:pPr>
        <w:ind w:left="1480" w:hanging="1472"/>
        <w:spacing w:after="0" w:line="27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 and discuss with management all material off-balance sheet transactions, arrangements, obligations (including contingent obligations) and other relationships of the Company with unconsolidated entities or other persons.</w:t>
      </w:r>
    </w:p>
    <w:p>
      <w:pPr>
        <w:spacing w:after="0" w:line="170" w:lineRule="exact"/>
        <w:rPr>
          <w:rFonts w:ascii="Arial" w:cs="Arial" w:eastAsia="Arial" w:hAnsi="Arial"/>
          <w:sz w:val="18"/>
          <w:szCs w:val="18"/>
          <w:color w:val="auto"/>
        </w:rPr>
      </w:pPr>
    </w:p>
    <w:p>
      <w:pPr>
        <w:jc w:val="both"/>
        <w:ind w:left="1480" w:hanging="1472"/>
        <w:spacing w:after="0" w:line="259"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 and approve the Company’s decision to enter into swaps and other derivatives transactions that are exempt from exchange-execution and clearing under “end-user exception” regulations established by the Commodity Futures Trading Commission; and review and approve the Company’s policies governing the Company’s use of swaps and other derivatives transactions subject to the end- user exception.</w:t>
      </w:r>
    </w:p>
    <w:p>
      <w:pPr>
        <w:spacing w:after="0" w:line="186" w:lineRule="exact"/>
        <w:rPr>
          <w:rFonts w:ascii="Arial" w:cs="Arial" w:eastAsia="Arial" w:hAnsi="Arial"/>
          <w:sz w:val="18"/>
          <w:szCs w:val="18"/>
          <w:color w:val="auto"/>
        </w:rPr>
      </w:pPr>
    </w:p>
    <w:p>
      <w:pPr>
        <w:ind w:left="1480" w:right="20" w:hanging="1472"/>
        <w:spacing w:after="0" w:line="27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 and discuss with management and the internal audit group the Company’s major financial risk exposures and management’s risk assessment and risk management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the internal audit function and internal controls:</w:t>
      </w:r>
    </w:p>
    <w:p>
      <w:pPr>
        <w:spacing w:after="0" w:line="229" w:lineRule="exact"/>
        <w:rPr>
          <w:sz w:val="20"/>
          <w:szCs w:val="20"/>
          <w:color w:val="auto"/>
        </w:rPr>
      </w:pPr>
    </w:p>
    <w:p>
      <w:pPr>
        <w:jc w:val="both"/>
        <w:ind w:left="1480" w:hanging="1472"/>
        <w:spacing w:after="0" w:line="263" w:lineRule="auto"/>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Review, based on the recommendation of the Company’s independent auditor and the person responsible for the Company’s internal audit group, the scope and plan of the work to be done by the internal audit group and the responsibilities, budget, audit plan, activities, organizational structure and staffing of the internal audit group as needed.</w:t>
      </w:r>
    </w:p>
    <w:p>
      <w:pPr>
        <w:spacing w:after="0" w:line="183" w:lineRule="exact"/>
        <w:rPr>
          <w:rFonts w:ascii="Arial" w:cs="Arial" w:eastAsia="Arial" w:hAnsi="Arial"/>
          <w:sz w:val="18"/>
          <w:szCs w:val="18"/>
          <w:color w:val="auto"/>
        </w:rPr>
      </w:pPr>
    </w:p>
    <w:p>
      <w:pPr>
        <w:ind w:left="1480" w:hanging="1472"/>
        <w:spacing w:after="0"/>
        <w:tabs>
          <w:tab w:leader="none" w:pos="14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Receive reports from the internal audit group on the status of significant findings and recommendations, and management’s responses.</w:t>
      </w:r>
    </w:p>
    <w:p>
      <w:pPr>
        <w:spacing w:after="0" w:line="248" w:lineRule="exact"/>
        <w:rPr>
          <w:rFonts w:ascii="Arial" w:cs="Arial" w:eastAsia="Arial" w:hAnsi="Arial"/>
          <w:sz w:val="16"/>
          <w:szCs w:val="16"/>
          <w:color w:val="auto"/>
        </w:rPr>
      </w:pPr>
    </w:p>
    <w:p>
      <w:pPr>
        <w:ind w:left="1480" w:hanging="1472"/>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Review on an annual basis the performance of the internal audit group.</w:t>
      </w:r>
    </w:p>
    <w:p>
      <w:pPr>
        <w:spacing w:after="0" w:line="225" w:lineRule="exact"/>
        <w:rPr>
          <w:rFonts w:ascii="Arial" w:cs="Arial" w:eastAsia="Arial" w:hAnsi="Arial"/>
          <w:sz w:val="18"/>
          <w:szCs w:val="18"/>
          <w:color w:val="auto"/>
        </w:rPr>
      </w:pPr>
    </w:p>
    <w:p>
      <w:pPr>
        <w:jc w:val="both"/>
        <w:ind w:left="1480" w:hanging="1472"/>
        <w:spacing w:after="0" w:line="263" w:lineRule="auto"/>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consultation with the Company’s management, independent auditor and the internal audit group, review the adequacy of the Company’s internal controls, disclosure processes and its procedures designed to ensure compliance with laws and regulations, and any special audit steps adopted in light of material control deficiencies.</w:t>
      </w:r>
    </w:p>
    <w:p>
      <w:pPr>
        <w:spacing w:after="0" w:line="183" w:lineRule="exact"/>
        <w:rPr>
          <w:rFonts w:ascii="Arial" w:cs="Arial" w:eastAsia="Arial" w:hAnsi="Arial"/>
          <w:sz w:val="18"/>
          <w:szCs w:val="18"/>
          <w:color w:val="auto"/>
        </w:rPr>
      </w:pPr>
    </w:p>
    <w:p>
      <w:pPr>
        <w:jc w:val="both"/>
        <w:ind w:left="1480" w:hanging="1472"/>
        <w:spacing w:after="0" w:line="257" w:lineRule="auto"/>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Review (a) the internal control report prepared by management, including management’s assessment of the effectiveness of the Company’s internal control over financial reporting and (b) the Company’s independent auditor’s attestation, and report, on the assessment made by management, in each case, as and when required by Section 404 of the Sarbanes-Oxley Act of 2002. Discuss with management, the internal audit group and the independent auditor any changes in internal control over financial reporting disclosed or considered for disclosure in the Company’s periodic filings with the SEC.</w:t>
      </w:r>
    </w:p>
    <w:p>
      <w:pPr>
        <w:spacing w:after="0" w:line="187" w:lineRule="exact"/>
        <w:rPr>
          <w:rFonts w:ascii="Arial" w:cs="Arial" w:eastAsia="Arial" w:hAnsi="Arial"/>
          <w:sz w:val="18"/>
          <w:szCs w:val="18"/>
          <w:color w:val="auto"/>
        </w:rPr>
      </w:pPr>
    </w:p>
    <w:p>
      <w:pPr>
        <w:ind w:left="1480" w:hanging="1472"/>
        <w:spacing w:after="0" w:line="277" w:lineRule="auto"/>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Review with management and the Company’s independent auditor any reports or disclosure submitted by management to the Committee as contemplated by the certifications required under Section 302 of the Sarbanes-Oxley Act of 2002.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6" w:name="page367"/>
    <w:bookmarkEnd w:id="366"/>
    <w:p>
      <w:pPr>
        <w:ind w:left="1480" w:hanging="1472"/>
        <w:spacing w:after="0" w:line="277" w:lineRule="auto"/>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Review with management any management letters and the steps management intends to take to address the issues raised by those letters.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the Company’s compliance programs:</w:t>
      </w:r>
    </w:p>
    <w:p>
      <w:pPr>
        <w:spacing w:after="0" w:line="229" w:lineRule="exact"/>
        <w:rPr>
          <w:sz w:val="20"/>
          <w:szCs w:val="20"/>
          <w:color w:val="auto"/>
        </w:rPr>
      </w:pPr>
    </w:p>
    <w:p>
      <w:pPr>
        <w:jc w:val="both"/>
        <w:ind w:left="1480" w:hanging="1472"/>
        <w:spacing w:after="0" w:line="275" w:lineRule="auto"/>
        <w:tabs>
          <w:tab w:leader="none" w:pos="14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Monitor compliance with the Company’s Code of Conduct and Ethics, and oversee, review and discuss with management, at least annually, the implementation and effectiveness of the Company’s compliance and ethics programs. Review and take appropriate action with respect to any reports to the Committee from legal counsel for the Company concerning any material violation of securities law or breach of fiduciary duty or similar violation by the Company, its subsidiaries or any person acting on their behalf. As appropriate, the Committee shall report and make recommendations to the Board with respect to these matters.</w:t>
      </w:r>
    </w:p>
    <w:p>
      <w:pPr>
        <w:spacing w:after="0" w:line="176" w:lineRule="exact"/>
        <w:rPr>
          <w:rFonts w:ascii="Arial" w:cs="Arial" w:eastAsia="Arial" w:hAnsi="Arial"/>
          <w:sz w:val="17"/>
          <w:szCs w:val="17"/>
          <w:color w:val="auto"/>
        </w:rPr>
      </w:pPr>
    </w:p>
    <w:p>
      <w:pPr>
        <w:jc w:val="both"/>
        <w:ind w:left="1480" w:hanging="1472"/>
        <w:spacing w:after="0" w:line="259" w:lineRule="auto"/>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Establish procedures for (a) the receipt, retention and treatment of complaints received by the Company regarding accounting, internal accounting controls or auditing matters and (b) the confidential, anonymous submission by employees of the Company or any subsidiary or affiliate of the Company whose financial information is included in the Company’s financial statements of concerns regarding questionable accounting or auditing matters.</w:t>
      </w:r>
    </w:p>
    <w:p>
      <w:pPr>
        <w:spacing w:after="0" w:line="186" w:lineRule="exact"/>
        <w:rPr>
          <w:rFonts w:ascii="Arial" w:cs="Arial" w:eastAsia="Arial" w:hAnsi="Arial"/>
          <w:sz w:val="18"/>
          <w:szCs w:val="18"/>
          <w:color w:val="auto"/>
        </w:rPr>
      </w:pPr>
    </w:p>
    <w:p>
      <w:pPr>
        <w:jc w:val="both"/>
        <w:ind w:left="1480" w:hanging="1472"/>
        <w:spacing w:after="0" w:line="286" w:lineRule="auto"/>
        <w:tabs>
          <w:tab w:leader="none" w:pos="14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Review and approve (a) any amendment to or waiver from the Company’s code of ethics for the chief executive officer and senior financial officers and (b) any public disclosure made regarding such change or waiver and advise the Board with respect to the Company’s policies and procedures regarding compliance with the Company’s Code of Business Conduct and Ethics.</w:t>
      </w:r>
    </w:p>
    <w:p>
      <w:pPr>
        <w:spacing w:after="0" w:line="165" w:lineRule="exact"/>
        <w:rPr>
          <w:rFonts w:ascii="Arial" w:cs="Arial" w:eastAsia="Arial" w:hAnsi="Arial"/>
          <w:sz w:val="17"/>
          <w:szCs w:val="17"/>
          <w:color w:val="auto"/>
        </w:rPr>
      </w:pPr>
    </w:p>
    <w:p>
      <w:pPr>
        <w:jc w:val="both"/>
        <w:ind w:left="1480" w:hanging="1472"/>
        <w:spacing w:after="0" w:line="255" w:lineRule="auto"/>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Develop and recommend to the Board for approval policies and procedures for the review, approval or ratification of related person transactions required to be disclosed pursuant to Item 404 of Regulation S-K, as may be amended from time to time, and any other applicable requirements (the “</w:t>
      </w:r>
      <w:r>
        <w:rPr>
          <w:rFonts w:ascii="Arial" w:cs="Arial" w:eastAsia="Arial" w:hAnsi="Arial"/>
          <w:sz w:val="18"/>
          <w:szCs w:val="18"/>
          <w:u w:val="single" w:color="auto"/>
          <w:color w:val="auto"/>
        </w:rPr>
        <w:t>Related Person Transactions Policy</w:t>
      </w:r>
      <w:r>
        <w:rPr>
          <w:rFonts w:ascii="Arial" w:cs="Arial" w:eastAsia="Arial" w:hAnsi="Arial"/>
          <w:sz w:val="18"/>
          <w:szCs w:val="18"/>
          <w:color w:val="auto"/>
        </w:rPr>
        <w:t>”). Review the Related Person Transactions Policy at least annually and recommend to the Board for approval any changes to the Policy. Oversee the implementation of and compliance with the Related Person Transactions Policy, including reviewing, approving or ratifying related person transactions, as appropriate pursuant to the Related Person Transaction Policy.</w:t>
      </w:r>
    </w:p>
    <w:p>
      <w:pPr>
        <w:spacing w:after="0" w:line="192" w:lineRule="exact"/>
        <w:rPr>
          <w:rFonts w:ascii="Arial" w:cs="Arial" w:eastAsia="Arial" w:hAnsi="Arial"/>
          <w:sz w:val="18"/>
          <w:szCs w:val="18"/>
          <w:color w:val="auto"/>
        </w:rPr>
      </w:pPr>
    </w:p>
    <w:p>
      <w:pPr>
        <w:jc w:val="both"/>
        <w:ind w:left="1480" w:hanging="1472"/>
        <w:spacing w:after="0" w:line="301" w:lineRule="auto"/>
        <w:tabs>
          <w:tab w:leader="none" w:pos="14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Review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the Committee’s other authorities and responsibilities:</w:t>
      </w:r>
    </w:p>
    <w:p>
      <w:pPr>
        <w:spacing w:after="0" w:line="229" w:lineRule="exact"/>
        <w:rPr>
          <w:sz w:val="20"/>
          <w:szCs w:val="20"/>
          <w:color w:val="auto"/>
        </w:rPr>
      </w:pPr>
    </w:p>
    <w:p>
      <w:pPr>
        <w:ind w:left="1480" w:hanging="1472"/>
        <w:spacing w:after="0" w:line="277" w:lineRule="auto"/>
        <w:tabs>
          <w:tab w:leader="none" w:pos="1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 and assess annually its own performance and the adequacy of this Charter and recommend to the Board any changes to this Charter deemed appropriate by the Committee.</w:t>
      </w:r>
    </w:p>
    <w:p>
      <w:pPr>
        <w:spacing w:after="0" w:line="170" w:lineRule="exact"/>
        <w:rPr>
          <w:rFonts w:ascii="Arial" w:cs="Arial" w:eastAsia="Arial" w:hAnsi="Arial"/>
          <w:sz w:val="18"/>
          <w:szCs w:val="18"/>
          <w:color w:val="auto"/>
        </w:rPr>
      </w:pPr>
    </w:p>
    <w:p>
      <w:pPr>
        <w:ind w:left="1480" w:hanging="1472"/>
        <w:spacing w:after="0"/>
        <w:tabs>
          <w:tab w:leader="none" w:pos="1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Report regularly to the Board.</w:t>
      </w:r>
    </w:p>
    <w:p>
      <w:pPr>
        <w:spacing w:after="0" w:line="225" w:lineRule="exact"/>
        <w:rPr>
          <w:rFonts w:ascii="Arial" w:cs="Arial" w:eastAsia="Arial" w:hAnsi="Arial"/>
          <w:sz w:val="18"/>
          <w:szCs w:val="18"/>
          <w:color w:val="auto"/>
        </w:rPr>
      </w:pPr>
    </w:p>
    <w:p>
      <w:pPr>
        <w:ind w:left="1480" w:hanging="1472"/>
        <w:spacing w:after="0" w:line="277" w:lineRule="auto"/>
        <w:tabs>
          <w:tab w:leader="none" w:pos="1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Charter, the Company’s organizational documents, as required under the Applicable Requirements or as the Committee or the Board otherwise deems necessary or appropriate.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7" w:name="page368"/>
    <w:bookmarkEnd w:id="367"/>
    <w:p>
      <w:pPr>
        <w:ind w:left="660" w:hanging="652"/>
        <w:spacing w:after="0"/>
        <w:tabs>
          <w:tab w:leader="none" w:pos="6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Resources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shall have the authority to retain or terminate, at its sole discretion, independent legal, accounting and other advisors, consultants or professionals (collectively, “</w:t>
      </w:r>
      <w:r>
        <w:rPr>
          <w:rFonts w:ascii="Arial" w:cs="Arial" w:eastAsia="Arial" w:hAnsi="Arial"/>
          <w:sz w:val="17"/>
          <w:szCs w:val="17"/>
          <w:u w:val="single" w:color="auto"/>
          <w:color w:val="auto"/>
        </w:rPr>
        <w:t>Advisors</w:t>
      </w:r>
      <w:r>
        <w:rPr>
          <w:rFonts w:ascii="Arial" w:cs="Arial" w:eastAsia="Arial" w:hAnsi="Arial"/>
          <w:sz w:val="17"/>
          <w:szCs w:val="17"/>
          <w:color w:val="auto"/>
        </w:rPr>
        <w:t>”) to assist the Committee in its responsibilities and shall be directly responsible for overseeing the work of such Advisors. The chairperson of the Committee, at the request of any member of the Committee, may request any officer, employee or advisor of the Company or the Company’s independent auditor to attend a meeting of the Committee or otherwise respond to Committee requests.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have the sole authority to determine the terms of engagement and the extent of funding necessary (and to be provided by the Company) for payment of (a) compensation to the Company’s independent auditor engaged for the purpose of preparing or issuing an audit report or performing other audit, review or attest services for the Company, (b) any compensation to any Advisors retained to advise the Committee and (c) ordinary administrative expenses of the Committee that are necessary or appropriate in carrying out its duties.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8" w:name="page369"/>
    <w:bookmarkEnd w:id="368"/>
    <w:p>
      <w:pPr>
        <w:jc w:val="right"/>
        <w:spacing w:after="0"/>
        <w:rPr>
          <w:sz w:val="20"/>
          <w:szCs w:val="20"/>
          <w:color w:val="auto"/>
        </w:rPr>
      </w:pPr>
      <w:r>
        <w:rPr>
          <w:rFonts w:ascii="Arial" w:cs="Arial" w:eastAsia="Arial" w:hAnsi="Arial"/>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BurTech Acquisition Corp.,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shall have responsibility for the compensation of the Company’s executive officers, including the Company’s Chief Executive Officer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w:t>
      </w:r>
      <w:r>
        <w:rPr>
          <w:rFonts w:ascii="Arial" w:cs="Arial" w:eastAsia="Arial" w:hAnsi="Arial"/>
          <w:sz w:val="18"/>
          <w:szCs w:val="18"/>
          <w:color w:val="auto"/>
        </w:rPr>
        <w:t>”), and for incentive compensation, equity-based and pension plans as further provided in this Charter.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Organization</w:t>
      </w:r>
    </w:p>
    <w:p>
      <w:pPr>
        <w:spacing w:after="0" w:line="22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Committee shall consist of two or more directors, each of whom shall satisfy the applicable independence and other compensation committee membership requirements of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the Nasdaq Global Market (“</w:t>
      </w:r>
      <w:r>
        <w:rPr>
          <w:rFonts w:ascii="Arial" w:cs="Arial" w:eastAsia="Arial" w:hAnsi="Arial"/>
          <w:sz w:val="17"/>
          <w:szCs w:val="17"/>
          <w:u w:val="single" w:color="auto"/>
          <w:color w:val="auto"/>
        </w:rPr>
        <w:t>Nasdaq</w:t>
      </w:r>
      <w:r>
        <w:rPr>
          <w:rFonts w:ascii="Arial" w:cs="Arial" w:eastAsia="Arial" w:hAnsi="Arial"/>
          <w:sz w:val="17"/>
          <w:szCs w:val="17"/>
          <w:color w:val="auto"/>
        </w:rPr>
        <w:t>”) and any other applicable regulatory requirements subject to any exceptions or cure periods that are applicable pursuant to the foregoing requirements and the phase-in periods permitted under the rules of Nasdaq under which the Committee is required to have only one independent member at the time of listing, a majority of independent members within 90 days of listing and all independent members within one year of listing.</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least one member of the Committee shall have experience in matters relating to executive compensation either as a professional or as a business executive. At least two members shall qualify as (a) “outside directors” within the meaning of Section 162(m) of the U.S. Internal Revenue Code of 1986, as amended, and the rules and regulations promulgated thereunder, including Treasury Regulations Section 1.162-27 (“</w:t>
      </w:r>
      <w:r>
        <w:rPr>
          <w:rFonts w:ascii="Arial" w:cs="Arial" w:eastAsia="Arial" w:hAnsi="Arial"/>
          <w:sz w:val="18"/>
          <w:szCs w:val="18"/>
          <w:u w:val="single" w:color="auto"/>
          <w:color w:val="auto"/>
        </w:rPr>
        <w:t>Outside Directors</w:t>
      </w:r>
      <w:r>
        <w:rPr>
          <w:rFonts w:ascii="Arial" w:cs="Arial" w:eastAsia="Arial" w:hAnsi="Arial"/>
          <w:sz w:val="18"/>
          <w:szCs w:val="18"/>
          <w:color w:val="auto"/>
        </w:rPr>
        <w:t>”), and (b) “non-employee directors” within the meaning of Section 16 of the U.S.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the rules and regulations promulgated thereunder (“</w:t>
      </w:r>
      <w:r>
        <w:rPr>
          <w:rFonts w:ascii="Arial" w:cs="Arial" w:eastAsia="Arial" w:hAnsi="Arial"/>
          <w:sz w:val="18"/>
          <w:szCs w:val="18"/>
          <w:u w:val="single" w:color="auto"/>
          <w:color w:val="auto"/>
        </w:rPr>
        <w:t>Non-Employee Directors</w:t>
      </w:r>
      <w:r>
        <w:rPr>
          <w:rFonts w:ascii="Arial" w:cs="Arial" w:eastAsia="Arial" w:hAnsi="Arial"/>
          <w:sz w:val="18"/>
          <w:szCs w:val="18"/>
          <w:color w:val="auto"/>
        </w:rPr>
        <w:t>”).</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Members of the Committee shall be appointed by the Board on the recommendation of a majority of independent directors serving on the Board and may be removed by the Board at any time; provided, however, that if removing a member or members of the Committee would cause the Committee to have fewer than three members, then the Board must, based upon the recommendation of a majority of independent directors serving on the Board, at the same time appoint enough additional members to the Committee so that the Committee will have at least two members who qualify as (a) Outside Directors and (b) Non-Employee Directors. The Committee’s chairperson shall be designated by the Board on the recommendation of a majority of independent directors serving on the Board or, if not so designated, the members of the Committee shall elect a chairperson by a vote of the majority of the full Committee.</w:t>
      </w:r>
    </w:p>
    <w:p>
      <w:pPr>
        <w:spacing w:after="0" w:line="19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Committee may form and delegate authority to subcommittees from time to time as it sees fit, provided that the subcommittees are composed entirely of directors who satisfy the applicable independence requirements of the SEC and the Nasdaq.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Meetings</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Committee shall meet as often as necessary to carry out its responsibilities. Meetings shall be called by the chairperson of the Committee or, if there is no chairperson, by a majority of the members of the Committee. Meetings may be held telephonically or by other electronic means to the extent permitted by the Company’s organizational documents and applicable law. Committee actions may be taken by unanimous written consent.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b w:val="1"/>
          <w:bCs w:val="1"/>
          <w:color w:val="auto"/>
        </w:rPr>
        <w:t>IV. Authority and Responsibilities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fulfill its responsibilities, the Committee shall:</w:t>
      </w:r>
    </w:p>
    <w:p>
      <w:pPr>
        <w:spacing w:after="0" w:line="225" w:lineRule="exact"/>
        <w:rPr>
          <w:sz w:val="20"/>
          <w:szCs w:val="20"/>
          <w:color w:val="auto"/>
        </w:rPr>
      </w:pPr>
    </w:p>
    <w:p>
      <w:pPr>
        <w:ind w:left="660" w:right="80" w:hanging="652"/>
        <w:spacing w:after="0" w:line="277"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Review and make recommendations to the Board with respect to the Company’s compensation strategy to ensure it is appropriate to attract, retain and motivate senior management and other key employees.</w:t>
      </w:r>
    </w:p>
    <w:p>
      <w:pPr>
        <w:spacing w:after="0" w:line="170" w:lineRule="exact"/>
        <w:rPr>
          <w:rFonts w:ascii="Arial" w:cs="Arial" w:eastAsia="Arial" w:hAnsi="Arial"/>
          <w:sz w:val="18"/>
          <w:szCs w:val="18"/>
          <w:color w:val="auto"/>
        </w:rPr>
      </w:pPr>
    </w:p>
    <w:p>
      <w:pPr>
        <w:ind w:left="660" w:right="300" w:hanging="652"/>
        <w:spacing w:after="0" w:line="279" w:lineRule="auto"/>
        <w:tabs>
          <w:tab w:leader="none" w:pos="6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Review and make recommendations to the Board with respect to the executive compensation philosophy, policies and programs that in the Committee’s judgment support the Company’s overall business strategy and review and discuss, at least annually, the material risks associated with executive compensation structure, policies and programs to determine whether such structure, policies and programs encourage excessive risk-taking and to evaluate compensation policies and practices that could mitigate any such risk.</w:t>
      </w:r>
    </w:p>
    <w:p>
      <w:pPr>
        <w:spacing w:after="0" w:line="171" w:lineRule="exact"/>
        <w:rPr>
          <w:rFonts w:ascii="Arial" w:cs="Arial" w:eastAsia="Arial" w:hAnsi="Arial"/>
          <w:sz w:val="17"/>
          <w:szCs w:val="17"/>
          <w:color w:val="auto"/>
        </w:rPr>
      </w:pPr>
    </w:p>
    <w:p>
      <w:pPr>
        <w:ind w:left="660" w:hanging="652"/>
        <w:spacing w:after="0" w:line="291" w:lineRule="auto"/>
        <w:tabs>
          <w:tab w:leader="none" w:pos="6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On an annual basis, review and approve corporate goals and objectives relevant to the compensation of the Company’s CEO, evaluate the CEO’s performance in light of those goals and objectives and determine and approve CEO compensation based on this evaluation. In evaluating, determining and approving the long-term incentive component of CEO compensation, the Committee may consider, among such other factors as it may deem relevant, the Company’s performance, shareholder returns, the value of similar incentive awards to executive officers at comparable companies, the value of similar awards given to other executive officers of the Company, the results of the most recent shareholder advisory vote on executive compensation required by Section 14A of the Exchange Act (the “</w:t>
      </w:r>
      <w:r>
        <w:rPr>
          <w:rFonts w:ascii="Arial" w:cs="Arial" w:eastAsia="Arial" w:hAnsi="Arial"/>
          <w:sz w:val="16"/>
          <w:szCs w:val="16"/>
          <w:u w:val="single" w:color="auto"/>
          <w:color w:val="auto"/>
        </w:rPr>
        <w:t>Say-on-Pay Vote</w:t>
      </w:r>
      <w:r>
        <w:rPr>
          <w:rFonts w:ascii="Arial" w:cs="Arial" w:eastAsia="Arial" w:hAnsi="Arial"/>
          <w:sz w:val="16"/>
          <w:szCs w:val="16"/>
          <w:color w:val="auto"/>
        </w:rPr>
        <w:t>”) and the awards given to the executive officer in past years. No CEO shall be present during voting or deliberations relating to his or her compensation.</w:t>
      </w:r>
    </w:p>
    <w:p>
      <w:pPr>
        <w:spacing w:after="0" w:line="166" w:lineRule="exact"/>
        <w:rPr>
          <w:rFonts w:ascii="Arial" w:cs="Arial" w:eastAsia="Arial" w:hAnsi="Arial"/>
          <w:sz w:val="16"/>
          <w:szCs w:val="16"/>
          <w:color w:val="auto"/>
        </w:rPr>
      </w:pPr>
    </w:p>
    <w:p>
      <w:pPr>
        <w:ind w:left="660" w:hanging="652"/>
        <w:spacing w:after="0" w:line="271" w:lineRule="auto"/>
        <w:tabs>
          <w:tab w:leader="none" w:pos="6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On an annual basis, review and approve the compensation of the Company’s other executive officers, evaluate the executive officers’ performance in light of those goals and objectives and determine and make recommendations to the Board with respect to executive officer compensation based on this evaluation. In evaluating and making recommendations with respect to the long-term incentive component of executive officer compensation, the Committee may consider, among such other factors as it may deem relevant, the Company’s performance, shareholder returns, the value of similar incentive awards to executive officers at comparable companies, the value of similar awards given to other executive officers of the Company, the results of the most recent shareholder advisory vote on executive compensation required by Section 14A of the Exchange Act (the “</w:t>
      </w:r>
      <w:r>
        <w:rPr>
          <w:rFonts w:ascii="Arial" w:cs="Arial" w:eastAsia="Arial" w:hAnsi="Arial"/>
          <w:sz w:val="17"/>
          <w:szCs w:val="17"/>
          <w:u w:val="single" w:color="auto"/>
          <w:color w:val="auto"/>
        </w:rPr>
        <w:t>Say-on-Pay Vote</w:t>
      </w:r>
      <w:r>
        <w:rPr>
          <w:rFonts w:ascii="Arial" w:cs="Arial" w:eastAsia="Arial" w:hAnsi="Arial"/>
          <w:sz w:val="17"/>
          <w:szCs w:val="17"/>
          <w:color w:val="auto"/>
        </w:rPr>
        <w:t>”) and the awards given to the executive officer in past years. No executive officer may be present during voting or deliberations relating to his or her compensation.</w:t>
      </w:r>
    </w:p>
    <w:p>
      <w:pPr>
        <w:spacing w:after="0" w:line="178" w:lineRule="exact"/>
        <w:rPr>
          <w:rFonts w:ascii="Arial" w:cs="Arial" w:eastAsia="Arial" w:hAnsi="Arial"/>
          <w:sz w:val="17"/>
          <w:szCs w:val="17"/>
          <w:color w:val="auto"/>
        </w:rPr>
      </w:pPr>
    </w:p>
    <w:p>
      <w:pPr>
        <w:ind w:left="660" w:right="160" w:hanging="652"/>
        <w:spacing w:after="0" w:line="277"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Review and make recommendations to the Board with respect to the Company’s incentive compensation, equity-based and pension plans, if any. With respect to each such plan, the Committee shall have responsibility for: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implementing and administering the plan;</w:t>
      </w:r>
    </w:p>
    <w:p>
      <w:pPr>
        <w:spacing w:after="0" w:line="225" w:lineRule="exact"/>
        <w:rPr>
          <w:rFonts w:ascii="Arial" w:cs="Arial" w:eastAsia="Arial" w:hAnsi="Arial"/>
          <w:sz w:val="18"/>
          <w:szCs w:val="18"/>
          <w:color w:val="auto"/>
        </w:rPr>
      </w:pPr>
    </w:p>
    <w:p>
      <w:pPr>
        <w:ind w:left="1300" w:right="60" w:hanging="320"/>
        <w:spacing w:after="0" w:line="342" w:lineRule="auto"/>
        <w:tabs>
          <w:tab w:leader="none" w:pos="130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setting performance targets under all annual bonus and long-term incentive compensation plans as appropriate and committing to writing any and all performance targets for executive officers who may be “covered employees” under applicable laws and regulations;</w:t>
      </w:r>
    </w:p>
    <w:p>
      <w:pPr>
        <w:spacing w:after="0" w:line="123" w:lineRule="exact"/>
        <w:rPr>
          <w:rFonts w:ascii="Arial" w:cs="Arial" w:eastAsia="Arial" w:hAnsi="Arial"/>
          <w:sz w:val="16"/>
          <w:szCs w:val="16"/>
          <w:color w:val="auto"/>
        </w:rPr>
      </w:pPr>
    </w:p>
    <w:p>
      <w:pPr>
        <w:ind w:left="1300" w:right="60" w:hanging="320"/>
        <w:spacing w:after="0" w:line="342" w:lineRule="auto"/>
        <w:tabs>
          <w:tab w:leader="none" w:pos="130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setting performance targets under all annual bonus and long-term incentive compensation plans as appropriate and committing to writing any and all performance targets for executive officers who may be “covered employees” under applicable laws and regulations;</w:t>
      </w:r>
    </w:p>
    <w:p>
      <w:pPr>
        <w:spacing w:after="0" w:line="123" w:lineRule="exact"/>
        <w:rPr>
          <w:rFonts w:ascii="Arial" w:cs="Arial" w:eastAsia="Arial" w:hAnsi="Arial"/>
          <w:sz w:val="16"/>
          <w:szCs w:val="16"/>
          <w:color w:val="auto"/>
        </w:rPr>
      </w:pPr>
    </w:p>
    <w:p>
      <w:pPr>
        <w:ind w:left="1300" w:right="120" w:hanging="320"/>
        <w:spacing w:after="0" w:line="342" w:lineRule="auto"/>
        <w:tabs>
          <w:tab w:leader="none" w:pos="130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if called for by the plan, certifying that any and all performance targets used for any performance-based equity compensation plans have been met before payment of any executive bonus or compensation or exercise of any executive award granted under any such plans;</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approving all amendments to, and terminations of, all compensation plans and any awards under such plans;</w:t>
      </w:r>
    </w:p>
    <w:p>
      <w:pPr>
        <w:spacing w:after="0" w:line="225" w:lineRule="exact"/>
        <w:rPr>
          <w:rFonts w:ascii="Arial" w:cs="Arial" w:eastAsia="Arial" w:hAnsi="Arial"/>
          <w:sz w:val="18"/>
          <w:szCs w:val="18"/>
          <w:color w:val="auto"/>
        </w:rPr>
      </w:pPr>
    </w:p>
    <w:p>
      <w:pPr>
        <w:ind w:left="1300" w:right="220" w:hanging="320"/>
        <w:spacing w:after="0" w:line="263" w:lineRule="auto"/>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granting any awards under any performance-based annual bonus, long- term incentive compensation and equity compensation plans to executive officers or current employees with the potential to become a CEO or an executive officer, including stock options and other equity rights (e.g., restricted stock and stock purchase rights);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approving which executive officers are entitled to awards under the Company’s stock option plans;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approving repurchases of securities from terminated employees.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0" w:name="page371"/>
    <w:bookmarkEnd w:id="370"/>
    <w:p>
      <w:pPr>
        <w:ind w:firstLine="648"/>
        <w:spacing w:after="0" w:line="263" w:lineRule="auto"/>
        <w:rPr>
          <w:sz w:val="20"/>
          <w:szCs w:val="20"/>
          <w:color w:val="auto"/>
        </w:rPr>
      </w:pPr>
      <w:r>
        <w:rPr>
          <w:rFonts w:ascii="Arial" w:cs="Arial" w:eastAsia="Arial" w:hAnsi="Arial"/>
          <w:sz w:val="18"/>
          <w:szCs w:val="18"/>
          <w:color w:val="auto"/>
        </w:rPr>
        <w:t>In reviewing the Company’s incentive compensation, equity-based and pension plans, the Committee may consider the plan’s administrative costs, current plan features relative to any proposed new features, the results of the most recent Say- on-Pay Vote and the performance of the plan’s internal and external administrators if any duties have been delegated.</w:t>
      </w:r>
    </w:p>
    <w:p>
      <w:pPr>
        <w:spacing w:after="0" w:line="184" w:lineRule="exact"/>
        <w:rPr>
          <w:sz w:val="20"/>
          <w:szCs w:val="20"/>
          <w:color w:val="auto"/>
        </w:rPr>
      </w:pPr>
    </w:p>
    <w:p>
      <w:pPr>
        <w:ind w:left="660" w:hanging="652"/>
        <w:spacing w:after="0" w:line="259"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Review and recommend to the Board for approval any employment agreement or compensatory transaction with an executive officer of the Company involving compensation in excess of $120,000 per year. 7. Establish and periodically review policies concerning perquisite benefits and approve all special perquisites, special cash payments and other special compensation and benefits arrangements for officers and employees of the Company.</w:t>
      </w:r>
    </w:p>
    <w:p>
      <w:pPr>
        <w:spacing w:after="0" w:line="187" w:lineRule="exact"/>
        <w:rPr>
          <w:sz w:val="20"/>
          <w:szCs w:val="20"/>
          <w:color w:val="auto"/>
        </w:rPr>
      </w:pPr>
    </w:p>
    <w:p>
      <w:pPr>
        <w:ind w:left="660" w:right="460" w:hanging="652"/>
        <w:spacing w:after="0" w:line="311" w:lineRule="auto"/>
        <w:tabs>
          <w:tab w:leader="none" w:pos="6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Determine and recommend to the Board for approval the Company’s policy with respect to change-of-control or “parachute” payments. In reviewing the Company’s policy with respect to change of control or “parachute” payments, the Committee may consider, among such other factors as it may deem relevant, the results of the most recent Say-on-Pay Vote on “parachute” payments, if any.</w:t>
      </w:r>
    </w:p>
    <w:p>
      <w:pPr>
        <w:spacing w:after="0" w:line="148" w:lineRule="exact"/>
        <w:rPr>
          <w:rFonts w:ascii="Arial" w:cs="Arial" w:eastAsia="Arial" w:hAnsi="Arial"/>
          <w:sz w:val="16"/>
          <w:szCs w:val="16"/>
          <w:color w:val="auto"/>
        </w:rPr>
      </w:pPr>
    </w:p>
    <w:p>
      <w:pPr>
        <w:ind w:left="660" w:hanging="652"/>
        <w:spacing w:after="0"/>
        <w:tabs>
          <w:tab w:leader="none" w:pos="6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Review and make recommendations to the Board with respect to executive officer and director indemnification and insurance matters.</w:t>
      </w:r>
    </w:p>
    <w:p>
      <w:pPr>
        <w:spacing w:after="0" w:line="236"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Review and recommend to the Board for approval the compensation of directors for their service to the Board. Review, evaluate and recommend changes, if appropriate, to the remuneration of directors.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Approve compensation awards, including individual awards, as may be required to comply with applicable tax and state corporate laws.</w:t>
      </w:r>
    </w:p>
    <w:p>
      <w:pPr>
        <w:spacing w:after="0" w:line="236" w:lineRule="exact"/>
        <w:rPr>
          <w:rFonts w:ascii="Arial" w:cs="Arial" w:eastAsia="Arial" w:hAnsi="Arial"/>
          <w:sz w:val="17"/>
          <w:szCs w:val="17"/>
          <w:color w:val="auto"/>
        </w:rPr>
      </w:pPr>
    </w:p>
    <w:p>
      <w:pPr>
        <w:ind w:left="660" w:right="40" w:hanging="652"/>
        <w:spacing w:after="0" w:line="25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Review the Company’s compensation disclosures in its annual proxy statement and its Annual Report on Form 10-K filed with the SEC and assist management in complying with proxy statement and annual report requirements. Review and discuss the Company’s Compensation Discussion and Analysis (“</w:t>
      </w:r>
      <w:r>
        <w:rPr>
          <w:rFonts w:ascii="Arial" w:cs="Arial" w:eastAsia="Arial" w:hAnsi="Arial"/>
          <w:sz w:val="18"/>
          <w:szCs w:val="18"/>
          <w:u w:val="single" w:color="auto"/>
          <w:color w:val="auto"/>
        </w:rPr>
        <w:t>CD&amp;A</w:t>
      </w:r>
      <w:r>
        <w:rPr>
          <w:rFonts w:ascii="Arial" w:cs="Arial" w:eastAsia="Arial" w:hAnsi="Arial"/>
          <w:sz w:val="18"/>
          <w:szCs w:val="18"/>
          <w:color w:val="auto"/>
        </w:rPr>
        <w:t>”) with management and based on such review and discussion, determine whether to recommend to the Board that such compensation disclosures and CD&amp;A be disclosed in the Company’s Annual Report on Form 10-K or annual proxy statement filed with the SEC, as applicable.</w:t>
      </w:r>
    </w:p>
    <w:p>
      <w:pPr>
        <w:spacing w:after="0" w:line="187"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Review and recommend to the Board for approval the frequency with which the Company will conduct Say-on-Pay Votes, taking into account the results of the most recent shareholder advisory vote on frequency of Say-on-Pay Votes required by Section 14A of the Exchange Act, and review and recommend to the Board for approval the proposals regarding the Say-on-Pay Vote and the frequency of the Say-on-Pay Vote to be included in the Company’s proxy statement filed with the SEC.</w:t>
      </w:r>
    </w:p>
    <w:p>
      <w:pPr>
        <w:spacing w:after="0" w:line="186" w:lineRule="exact"/>
        <w:rPr>
          <w:rFonts w:ascii="Arial" w:cs="Arial" w:eastAsia="Arial" w:hAnsi="Arial"/>
          <w:sz w:val="18"/>
          <w:szCs w:val="18"/>
          <w:color w:val="auto"/>
        </w:rPr>
      </w:pPr>
    </w:p>
    <w:p>
      <w:pPr>
        <w:jc w:val="both"/>
        <w:ind w:left="660" w:right="40" w:hanging="652"/>
        <w:spacing w:after="0" w:line="263"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Prepare any report required by applicable rules and regulations or listing standards, including the report required by the SEC to be included in the Company’s annual proxy statement, or, if the Company does not file a proxy statement, in the Company’s Annual Report filed on Form 10-K with the SEC.</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Review and assess the adequacy of this Charter annually and recommend to the Board any changes deemed appropriate by the Committee.</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Review its own performance annually.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Report regularly to the Board.</w:t>
      </w:r>
    </w:p>
    <w:p>
      <w:pPr>
        <w:spacing w:after="0" w:line="225" w:lineRule="exact"/>
        <w:rPr>
          <w:rFonts w:ascii="Arial" w:cs="Arial" w:eastAsia="Arial" w:hAnsi="Arial"/>
          <w:sz w:val="18"/>
          <w:szCs w:val="18"/>
          <w:color w:val="auto"/>
        </w:rPr>
      </w:pPr>
    </w:p>
    <w:p>
      <w:pPr>
        <w:ind w:left="660" w:right="580" w:hanging="652"/>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Charter, the Company’s by-laws and governing law, as the Committee or the Board deems necessary or appropriate.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b w:val="1"/>
          <w:bCs w:val="1"/>
          <w:color w:val="auto"/>
        </w:rPr>
        <w:t>V.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Committee shall have the authority to retain or terminate, at its sole discretion, compensation consultants, independent legal counsel or other advisors (collectively, “</w:t>
      </w:r>
      <w:r>
        <w:rPr>
          <w:rFonts w:ascii="Arial" w:cs="Arial" w:eastAsia="Arial" w:hAnsi="Arial"/>
          <w:sz w:val="18"/>
          <w:szCs w:val="18"/>
          <w:u w:val="single" w:color="auto"/>
          <w:color w:val="auto"/>
        </w:rPr>
        <w:t>Advisors</w:t>
      </w:r>
      <w:r>
        <w:rPr>
          <w:rFonts w:ascii="Arial" w:cs="Arial" w:eastAsia="Arial" w:hAnsi="Arial"/>
          <w:sz w:val="18"/>
          <w:szCs w:val="18"/>
          <w:color w:val="auto"/>
        </w:rPr>
        <w:t>”) to assist the Committee in its responsibilities and shall be directly responsible for the appointment, compensation and oversight of the work of such Advisors. Before retaining an Advisor (other than in-house legal counsel and any Advisor whose role is limited to consulting on broad-based, non-discriminatory plans or providing information that is not customized in particular for the Company (as described in Item 407(e)(3)(iii) of Regulation S-K)), the Committee shall consider the independence of such Advisor, including any independence factors that it is required to consider by law or New York Stock Exchange rules.</w:t>
      </w:r>
    </w:p>
    <w:p>
      <w:pPr>
        <w:spacing w:after="0" w:line="19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chairperson of the Committee, at the request of any member of the Committee, may request that any officer, employee or advisor of the Company attend a meeting of the Committee or otherwise respond to Committee requests.</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Committee shall have the sole authority to determine the terms of engagement and the extent of funding necessary (and to be provided by the Company) for payment of compensation to any Advisors or other professionals retained to advise the Committee and ordinary administrative expenses of the Committee that are necessary or appropriate in carrying out its duties.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Leon Golden</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Leon Golden</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November 15,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Young</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Scott Young</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November 15,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Joseph A. Porrello</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Joseph A. Porrello</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888A08"/>
    <w:multiLevelType w:val="hybridMultilevel"/>
    <w:lvl w:ilvl="0">
      <w:lvlJc w:val="left"/>
      <w:lvlText w:val="(%1)"/>
      <w:numFmt w:val="decimal"/>
      <w:start w:val="1"/>
    </w:lvl>
  </w:abstractNum>
  <w:abstractNum w:abstractNumId="1">
    <w:nsid w:val="2A082C70"/>
    <w:multiLevelType w:val="hybridMultilevel"/>
    <w:lvl w:ilvl="0">
      <w:lvlJc w:val="left"/>
      <w:lvlText w:val="(%1)"/>
      <w:numFmt w:val="decimal"/>
      <w:start w:val="1"/>
    </w:lvl>
  </w:abstractNum>
  <w:abstractNum w:abstractNumId="2">
    <w:nsid w:val="5EC6AFD4"/>
    <w:multiLevelType w:val="hybridMultilevel"/>
    <w:lvl w:ilvl="0">
      <w:lvlJc w:val="left"/>
      <w:lvlText w:val="•"/>
      <w:numFmt w:val="bullet"/>
      <w:start w:val="1"/>
    </w:lvl>
  </w:abstractNum>
  <w:abstractNum w:abstractNumId="3">
    <w:nsid w:val="19E21BB2"/>
    <w:multiLevelType w:val="hybridMultilevel"/>
    <w:lvl w:ilvl="0">
      <w:lvlJc w:val="left"/>
      <w:lvlText w:val="%1"/>
      <w:numFmt w:val="upperLetter"/>
      <w:start w:val="35"/>
    </w:lvl>
  </w:abstractNum>
  <w:abstractNum w:abstractNumId="4">
    <w:nsid w:val="75E0858A"/>
    <w:multiLevelType w:val="hybridMultilevel"/>
    <w:lvl w:ilvl="0">
      <w:lvlJc w:val="left"/>
      <w:lvlText w:val="•"/>
      <w:numFmt w:val="bullet"/>
      <w:start w:val="1"/>
    </w:lvl>
  </w:abstractNum>
  <w:abstractNum w:abstractNumId="5">
    <w:nsid w:val="57A61A29"/>
    <w:multiLevelType w:val="hybridMultilevel"/>
    <w:lvl w:ilvl="0">
      <w:lvlJc w:val="left"/>
      <w:lvlText w:val="•"/>
      <w:numFmt w:val="bullet"/>
      <w:start w:val="1"/>
    </w:lvl>
  </w:abstractNum>
  <w:abstractNum w:abstractNumId="6">
    <w:nsid w:val="5399C654"/>
    <w:multiLevelType w:val="hybridMultilevel"/>
    <w:lvl w:ilvl="0">
      <w:lvlJc w:val="left"/>
      <w:lvlText w:val="(%1)"/>
      <w:numFmt w:val="lowerRoman"/>
      <w:start w:val="2"/>
    </w:lvl>
  </w:abstractNum>
  <w:abstractNum w:abstractNumId="7">
    <w:nsid w:val="20EE1348"/>
    <w:multiLevelType w:val="hybridMultilevel"/>
    <w:lvl w:ilvl="0">
      <w:lvlJc w:val="left"/>
      <w:lvlText w:val="•"/>
      <w:numFmt w:val="bullet"/>
      <w:start w:val="1"/>
    </w:lvl>
  </w:abstractNum>
  <w:abstractNum w:abstractNumId="8">
    <w:nsid w:val="4427069A"/>
    <w:multiLevelType w:val="hybridMultilevel"/>
    <w:lvl w:ilvl="0">
      <w:lvlJc w:val="left"/>
      <w:lvlText w:val="(%1)"/>
      <w:numFmt w:val="decimal"/>
      <w:start w:val="1"/>
    </w:lvl>
  </w:abstractNum>
  <w:abstractNum w:abstractNumId="9">
    <w:nsid w:val="B37E80A"/>
    <w:multiLevelType w:val="hybridMultilevel"/>
    <w:lvl w:ilvl="0">
      <w:lvlJc w:val="left"/>
      <w:lvlText w:val="·"/>
      <w:numFmt w:val="bullet"/>
      <w:start w:val="1"/>
    </w:lvl>
  </w:abstractNum>
  <w:abstractNum w:abstractNumId="10">
    <w:nsid w:val="2157F6BC"/>
    <w:multiLevelType w:val="hybridMultilevel"/>
    <w:lvl w:ilvl="0">
      <w:lvlJc w:val="left"/>
      <w:lvlText w:val="(%1)"/>
      <w:numFmt w:val="lowerRoman"/>
      <w:start w:val="1"/>
    </w:lvl>
  </w:abstractNum>
  <w:abstractNum w:abstractNumId="11">
    <w:nsid w:val="704E1DD5"/>
    <w:multiLevelType w:val="hybridMultilevel"/>
    <w:lvl w:ilvl="0">
      <w:lvlJc w:val="left"/>
      <w:lvlText w:val="•"/>
      <w:numFmt w:val="bullet"/>
      <w:start w:val="1"/>
    </w:lvl>
  </w:abstractNum>
  <w:abstractNum w:abstractNumId="12">
    <w:nsid w:val="57D2F10E"/>
    <w:multiLevelType w:val="hybridMultilevel"/>
    <w:lvl w:ilvl="0">
      <w:lvlJc w:val="left"/>
      <w:lvlText w:val="•"/>
      <w:numFmt w:val="bullet"/>
      <w:start w:val="1"/>
    </w:lvl>
  </w:abstractNum>
  <w:abstractNum w:abstractNumId="13">
    <w:nsid w:val="BFFAE18"/>
    <w:multiLevelType w:val="hybridMultilevel"/>
    <w:lvl w:ilvl="0">
      <w:lvlJc w:val="left"/>
      <w:lvlText w:val="(%1)"/>
      <w:numFmt w:val="lowerRoman"/>
      <w:start w:val="2"/>
    </w:lvl>
  </w:abstractNum>
  <w:abstractNum w:abstractNumId="14">
    <w:nsid w:val="E3E47A8"/>
    <w:multiLevelType w:val="hybridMultilevel"/>
    <w:lvl w:ilvl="0">
      <w:lvlJc w:val="left"/>
      <w:lvlText w:val="•"/>
      <w:numFmt w:val="bullet"/>
      <w:start w:val="1"/>
    </w:lvl>
  </w:abstractNum>
  <w:abstractNum w:abstractNumId="15">
    <w:nsid w:val="2E48F044"/>
    <w:multiLevelType w:val="hybridMultilevel"/>
    <w:lvl w:ilvl="0">
      <w:lvlJc w:val="left"/>
      <w:lvlText w:val="•"/>
      <w:numFmt w:val="bullet"/>
      <w:start w:val="1"/>
    </w:lvl>
  </w:abstractNum>
  <w:abstractNum w:abstractNumId="16">
    <w:nsid w:val="49D0FEAC"/>
    <w:multiLevelType w:val="hybridMultilevel"/>
    <w:lvl w:ilvl="0">
      <w:lvlJc w:val="left"/>
      <w:lvlText w:val="•"/>
      <w:numFmt w:val="bullet"/>
      <w:start w:val="1"/>
    </w:lvl>
  </w:abstractNum>
  <w:abstractNum w:abstractNumId="17">
    <w:nsid w:val="4BEE5A5B"/>
    <w:multiLevelType w:val="hybridMultilevel"/>
    <w:lvl w:ilvl="0">
      <w:lvlJc w:val="left"/>
      <w:lvlText w:val="•"/>
      <w:numFmt w:val="bullet"/>
      <w:start w:val="1"/>
    </w:lvl>
  </w:abstractNum>
  <w:abstractNum w:abstractNumId="18">
    <w:nsid w:val="5551B9F3"/>
    <w:multiLevelType w:val="hybridMultilevel"/>
    <w:lvl w:ilvl="0">
      <w:lvlJc w:val="left"/>
      <w:lvlText w:val="(%1)"/>
      <w:numFmt w:val="decimal"/>
      <w:start w:val="1"/>
    </w:lvl>
  </w:abstractNum>
  <w:abstractNum w:abstractNumId="19">
    <w:nsid w:val="24F6AB8E"/>
    <w:multiLevelType w:val="hybridMultilevel"/>
    <w:lvl w:ilvl="0">
      <w:lvlJc w:val="left"/>
      <w:lvlText w:val="(%1)"/>
      <w:numFmt w:val="lowerRoman"/>
      <w:start w:val="2"/>
    </w:lvl>
  </w:abstractNum>
  <w:abstractNum w:abstractNumId="20">
    <w:nsid w:val="634C574C"/>
    <w:multiLevelType w:val="hybridMultilevel"/>
    <w:lvl w:ilvl="0">
      <w:lvlJc w:val="left"/>
      <w:lvlText w:val="•"/>
      <w:numFmt w:val="bullet"/>
      <w:start w:val="1"/>
    </w:lvl>
  </w:abstractNum>
  <w:abstractNum w:abstractNumId="21">
    <w:nsid w:val="24E99DD7"/>
    <w:multiLevelType w:val="hybridMultilevel"/>
    <w:lvl w:ilvl="0">
      <w:lvlJc w:val="left"/>
      <w:lvlText w:val="(%1)"/>
      <w:numFmt w:val="lowerRoman"/>
      <w:start w:val="1"/>
    </w:lvl>
  </w:abstractNum>
  <w:abstractNum w:abstractNumId="22">
    <w:nsid w:val="2A31B62D"/>
    <w:multiLevelType w:val="hybridMultilevel"/>
    <w:lvl w:ilvl="0">
      <w:lvlJc w:val="left"/>
      <w:lvlText w:val="•"/>
      <w:numFmt w:val="bullet"/>
      <w:start w:val="1"/>
    </w:lvl>
  </w:abstractNum>
  <w:abstractNum w:abstractNumId="23">
    <w:nsid w:val="1849C29B"/>
    <w:multiLevelType w:val="hybridMultilevel"/>
    <w:lvl w:ilvl="0">
      <w:lvlJc w:val="left"/>
      <w:lvlText w:val="•"/>
      <w:numFmt w:val="bullet"/>
      <w:start w:val="1"/>
    </w:lvl>
  </w:abstractNum>
  <w:abstractNum w:abstractNumId="24">
    <w:nsid w:val="7DFF9D09"/>
    <w:multiLevelType w:val="hybridMultilevel"/>
    <w:lvl w:ilvl="0">
      <w:lvlJc w:val="left"/>
      <w:lvlText w:val="•"/>
      <w:numFmt w:val="bullet"/>
      <w:start w:val="1"/>
    </w:lvl>
  </w:abstractNum>
  <w:abstractNum w:abstractNumId="25">
    <w:nsid w:val="754342"/>
    <w:multiLevelType w:val="hybridMultilevel"/>
    <w:lvl w:ilvl="0">
      <w:lvlJc w:val="left"/>
      <w:lvlText w:val="•"/>
      <w:numFmt w:val="bullet"/>
      <w:start w:val="1"/>
    </w:lvl>
  </w:abstractNum>
  <w:abstractNum w:abstractNumId="26">
    <w:nsid w:val="69E7F3E5"/>
    <w:multiLevelType w:val="hybridMultilevel"/>
    <w:lvl w:ilvl="0">
      <w:lvlJc w:val="left"/>
      <w:lvlText w:val="•"/>
      <w:numFmt w:val="bullet"/>
      <w:start w:val="1"/>
    </w:lvl>
  </w:abstractNum>
  <w:abstractNum w:abstractNumId="27">
    <w:nsid w:val="2A6DE806"/>
    <w:multiLevelType w:val="hybridMultilevel"/>
    <w:lvl w:ilvl="0">
      <w:lvlJc w:val="left"/>
      <w:lvlText w:val="•"/>
      <w:numFmt w:val="bullet"/>
      <w:start w:val="1"/>
    </w:lvl>
  </w:abstractNum>
  <w:abstractNum w:abstractNumId="28">
    <w:nsid w:val="1816F8C4"/>
    <w:multiLevelType w:val="hybridMultilevel"/>
    <w:lvl w:ilvl="0">
      <w:lvlJc w:val="left"/>
      <w:lvlText w:val="•"/>
      <w:numFmt w:val="bullet"/>
      <w:start w:val="1"/>
    </w:lvl>
  </w:abstractNum>
  <w:abstractNum w:abstractNumId="29">
    <w:nsid w:val="37DF2233"/>
    <w:multiLevelType w:val="hybridMultilevel"/>
    <w:lvl w:ilvl="0">
      <w:lvlJc w:val="left"/>
      <w:lvlText w:val="•"/>
      <w:numFmt w:val="bullet"/>
      <w:start w:val="1"/>
    </w:lvl>
  </w:abstractNum>
  <w:abstractNum w:abstractNumId="30">
    <w:nsid w:val="7AB49DAF"/>
    <w:multiLevelType w:val="hybridMultilevel"/>
    <w:lvl w:ilvl="0">
      <w:lvlJc w:val="left"/>
      <w:lvlText w:val="(%1)"/>
      <w:numFmt w:val="lowerRoman"/>
      <w:start w:val="1"/>
    </w:lvl>
  </w:abstractNum>
  <w:abstractNum w:abstractNumId="31">
    <w:nsid w:val="759F82CD"/>
    <w:multiLevelType w:val="hybridMultilevel"/>
    <w:lvl w:ilvl="0">
      <w:lvlJc w:val="left"/>
      <w:lvlText w:val="•"/>
      <w:numFmt w:val="bullet"/>
      <w:start w:val="1"/>
    </w:lvl>
  </w:abstractNum>
  <w:abstractNum w:abstractNumId="32">
    <w:nsid w:val="61E74EA3"/>
    <w:multiLevelType w:val="hybridMultilevel"/>
    <w:lvl w:ilvl="0">
      <w:lvlJc w:val="left"/>
      <w:lvlText w:val="(%1)"/>
      <w:numFmt w:val="lowerRoman"/>
      <w:start w:val="2"/>
    </w:lvl>
  </w:abstractNum>
  <w:abstractNum w:abstractNumId="33">
    <w:nsid w:val="597B4D84"/>
    <w:multiLevelType w:val="hybridMultilevel"/>
    <w:lvl w:ilvl="0">
      <w:lvlJc w:val="left"/>
      <w:lvlText w:val="•"/>
      <w:numFmt w:val="bullet"/>
      <w:start w:val="1"/>
    </w:lvl>
  </w:abstractNum>
  <w:abstractNum w:abstractNumId="34">
    <w:nsid w:val="F819E7F"/>
    <w:multiLevelType w:val="hybridMultilevel"/>
    <w:lvl w:ilvl="0">
      <w:lvlJc w:val="left"/>
      <w:lvlText w:val="•"/>
      <w:numFmt w:val="bullet"/>
      <w:start w:val="1"/>
    </w:lvl>
  </w:abstractNum>
  <w:abstractNum w:abstractNumId="35">
    <w:nsid w:val="57C7D42D"/>
    <w:multiLevelType w:val="hybridMultilevel"/>
    <w:lvl w:ilvl="0">
      <w:lvlJc w:val="left"/>
      <w:lvlText w:val="(%1)"/>
      <w:numFmt w:val="decimal"/>
      <w:start w:val="1"/>
    </w:lvl>
  </w:abstractNum>
  <w:abstractNum w:abstractNumId="36">
    <w:nsid w:val="312167AD"/>
    <w:multiLevelType w:val="hybridMultilevel"/>
    <w:lvl w:ilvl="0">
      <w:lvlJc w:val="left"/>
      <w:lvlText w:val="(%1)"/>
      <w:numFmt w:val="decimal"/>
      <w:start w:val="3"/>
    </w:lvl>
  </w:abstractNum>
  <w:abstractNum w:abstractNumId="37">
    <w:nsid w:val="631B64D4"/>
    <w:multiLevelType w:val="hybridMultilevel"/>
    <w:lvl w:ilvl="0">
      <w:lvlJc w:val="left"/>
      <w:lvlText w:val="(%1)"/>
      <w:numFmt w:val="decimal"/>
      <w:start w:val="1"/>
    </w:lvl>
  </w:abstractNum>
  <w:abstractNum w:abstractNumId="38">
    <w:nsid w:val="78B5E776"/>
    <w:multiLevelType w:val="hybridMultilevel"/>
    <w:lvl w:ilvl="0">
      <w:lvlJc w:val="left"/>
      <w:lvlText w:val="(%1)"/>
      <w:numFmt w:val="decimal"/>
      <w:start w:val="1"/>
    </w:lvl>
  </w:abstractNum>
  <w:abstractNum w:abstractNumId="39">
    <w:nsid w:val="75486E47"/>
    <w:multiLevelType w:val="hybridMultilevel"/>
    <w:lvl w:ilvl="0">
      <w:lvlJc w:val="left"/>
      <w:lvlText w:val="(%1)"/>
      <w:numFmt w:val="decimal"/>
      <w:start w:val="1"/>
    </w:lvl>
  </w:abstractNum>
  <w:abstractNum w:abstractNumId="40">
    <w:nsid w:val="6E534CDE"/>
    <w:multiLevelType w:val="hybridMultilevel"/>
    <w:lvl w:ilvl="0">
      <w:lvlJc w:val="left"/>
      <w:lvlText w:val="•"/>
      <w:numFmt w:val="bullet"/>
      <w:start w:val="1"/>
    </w:lvl>
  </w:abstractNum>
  <w:abstractNum w:abstractNumId="41">
    <w:nsid w:val="1A0DDE32"/>
    <w:multiLevelType w:val="hybridMultilevel"/>
    <w:lvl w:ilvl="0">
      <w:lvlJc w:val="left"/>
      <w:lvlText w:val="•"/>
      <w:numFmt w:val="bullet"/>
      <w:start w:val="1"/>
    </w:lvl>
  </w:abstractNum>
  <w:abstractNum w:abstractNumId="42">
    <w:nsid w:val="65968C1C"/>
    <w:multiLevelType w:val="hybridMultilevel"/>
    <w:lvl w:ilvl="0">
      <w:lvlJc w:val="left"/>
      <w:lvlText w:val="•"/>
      <w:numFmt w:val="bullet"/>
      <w:start w:val="1"/>
    </w:lvl>
  </w:abstractNum>
  <w:abstractNum w:abstractNumId="43">
    <w:nsid w:val="46263DEC"/>
    <w:multiLevelType w:val="hybridMultilevel"/>
    <w:lvl w:ilvl="0">
      <w:lvlJc w:val="left"/>
      <w:lvlText w:val="•"/>
      <w:numFmt w:val="bullet"/>
      <w:start w:val="1"/>
    </w:lvl>
  </w:abstractNum>
  <w:abstractNum w:abstractNumId="44">
    <w:nsid w:val="260D8C4A"/>
    <w:multiLevelType w:val="hybridMultilevel"/>
    <w:lvl w:ilvl="0">
      <w:lvlJc w:val="left"/>
      <w:lvlText w:val="%1"/>
      <w:numFmt w:val="upperLetter"/>
      <w:start w:val="35"/>
    </w:lvl>
  </w:abstractNum>
  <w:abstractNum w:abstractNumId="45">
    <w:nsid w:val="73D4D3C4"/>
    <w:multiLevelType w:val="hybridMultilevel"/>
    <w:lvl w:ilvl="0">
      <w:lvlJc w:val="left"/>
      <w:lvlText w:val="•"/>
      <w:numFmt w:val="bullet"/>
      <w:start w:val="1"/>
    </w:lvl>
  </w:abstractNum>
  <w:abstractNum w:abstractNumId="46">
    <w:nsid w:val="746F2E30"/>
    <w:multiLevelType w:val="hybridMultilevel"/>
    <w:lvl w:ilvl="0">
      <w:lvlJc w:val="left"/>
      <w:lvlText w:val="•"/>
      <w:numFmt w:val="bullet"/>
      <w:start w:val="1"/>
    </w:lvl>
  </w:abstractNum>
  <w:abstractNum w:abstractNumId="47">
    <w:nsid w:val="6FDE8AF6"/>
    <w:multiLevelType w:val="hybridMultilevel"/>
    <w:lvl w:ilvl="0">
      <w:lvlJc w:val="left"/>
      <w:lvlText w:val="(%1)"/>
      <w:numFmt w:val="lowerRoman"/>
      <w:start w:val="2"/>
    </w:lvl>
  </w:abstractNum>
  <w:abstractNum w:abstractNumId="48">
    <w:nsid w:val="3FC32E20"/>
    <w:multiLevelType w:val="hybridMultilevel"/>
    <w:lvl w:ilvl="0">
      <w:lvlJc w:val="left"/>
      <w:lvlText w:val="·"/>
      <w:numFmt w:val="bullet"/>
      <w:start w:val="1"/>
    </w:lvl>
  </w:abstractNum>
  <w:abstractNum w:abstractNumId="49">
    <w:nsid w:val="49C0E823"/>
    <w:multiLevelType w:val="hybridMultilevel"/>
    <w:lvl w:ilvl="0">
      <w:lvlJc w:val="left"/>
      <w:lvlText w:val="·"/>
      <w:numFmt w:val="bullet"/>
      <w:start w:val="1"/>
    </w:lvl>
  </w:abstractNum>
  <w:abstractNum w:abstractNumId="50">
    <w:nsid w:val="14D53685"/>
    <w:multiLevelType w:val="hybridMultilevel"/>
    <w:lvl w:ilvl="0">
      <w:lvlJc w:val="left"/>
      <w:lvlText w:val="(%1)"/>
      <w:numFmt w:val="lowerRoman"/>
      <w:start w:val="2"/>
    </w:lvl>
  </w:abstractNum>
  <w:abstractNum w:abstractNumId="51">
    <w:nsid w:val="230F856C"/>
    <w:multiLevelType w:val="hybridMultilevel"/>
    <w:lvl w:ilvl="0">
      <w:lvlJc w:val="left"/>
      <w:lvlText w:val="·"/>
      <w:numFmt w:val="bullet"/>
      <w:start w:val="1"/>
    </w:lvl>
  </w:abstractNum>
  <w:abstractNum w:abstractNumId="52">
    <w:nsid w:val="6EAA85FB"/>
    <w:multiLevelType w:val="hybridMultilevel"/>
    <w:lvl w:ilvl="0">
      <w:lvlJc w:val="left"/>
      <w:lvlText w:val="·"/>
      <w:numFmt w:val="bullet"/>
      <w:start w:val="1"/>
    </w:lvl>
  </w:abstractNum>
  <w:abstractNum w:abstractNumId="53">
    <w:nsid w:val="3F06ECB2"/>
    <w:multiLevelType w:val="hybridMultilevel"/>
    <w:lvl w:ilvl="0">
      <w:lvlJc w:val="left"/>
      <w:lvlText w:val="(%1)"/>
      <w:numFmt w:val="lowerRoman"/>
      <w:start w:val="2"/>
    </w:lvl>
  </w:abstractNum>
  <w:abstractNum w:abstractNumId="54">
    <w:nsid w:val="3B594807"/>
    <w:multiLevelType w:val="hybridMultilevel"/>
    <w:lvl w:ilvl="0">
      <w:lvlJc w:val="left"/>
      <w:lvlText w:val="(%1)"/>
      <w:numFmt w:val="lowerRoman"/>
      <w:start w:val="1"/>
    </w:lvl>
  </w:abstractNum>
  <w:abstractNum w:abstractNumId="55">
    <w:nsid w:val="6CAA2304"/>
    <w:multiLevelType w:val="hybridMultilevel"/>
    <w:lvl w:ilvl="0">
      <w:lvlJc w:val="left"/>
      <w:lvlText w:val="(%1)"/>
      <w:numFmt w:val="decimal"/>
      <w:start w:val="2"/>
    </w:lvl>
  </w:abstractNum>
  <w:abstractNum w:abstractNumId="56">
    <w:nsid w:val="3F7C2FF4"/>
    <w:multiLevelType w:val="hybridMultilevel"/>
    <w:lvl w:ilvl="0">
      <w:lvlJc w:val="left"/>
      <w:lvlText w:val="•"/>
      <w:numFmt w:val="bullet"/>
      <w:start w:val="1"/>
    </w:lvl>
  </w:abstractNum>
  <w:abstractNum w:abstractNumId="57">
    <w:nsid w:val="25413BEC"/>
    <w:multiLevelType w:val="hybridMultilevel"/>
    <w:lvl w:ilvl="0">
      <w:lvlJc w:val="left"/>
      <w:lvlText w:val="•"/>
      <w:numFmt w:val="bullet"/>
      <w:start w:val="1"/>
    </w:lvl>
  </w:abstractNum>
  <w:abstractNum w:abstractNumId="58">
    <w:nsid w:val="17180B0B"/>
    <w:multiLevelType w:val="hybridMultilevel"/>
    <w:lvl w:ilvl="0">
      <w:lvlJc w:val="left"/>
      <w:lvlText w:val="•"/>
      <w:numFmt w:val="bullet"/>
      <w:start w:val="1"/>
    </w:lvl>
  </w:abstractNum>
  <w:abstractNum w:abstractNumId="59">
    <w:nsid w:val="579328B9"/>
    <w:multiLevelType w:val="hybridMultilevel"/>
    <w:lvl w:ilvl="0">
      <w:lvlJc w:val="left"/>
      <w:lvlText w:val="•"/>
      <w:numFmt w:val="bullet"/>
      <w:start w:val="1"/>
    </w:lvl>
  </w:abstractNum>
  <w:abstractNum w:abstractNumId="60">
    <w:nsid w:val="5D205E20"/>
    <w:multiLevelType w:val="hybridMultilevel"/>
    <w:lvl w:ilvl="0">
      <w:lvlJc w:val="left"/>
      <w:lvlText w:val="•"/>
      <w:numFmt w:val="bullet"/>
      <w:start w:val="1"/>
    </w:lvl>
  </w:abstractNum>
  <w:abstractNum w:abstractNumId="61">
    <w:nsid w:val="11CCA8BA"/>
    <w:multiLevelType w:val="hybridMultilevel"/>
    <w:lvl w:ilvl="0">
      <w:lvlJc w:val="left"/>
      <w:lvlText w:val="•"/>
      <w:numFmt w:val="bullet"/>
      <w:start w:val="1"/>
    </w:lvl>
  </w:abstractNum>
  <w:abstractNum w:abstractNumId="62">
    <w:nsid w:val="4D32AB86"/>
    <w:multiLevelType w:val="hybridMultilevel"/>
    <w:lvl w:ilvl="0">
      <w:lvlJc w:val="left"/>
      <w:lvlText w:val="(%1)"/>
      <w:numFmt w:val="decimal"/>
      <w:start w:val="1"/>
    </w:lvl>
  </w:abstractNum>
  <w:abstractNum w:abstractNumId="63">
    <w:nsid w:val="3F07ACC3"/>
    <w:multiLevelType w:val="hybridMultilevel"/>
    <w:lvl w:ilvl="0">
      <w:lvlJc w:val="left"/>
      <w:lvlText w:val="•"/>
      <w:numFmt w:val="bullet"/>
      <w:start w:val="1"/>
    </w:lvl>
  </w:abstractNum>
  <w:abstractNum w:abstractNumId="64">
    <w:nsid w:val="6B47F63E"/>
    <w:multiLevelType w:val="hybridMultilevel"/>
    <w:lvl w:ilvl="0">
      <w:lvlJc w:val="left"/>
      <w:lvlText w:val="(%1)"/>
      <w:numFmt w:val="decimal"/>
      <w:start w:val="1"/>
    </w:lvl>
  </w:abstractNum>
  <w:abstractNum w:abstractNumId="65">
    <w:nsid w:val="5CB44A05"/>
    <w:multiLevelType w:val="hybridMultilevel"/>
    <w:lvl w:ilvl="0">
      <w:lvlJc w:val="left"/>
      <w:lvlText w:val="•"/>
      <w:numFmt w:val="bullet"/>
      <w:start w:val="1"/>
    </w:lvl>
  </w:abstractNum>
  <w:abstractNum w:abstractNumId="66">
    <w:nsid w:val="16CF80F1"/>
    <w:multiLevelType w:val="hybridMultilevel"/>
    <w:lvl w:ilvl="0">
      <w:lvlJc w:val="left"/>
      <w:lvlText w:val="•"/>
      <w:numFmt w:val="bullet"/>
      <w:start w:val="1"/>
    </w:lvl>
  </w:abstractNum>
  <w:abstractNum w:abstractNumId="67">
    <w:nsid w:val="1C695DEC"/>
    <w:multiLevelType w:val="hybridMultilevel"/>
    <w:lvl w:ilvl="0">
      <w:lvlJc w:val="left"/>
      <w:lvlText w:val="(%1)"/>
      <w:numFmt w:val="lowerRoman"/>
      <w:start w:val="3"/>
    </w:lvl>
  </w:abstractNum>
  <w:abstractNum w:abstractNumId="68">
    <w:nsid w:val="3FCFAED9"/>
    <w:multiLevelType w:val="hybridMultilevel"/>
    <w:lvl w:ilvl="0">
      <w:lvlJc w:val="left"/>
      <w:lvlText w:val="•"/>
      <w:numFmt w:val="bullet"/>
      <w:start w:val="1"/>
    </w:lvl>
  </w:abstractNum>
  <w:abstractNum w:abstractNumId="69">
    <w:nsid w:val="F856867"/>
    <w:multiLevelType w:val="hybridMultilevel"/>
    <w:lvl w:ilvl="0">
      <w:lvlJc w:val="left"/>
      <w:lvlText w:val="•"/>
      <w:numFmt w:val="bullet"/>
      <w:start w:val="1"/>
    </w:lvl>
  </w:abstractNum>
  <w:abstractNum w:abstractNumId="70">
    <w:nsid w:val="11B1CC33"/>
    <w:multiLevelType w:val="hybridMultilevel"/>
    <w:lvl w:ilvl="0">
      <w:lvlJc w:val="left"/>
      <w:lvlText w:val="\emdash "/>
      <w:numFmt w:val="bullet"/>
      <w:start w:val="1"/>
    </w:lvl>
  </w:abstractNum>
  <w:abstractNum w:abstractNumId="71">
    <w:nsid w:val="2E22FBB7"/>
    <w:multiLevelType w:val="hybridMultilevel"/>
    <w:lvl w:ilvl="0">
      <w:lvlJc w:val="left"/>
      <w:lvlText w:val="•"/>
      <w:numFmt w:val="bullet"/>
      <w:start w:val="1"/>
    </w:lvl>
  </w:abstractNum>
  <w:abstractNum w:abstractNumId="72">
    <w:nsid w:val="29934699"/>
    <w:multiLevelType w:val="hybridMultilevel"/>
    <w:lvl w:ilvl="0">
      <w:lvlJc w:val="left"/>
      <w:lvlText w:val="•"/>
      <w:numFmt w:val="bullet"/>
      <w:start w:val="1"/>
    </w:lvl>
  </w:abstractNum>
  <w:abstractNum w:abstractNumId="73">
    <w:nsid w:val="77485850"/>
    <w:multiLevelType w:val="hybridMultilevel"/>
    <w:lvl w:ilvl="0">
      <w:lvlJc w:val="left"/>
      <w:lvlText w:val="•"/>
      <w:numFmt w:val="bullet"/>
      <w:start w:val="1"/>
    </w:lvl>
  </w:abstractNum>
  <w:abstractNum w:abstractNumId="74">
    <w:nsid w:val="744939A3"/>
    <w:multiLevelType w:val="hybridMultilevel"/>
    <w:lvl w:ilvl="0">
      <w:lvlJc w:val="left"/>
      <w:lvlText w:val="•"/>
      <w:numFmt w:val="bullet"/>
      <w:start w:val="1"/>
    </w:lvl>
  </w:abstractNum>
  <w:abstractNum w:abstractNumId="75">
    <w:nsid w:val="4FA0D2E3"/>
    <w:multiLevelType w:val="hybridMultilevel"/>
    <w:lvl w:ilvl="0">
      <w:lvlJc w:val="left"/>
      <w:lvlText w:val="(%1)"/>
      <w:numFmt w:val="upperLetter"/>
      <w:start w:val="3"/>
    </w:lvl>
  </w:abstractNum>
  <w:abstractNum w:abstractNumId="76">
    <w:nsid w:val="6B1D2C14"/>
    <w:multiLevelType w:val="hybridMultilevel"/>
    <w:lvl w:ilvl="0">
      <w:lvlJc w:val="left"/>
      <w:lvlText w:val="•"/>
      <w:numFmt w:val="bullet"/>
      <w:start w:val="1"/>
    </w:lvl>
  </w:abstractNum>
  <w:abstractNum w:abstractNumId="77">
    <w:nsid w:val="68B867D3"/>
    <w:multiLevelType w:val="hybridMultilevel"/>
    <w:lvl w:ilvl="0">
      <w:lvlJc w:val="left"/>
      <w:lvlText w:val="•"/>
      <w:numFmt w:val="bullet"/>
      <w:start w:val="1"/>
    </w:lvl>
  </w:abstractNum>
  <w:abstractNum w:abstractNumId="78">
    <w:nsid w:val="3F7F5DD9"/>
    <w:multiLevelType w:val="hybridMultilevel"/>
    <w:lvl w:ilvl="0">
      <w:lvlJc w:val="left"/>
      <w:lvlText w:val="•"/>
      <w:numFmt w:val="bullet"/>
      <w:start w:val="1"/>
    </w:lvl>
  </w:abstractNum>
  <w:abstractNum w:abstractNumId="79">
    <w:nsid w:val="2AE05A34"/>
    <w:multiLevelType w:val="hybridMultilevel"/>
    <w:lvl w:ilvl="0">
      <w:lvlJc w:val="left"/>
      <w:lvlText w:val="•"/>
      <w:numFmt w:val="bullet"/>
      <w:start w:val="1"/>
    </w:lvl>
  </w:abstractNum>
  <w:abstractNum w:abstractNumId="80">
    <w:nsid w:val="32794FF7"/>
    <w:multiLevelType w:val="hybridMultilevel"/>
    <w:lvl w:ilvl="0">
      <w:lvlJc w:val="left"/>
      <w:lvlText w:val="•"/>
      <w:numFmt w:val="bullet"/>
      <w:start w:val="1"/>
    </w:lvl>
  </w:abstractNum>
  <w:abstractNum w:abstractNumId="81">
    <w:nsid w:val="5454945E"/>
    <w:multiLevelType w:val="hybridMultilevel"/>
    <w:lvl w:ilvl="0">
      <w:lvlJc w:val="left"/>
      <w:lvlText w:val="(%1)"/>
      <w:numFmt w:val="decimal"/>
      <w:start w:val="1"/>
    </w:lvl>
  </w:abstractNum>
  <w:abstractNum w:abstractNumId="82">
    <w:nsid w:val="4DEFDFA0"/>
    <w:multiLevelType w:val="hybridMultilevel"/>
    <w:lvl w:ilvl="0">
      <w:lvlJc w:val="left"/>
      <w:lvlText w:val="(%1)"/>
      <w:numFmt w:val="lowerRoman"/>
      <w:start w:val="2"/>
    </w:lvl>
  </w:abstractNum>
  <w:abstractNum w:abstractNumId="83">
    <w:nsid w:val="2123D5F2"/>
    <w:multiLevelType w:val="hybridMultilevel"/>
    <w:lvl w:ilvl="0">
      <w:lvlJc w:val="left"/>
      <w:lvlText w:val="•"/>
      <w:numFmt w:val="bullet"/>
      <w:start w:val="1"/>
    </w:lvl>
  </w:abstractNum>
  <w:abstractNum w:abstractNumId="84">
    <w:nsid w:val="135B8110"/>
    <w:multiLevelType w:val="hybridMultilevel"/>
    <w:lvl w:ilvl="0">
      <w:lvlJc w:val="left"/>
      <w:lvlText w:val="•"/>
      <w:numFmt w:val="bullet"/>
      <w:start w:val="1"/>
    </w:lvl>
  </w:abstractNum>
  <w:abstractNum w:abstractNumId="85">
    <w:nsid w:val="94927A8"/>
    <w:multiLevelType w:val="hybridMultilevel"/>
    <w:lvl w:ilvl="0">
      <w:lvlJc w:val="left"/>
      <w:lvlText w:val="•"/>
      <w:numFmt w:val="bullet"/>
      <w:start w:val="1"/>
    </w:lvl>
  </w:abstractNum>
  <w:abstractNum w:abstractNumId="86">
    <w:nsid w:val="DCDF8F6"/>
    <w:multiLevelType w:val="hybridMultilevel"/>
    <w:lvl w:ilvl="0">
      <w:lvlJc w:val="left"/>
      <w:lvlText w:val="•"/>
      <w:numFmt w:val="bullet"/>
      <w:start w:val="1"/>
    </w:lvl>
  </w:abstractNum>
  <w:abstractNum w:abstractNumId="87">
    <w:nsid w:val="52D7B105"/>
    <w:multiLevelType w:val="hybridMultilevel"/>
    <w:lvl w:ilvl="0">
      <w:lvlJc w:val="left"/>
      <w:lvlText w:val="•"/>
      <w:numFmt w:val="bullet"/>
      <w:start w:val="1"/>
    </w:lvl>
  </w:abstractNum>
  <w:abstractNum w:abstractNumId="88">
    <w:nsid w:val="2E8A6394"/>
    <w:multiLevelType w:val="hybridMultilevel"/>
    <w:lvl w:ilvl="0">
      <w:lvlJc w:val="left"/>
      <w:lvlText w:val="(%1)"/>
      <w:numFmt w:val="lowerLetter"/>
      <w:start w:val="1"/>
    </w:lvl>
  </w:abstractNum>
  <w:abstractNum w:abstractNumId="89">
    <w:nsid w:val="24E60401"/>
    <w:multiLevelType w:val="hybridMultilevel"/>
    <w:lvl w:ilvl="0">
      <w:lvlJc w:val="left"/>
      <w:lvlText w:val="(%1)"/>
      <w:numFmt w:val="lowerLetter"/>
      <w:start w:val="1"/>
    </w:lvl>
  </w:abstractNum>
  <w:abstractNum w:abstractNumId="90">
    <w:nsid w:val="2A6AD9BE"/>
    <w:multiLevelType w:val="hybridMultilevel"/>
    <w:lvl w:ilvl="0">
      <w:lvlJc w:val="left"/>
      <w:lvlText w:val="\endash "/>
      <w:numFmt w:val="bullet"/>
      <w:start w:val="1"/>
    </w:lvl>
  </w:abstractNum>
  <w:abstractNum w:abstractNumId="91">
    <w:nsid w:val="BAAC1B4"/>
    <w:multiLevelType w:val="hybridMultilevel"/>
    <w:lvl w:ilvl="0">
      <w:lvlJc w:val="left"/>
      <w:lvlText w:val="%1"/>
      <w:numFmt w:val="decimal"/>
      <w:start w:val="949"/>
    </w:lvl>
  </w:abstractNum>
  <w:abstractNum w:abstractNumId="92">
    <w:nsid w:val="36B2ACBC"/>
    <w:multiLevelType w:val="hybridMultilevel"/>
    <w:lvl w:ilvl="0">
      <w:lvlJc w:val="left"/>
      <w:lvlText w:val="(%1)"/>
      <w:numFmt w:val="decimal"/>
      <w:start w:val="1"/>
    </w:lvl>
  </w:abstractNum>
  <w:abstractNum w:abstractNumId="93">
    <w:nsid w:val="779D8544"/>
    <w:multiLevelType w:val="hybridMultilevel"/>
    <w:lvl w:ilvl="0">
      <w:lvlJc w:val="left"/>
      <w:lvlText w:val="(%1)"/>
      <w:numFmt w:val="decimal"/>
      <w:start w:val="1"/>
    </w:lvl>
  </w:abstractNum>
  <w:abstractNum w:abstractNumId="94">
    <w:nsid w:val="4AB26E78"/>
    <w:multiLevelType w:val="hybridMultilevel"/>
    <w:lvl w:ilvl="0">
      <w:lvlJc w:val="left"/>
      <w:lvlText w:val="(%1)"/>
      <w:numFmt w:val="decimal"/>
      <w:start w:val="1"/>
    </w:lvl>
  </w:abstractNum>
  <w:abstractNum w:abstractNumId="95">
    <w:nsid w:val="21FAA2FA"/>
    <w:multiLevelType w:val="hybridMultilevel"/>
    <w:lvl w:ilvl="0">
      <w:lvlJc w:val="left"/>
      <w:lvlText w:val="l"/>
      <w:numFmt w:val="bullet"/>
      <w:start w:val="1"/>
    </w:lvl>
  </w:abstractNum>
  <w:abstractNum w:abstractNumId="96">
    <w:nsid w:val="5451CF49"/>
    <w:multiLevelType w:val="hybridMultilevel"/>
    <w:lvl w:ilvl="0">
      <w:lvlJc w:val="left"/>
      <w:lvlText w:val="l"/>
      <w:numFmt w:val="bullet"/>
      <w:start w:val="1"/>
    </w:lvl>
  </w:abstractNum>
  <w:abstractNum w:abstractNumId="97">
    <w:nsid w:val="6181EF69"/>
    <w:multiLevelType w:val="hybridMultilevel"/>
    <w:lvl w:ilvl="0">
      <w:lvlJc w:val="left"/>
      <w:lvlText w:val="(%1)"/>
      <w:numFmt w:val="lowerRoman"/>
      <w:start w:val="2"/>
    </w:lvl>
  </w:abstractNum>
  <w:abstractNum w:abstractNumId="98">
    <w:nsid w:val="3E6400E6"/>
    <w:multiLevelType w:val="hybridMultilevel"/>
    <w:lvl w:ilvl="0">
      <w:lvlJc w:val="left"/>
      <w:lvlText w:val="l"/>
      <w:numFmt w:val="bullet"/>
      <w:start w:val="1"/>
    </w:lvl>
  </w:abstractNum>
  <w:abstractNum w:abstractNumId="99">
    <w:nsid w:val="14217E23"/>
    <w:multiLevelType w:val="hybridMultilevel"/>
    <w:lvl w:ilvl="0">
      <w:lvlJc w:val="left"/>
      <w:lvlText w:val="(%1)"/>
      <w:numFmt w:val="decimal"/>
      <w:start w:val="1"/>
    </w:lvl>
  </w:abstractNum>
  <w:abstractNum w:abstractNumId="100">
    <w:nsid w:val="710757D0"/>
    <w:multiLevelType w:val="hybridMultilevel"/>
    <w:lvl w:ilvl="0">
      <w:lvlJc w:val="left"/>
      <w:lvlText w:val="(%1)"/>
      <w:numFmt w:val="lowerLetter"/>
      <w:start w:val="1"/>
    </w:lvl>
  </w:abstractNum>
  <w:abstractNum w:abstractNumId="101">
    <w:nsid w:val="5015CD1A"/>
    <w:multiLevelType w:val="hybridMultilevel"/>
    <w:lvl w:ilvl="0">
      <w:lvlJc w:val="left"/>
      <w:lvlText w:val="(%1)"/>
      <w:numFmt w:val="lowerLetter"/>
      <w:start w:val="3"/>
    </w:lvl>
  </w:abstractNum>
  <w:abstractNum w:abstractNumId="102">
    <w:nsid w:val="424479DA"/>
    <w:multiLevelType w:val="hybridMultilevel"/>
    <w:lvl w:ilvl="0">
      <w:lvlJc w:val="left"/>
      <w:lvlText w:val="(%1)"/>
      <w:numFmt w:val="lowerLetter"/>
      <w:start w:val="9"/>
    </w:lvl>
  </w:abstractNum>
  <w:abstractNum w:abstractNumId="103">
    <w:nsid w:val="1A9A9E69"/>
    <w:multiLevelType w:val="hybridMultilevel"/>
    <w:lvl w:ilvl="0">
      <w:lvlJc w:val="left"/>
      <w:lvlText w:val="(%1)"/>
      <w:numFmt w:val="lowerLetter"/>
      <w:start w:val="1"/>
    </w:lvl>
  </w:abstractNum>
  <w:abstractNum w:abstractNumId="104">
    <w:nsid w:val="475E256A"/>
    <w:multiLevelType w:val="hybridMultilevel"/>
    <w:lvl w:ilvl="0">
      <w:lvlJc w:val="left"/>
      <w:lvlText w:val="(%1)"/>
      <w:numFmt w:val="lowerLetter"/>
      <w:start w:val="1"/>
    </w:lvl>
  </w:abstractNum>
  <w:abstractNum w:abstractNumId="105">
    <w:nsid w:val="368DB37E"/>
    <w:multiLevelType w:val="hybridMultilevel"/>
    <w:lvl w:ilvl="0">
      <w:lvlJc w:val="left"/>
      <w:lvlText w:val="(%1)"/>
      <w:numFmt w:val="lowerLetter"/>
      <w:start w:val="2"/>
    </w:lvl>
    <w:lvl w:ilvl="1">
      <w:lvlJc w:val="left"/>
      <w:lvlText w:val="(%2)"/>
      <w:numFmt w:val="decimal"/>
      <w:start w:val="1"/>
    </w:lvl>
  </w:abstractNum>
  <w:abstractNum w:abstractNumId="106">
    <w:nsid w:val="6A3B714C"/>
    <w:multiLevelType w:val="hybridMultilevel"/>
    <w:lvl w:ilvl="0">
      <w:lvlJc w:val="left"/>
      <w:lvlText w:val="(%1)"/>
      <w:numFmt w:val="lowerRoman"/>
      <w:start w:val="1"/>
    </w:lvl>
  </w:abstractNum>
  <w:abstractNum w:abstractNumId="107">
    <w:nsid w:val="327B517E"/>
    <w:multiLevelType w:val="hybridMultilevel"/>
    <w:lvl w:ilvl="0">
      <w:lvlJc w:val="left"/>
      <w:lvlText w:val="%1."/>
      <w:numFmt w:val="decimal"/>
      <w:start w:val="1"/>
    </w:lvl>
  </w:abstractNum>
  <w:abstractNum w:abstractNumId="108">
    <w:nsid w:val="1F461B51"/>
    <w:multiLevelType w:val="hybridMultilevel"/>
    <w:lvl w:ilvl="0">
      <w:lvlJc w:val="left"/>
      <w:lvlText w:val="1.%1."/>
      <w:numFmt w:val="decimal"/>
      <w:start w:val="1"/>
    </w:lvl>
  </w:abstractNum>
  <w:abstractNum w:abstractNumId="109">
    <w:nsid w:val="29BACF25"/>
    <w:multiLevelType w:val="hybridMultilevel"/>
    <w:lvl w:ilvl="0">
      <w:lvlJc w:val="left"/>
      <w:lvlText w:val="(%1)"/>
      <w:numFmt w:val="lowerRoman"/>
      <w:start w:val="1"/>
    </w:lvl>
  </w:abstractNum>
  <w:abstractNum w:abstractNumId="110">
    <w:nsid w:val="5D5BABB3"/>
    <w:multiLevelType w:val="hybridMultilevel"/>
    <w:lvl w:ilvl="0">
      <w:lvlJc w:val="left"/>
      <w:lvlText w:val="(%1)"/>
      <w:numFmt w:val="decimal"/>
      <w:start w:val="2"/>
    </w:lvl>
  </w:abstractNum>
  <w:abstractNum w:abstractNumId="111">
    <w:nsid w:val="51BF6B48"/>
    <w:multiLevelType w:val="hybridMultilevel"/>
    <w:lvl w:ilvl="0">
      <w:lvlJc w:val="left"/>
      <w:lvlText w:val="%1."/>
      <w:numFmt w:val="decimal"/>
      <w:start w:val="2"/>
    </w:lvl>
  </w:abstractNum>
  <w:abstractNum w:abstractNumId="112">
    <w:nsid w:val="7E0F6384"/>
    <w:multiLevelType w:val="hybridMultilevel"/>
    <w:lvl w:ilvl="0">
      <w:lvlJc w:val="left"/>
      <w:lvlText w:val="2.%1."/>
      <w:numFmt w:val="decimal"/>
      <w:start w:val="1"/>
    </w:lvl>
  </w:abstractNum>
  <w:abstractNum w:abstractNumId="113">
    <w:nsid w:val="2B4B8B53"/>
    <w:multiLevelType w:val="hybridMultilevel"/>
    <w:lvl w:ilvl="0">
      <w:lvlJc w:val="left"/>
      <w:lvlText w:val="(%1)"/>
      <w:numFmt w:val="lowerRoman"/>
      <w:start w:val="1"/>
    </w:lvl>
  </w:abstractNum>
  <w:abstractNum w:abstractNumId="114">
    <w:nsid w:val="72E3413A"/>
    <w:multiLevelType w:val="hybridMultilevel"/>
    <w:lvl w:ilvl="0">
      <w:lvlJc w:val="left"/>
      <w:lvlText w:val="(%1)"/>
      <w:numFmt w:val="lowerRoman"/>
      <w:start w:val="10"/>
    </w:lvl>
  </w:abstractNum>
  <w:abstractNum w:abstractNumId="115">
    <w:nsid w:val="116AE494"/>
    <w:multiLevelType w:val="hybridMultilevel"/>
    <w:lvl w:ilvl="0">
      <w:lvlJc w:val="left"/>
      <w:lvlText w:val="(%1)"/>
      <w:numFmt w:val="lowerRoman"/>
      <w:start w:val="1"/>
    </w:lvl>
  </w:abstractNum>
  <w:abstractNum w:abstractNumId="116">
    <w:nsid w:val="3494B2FB"/>
    <w:multiLevelType w:val="hybridMultilevel"/>
    <w:lvl w:ilvl="0">
      <w:lvlJc w:val="left"/>
      <w:lvlText w:val="%1."/>
      <w:numFmt w:val="decimal"/>
      <w:start w:val="4"/>
    </w:lvl>
  </w:abstractNum>
  <w:abstractNum w:abstractNumId="117">
    <w:nsid w:val="B13A31"/>
    <w:multiLevelType w:val="hybridMultilevel"/>
    <w:lvl w:ilvl="0">
      <w:lvlJc w:val="left"/>
      <w:lvlText w:val="%1."/>
      <w:numFmt w:val="decimal"/>
      <w:start w:val="5"/>
    </w:lvl>
  </w:abstractNum>
  <w:abstractNum w:abstractNumId="118">
    <w:nsid w:val="64429599"/>
    <w:multiLevelType w:val="hybridMultilevel"/>
    <w:lvl w:ilvl="0">
      <w:lvlJc w:val="left"/>
      <w:lvlText w:val="5.%1."/>
      <w:numFmt w:val="decimal"/>
      <w:start w:val="1"/>
    </w:lvl>
  </w:abstractNum>
  <w:abstractNum w:abstractNumId="119">
    <w:nsid w:val="631F1690"/>
    <w:multiLevelType w:val="hybridMultilevel"/>
    <w:lvl w:ilvl="0">
      <w:lvlJc w:val="left"/>
      <w:lvlText w:val="(%1)"/>
      <w:numFmt w:val="lowerLetter"/>
      <w:start w:val="1"/>
    </w:lvl>
  </w:abstractNum>
  <w:abstractNum w:abstractNumId="120">
    <w:nsid w:val="25973E32"/>
    <w:multiLevelType w:val="hybridMultilevel"/>
    <w:lvl w:ilvl="0">
      <w:lvlJc w:val="left"/>
      <w:lvlText w:val="(%1)"/>
      <w:numFmt w:val="lowerLetter"/>
      <w:start w:val="3"/>
    </w:lvl>
  </w:abstractNum>
  <w:abstractNum w:abstractNumId="121">
    <w:nsid w:val="EAD6F57"/>
    <w:multiLevelType w:val="hybridMultilevel"/>
    <w:lvl w:ilvl="0">
      <w:lvlJc w:val="left"/>
      <w:lvlText w:val="%1."/>
      <w:numFmt w:val="decimal"/>
      <w:start w:val="6"/>
    </w:lvl>
  </w:abstractNum>
  <w:abstractNum w:abstractNumId="122">
    <w:nsid w:val="6EC9D844"/>
    <w:multiLevelType w:val="hybridMultilevel"/>
    <w:lvl w:ilvl="0">
      <w:lvlJc w:val="left"/>
      <w:lvlText w:val="%1."/>
      <w:numFmt w:val="decimal"/>
      <w:start w:val="7"/>
    </w:lvl>
  </w:abstractNum>
  <w:abstractNum w:abstractNumId="123">
    <w:nsid w:val="5C49EAEE"/>
    <w:multiLevelType w:val="hybridMultilevel"/>
    <w:lvl w:ilvl="0">
      <w:lvlJc w:val="left"/>
      <w:lvlText w:val="(%1)"/>
      <w:numFmt w:val="lowerRoman"/>
      <w:start w:val="2"/>
    </w:lvl>
  </w:abstractNum>
  <w:abstractNum w:abstractNumId="124">
    <w:nsid w:val="64AF49B"/>
    <w:multiLevelType w:val="hybridMultilevel"/>
    <w:lvl w:ilvl="0">
      <w:lvlJc w:val="left"/>
      <w:lvlText w:val="%1."/>
      <w:numFmt w:val="decimal"/>
      <w:start w:val="8"/>
    </w:lvl>
  </w:abstractNum>
  <w:abstractNum w:abstractNumId="125">
    <w:nsid w:val="397C46BC"/>
    <w:multiLevelType w:val="hybridMultilevel"/>
    <w:lvl w:ilvl="0">
      <w:lvlJc w:val="left"/>
      <w:lvlText w:val="(%1)"/>
      <w:numFmt w:val="lowerRoman"/>
      <w:start w:val="6"/>
    </w:lvl>
  </w:abstractNum>
  <w:abstractNum w:abstractNumId="126">
    <w:nsid w:val="7E448DE9"/>
    <w:multiLevelType w:val="hybridMultilevel"/>
    <w:lvl w:ilvl="0">
      <w:lvlJc w:val="left"/>
      <w:lvlText w:val="%1."/>
      <w:numFmt w:val="decimal"/>
      <w:start w:val="10"/>
    </w:lvl>
  </w:abstractNum>
  <w:abstractNum w:abstractNumId="127">
    <w:nsid w:val="5A9CC3E5"/>
    <w:multiLevelType w:val="hybridMultilevel"/>
    <w:lvl w:ilvl="0">
      <w:lvlJc w:val="left"/>
      <w:lvlText w:val="%1."/>
      <w:numFmt w:val="decimal"/>
      <w:start w:val="1"/>
    </w:lvl>
  </w:abstractNum>
  <w:abstractNum w:abstractNumId="128">
    <w:nsid w:val="1AFE3625"/>
    <w:multiLevelType w:val="hybridMultilevel"/>
    <w:lvl w:ilvl="0">
      <w:lvlJc w:val="left"/>
      <w:lvlText w:val="%1."/>
      <w:numFmt w:val="decimal"/>
      <w:start w:val="1"/>
    </w:lvl>
  </w:abstractNum>
  <w:abstractNum w:abstractNumId="129">
    <w:nsid w:val="3CA88ECF"/>
    <w:multiLevelType w:val="hybridMultilevel"/>
    <w:lvl w:ilvl="0">
      <w:lvlJc w:val="left"/>
      <w:lvlText w:val="(%1)"/>
      <w:numFmt w:val="lowerRoman"/>
      <w:start w:val="1"/>
    </w:lvl>
  </w:abstractNum>
  <w:abstractNum w:abstractNumId="130">
    <w:nsid w:val="6EBE4208"/>
    <w:multiLevelType w:val="hybridMultilevel"/>
    <w:lvl w:ilvl="0">
      <w:lvlJc w:val="left"/>
      <w:lvlText w:val="(%1)"/>
      <w:numFmt w:val="lowerLetter"/>
      <w:start w:val="1"/>
    </w:lvl>
    <w:lvl w:ilvl="1">
      <w:lvlJc w:val="left"/>
      <w:lvlText w:val="(%2)"/>
      <w:numFmt w:val="lowerRoman"/>
      <w:start w:val="1"/>
    </w:lvl>
  </w:abstractNum>
  <w:abstractNum w:abstractNumId="131">
    <w:nsid w:val="C058DF5"/>
    <w:multiLevelType w:val="hybridMultilevel"/>
    <w:lvl w:ilvl="0">
      <w:lvlJc w:val="left"/>
      <w:lvlText w:val="(%1)"/>
      <w:numFmt w:val="lowerRoman"/>
      <w:start w:val="2"/>
    </w:lvl>
  </w:abstractNum>
  <w:abstractNum w:abstractNumId="132">
    <w:nsid w:val="CBE5BE9"/>
    <w:multiLevelType w:val="hybridMultilevel"/>
    <w:lvl w:ilvl="0">
      <w:lvlJc w:val="left"/>
      <w:lvlText w:val="●"/>
      <w:numFmt w:val="bullet"/>
      <w:start w:val="1"/>
    </w:lvl>
  </w:abstractNum>
  <w:abstractNum w:abstractNumId="133">
    <w:nsid w:val="3102BBE2"/>
    <w:multiLevelType w:val="hybridMultilevel"/>
    <w:lvl w:ilvl="0">
      <w:lvlJc w:val="left"/>
      <w:lvlText w:val="●"/>
      <w:numFmt w:val="bullet"/>
      <w:start w:val="1"/>
    </w:lvl>
  </w:abstractNum>
  <w:abstractNum w:abstractNumId="134">
    <w:nsid w:val="26A02C5E"/>
    <w:multiLevelType w:val="hybridMultilevel"/>
    <w:lvl w:ilvl="0">
      <w:lvlJc w:val="left"/>
      <w:lvlText w:val="(%1)"/>
      <w:numFmt w:val="lowerRoman"/>
      <w:start w:val="3"/>
    </w:lvl>
  </w:abstractNum>
  <w:abstractNum w:abstractNumId="135">
    <w:nsid w:val="541C8153"/>
    <w:multiLevelType w:val="hybridMultilevel"/>
    <w:lvl w:ilvl="0">
      <w:lvlJc w:val="left"/>
      <w:lvlText w:val="(%1)"/>
      <w:numFmt w:val="lowerLetter"/>
      <w:start w:val="3"/>
    </w:lvl>
  </w:abstractNum>
  <w:abstractNum w:abstractNumId="136">
    <w:nsid w:val="67906F60"/>
    <w:multiLevelType w:val="hybridMultilevel"/>
    <w:lvl w:ilvl="0">
      <w:lvlJc w:val="left"/>
      <w:lvlText w:val="(%1)"/>
      <w:numFmt w:val="lowerRoman"/>
      <w:start w:val="3"/>
    </w:lvl>
  </w:abstractNum>
  <w:abstractNum w:abstractNumId="137">
    <w:nsid w:val="10DB9DAA"/>
    <w:multiLevelType w:val="hybridMultilevel"/>
    <w:lvl w:ilvl="0">
      <w:lvlJc w:val="left"/>
      <w:lvlText w:val="(%1)"/>
      <w:numFmt w:val="lowerLetter"/>
      <w:start w:val="2"/>
    </w:lvl>
  </w:abstractNum>
  <w:abstractNum w:abstractNumId="138">
    <w:nsid w:val="697D2D2"/>
    <w:multiLevelType w:val="hybridMultilevel"/>
    <w:lvl w:ilvl="0">
      <w:lvlJc w:val="left"/>
      <w:lvlText w:val="(%1)"/>
      <w:numFmt w:val="lowerLetter"/>
      <w:start w:val="6"/>
    </w:lvl>
  </w:abstractNum>
  <w:abstractNum w:abstractNumId="139">
    <w:nsid w:val="6D68AB2"/>
    <w:multiLevelType w:val="hybridMultilevel"/>
    <w:lvl w:ilvl="0">
      <w:lvlJc w:val="left"/>
      <w:lvlText w:val=","/>
      <w:numFmt w:val="bullet"/>
      <w:start w:val="1"/>
    </w:lvl>
  </w:abstractNum>
  <w:abstractNum w:abstractNumId="140">
    <w:nsid w:val="3A966CD0"/>
    <w:multiLevelType w:val="hybridMultilevel"/>
    <w:lvl w:ilvl="0">
      <w:lvlJc w:val="left"/>
      <w:lvlText w:val=","/>
      <w:numFmt w:val="bullet"/>
      <w:start w:val="1"/>
    </w:lvl>
  </w:abstractNum>
  <w:abstractNum w:abstractNumId="141">
    <w:nsid w:val="63F37E85"/>
    <w:multiLevelType w:val="hybridMultilevel"/>
    <w:lvl w:ilvl="0">
      <w:lvlJc w:val="left"/>
      <w:lvlText w:val="&amp;"/>
      <w:numFmt w:val="bullet"/>
      <w:start w:val="1"/>
    </w:lvl>
  </w:abstractNum>
  <w:abstractNum w:abstractNumId="142">
    <w:nsid w:val="5895F5FA"/>
    <w:multiLevelType w:val="hybridMultilevel"/>
    <w:lvl w:ilvl="0">
      <w:lvlJc w:val="left"/>
      <w:lvlText w:val="%1."/>
      <w:numFmt w:val="decimal"/>
      <w:start w:val="1"/>
    </w:lvl>
  </w:abstractNum>
  <w:abstractNum w:abstractNumId="143">
    <w:nsid w:val="38A5D054"/>
    <w:multiLevelType w:val="hybridMultilevel"/>
    <w:lvl w:ilvl="0">
      <w:lvlJc w:val="left"/>
      <w:lvlText w:val="(%1)"/>
      <w:numFmt w:val="lowerRoman"/>
      <w:start w:val="2"/>
    </w:lvl>
  </w:abstractNum>
  <w:abstractNum w:abstractNumId="144">
    <w:nsid w:val="F3F09D8"/>
    <w:multiLevelType w:val="hybridMultilevel"/>
    <w:lvl w:ilvl="0">
      <w:lvlJc w:val="left"/>
      <w:lvlText w:val="%1."/>
      <w:numFmt w:val="decimal"/>
      <w:start w:val="3"/>
    </w:lvl>
  </w:abstractNum>
  <w:abstractNum w:abstractNumId="145">
    <w:nsid w:val="4B793735"/>
    <w:multiLevelType w:val="hybridMultilevel"/>
    <w:lvl w:ilvl="0">
      <w:lvlJc w:val="left"/>
      <w:lvlText w:val="(%1)"/>
      <w:numFmt w:val="lowerRoman"/>
      <w:start w:val="2"/>
    </w:lvl>
  </w:abstractNum>
  <w:abstractNum w:abstractNumId="146">
    <w:nsid w:val="4A10B4E8"/>
    <w:multiLevelType w:val="hybridMultilevel"/>
    <w:lvl w:ilvl="0">
      <w:lvlJc w:val="left"/>
      <w:lvlText w:val="(%1)"/>
      <w:numFmt w:val="lowerLetter"/>
      <w:start w:val="1"/>
    </w:lvl>
  </w:abstractNum>
  <w:abstractNum w:abstractNumId="147">
    <w:nsid w:val="43D3BCD4"/>
    <w:multiLevelType w:val="hybridMultilevel"/>
    <w:lvl w:ilvl="0">
      <w:lvlJc w:val="left"/>
      <w:lvlText w:val="(%1)"/>
      <w:numFmt w:val="lowerLetter"/>
      <w:start w:val="24"/>
    </w:lvl>
  </w:abstractNum>
  <w:abstractNum w:abstractNumId="148">
    <w:nsid w:val="4C2A7166"/>
    <w:multiLevelType w:val="hybridMultilevel"/>
    <w:lvl w:ilvl="0">
      <w:lvlJc w:val="left"/>
      <w:lvlText w:val="(%1)"/>
      <w:numFmt w:val="lowerLetter"/>
      <w:start w:val="3"/>
    </w:lvl>
  </w:abstractNum>
  <w:abstractNum w:abstractNumId="149">
    <w:nsid w:val="2E534A82"/>
    <w:multiLevelType w:val="hybridMultilevel"/>
    <w:lvl w:ilvl="0">
      <w:lvlJc w:val="left"/>
      <w:lvlText w:val="%1."/>
      <w:numFmt w:val="decimal"/>
      <w:start w:val="4"/>
    </w:lvl>
  </w:abstractNum>
  <w:abstractNum w:abstractNumId="150">
    <w:nsid w:val="26F2D364"/>
    <w:multiLevelType w:val="hybridMultilevel"/>
    <w:lvl w:ilvl="0">
      <w:lvlJc w:val="left"/>
      <w:lvlText w:val="(%1)"/>
      <w:numFmt w:val="lowerLetter"/>
      <w:start w:val="2"/>
    </w:lvl>
  </w:abstractNum>
  <w:abstractNum w:abstractNumId="151">
    <w:nsid w:val="71C1AF98"/>
    <w:multiLevelType w:val="hybridMultilevel"/>
    <w:lvl w:ilvl="0">
      <w:lvlJc w:val="left"/>
      <w:lvlText w:val="(%1)"/>
      <w:numFmt w:val="lowerRoman"/>
      <w:start w:val="2"/>
    </w:lvl>
  </w:abstractNum>
  <w:abstractNum w:abstractNumId="152">
    <w:nsid w:val="3D00B9D9"/>
    <w:multiLevelType w:val="hybridMultilevel"/>
    <w:lvl w:ilvl="0">
      <w:lvlJc w:val="left"/>
      <w:lvlText w:val="%1."/>
      <w:numFmt w:val="decimal"/>
      <w:start w:val="5"/>
    </w:lvl>
  </w:abstractNum>
  <w:abstractNum w:abstractNumId="153">
    <w:nsid w:val="15BCABA8"/>
    <w:multiLevelType w:val="hybridMultilevel"/>
    <w:lvl w:ilvl="0">
      <w:lvlJc w:val="left"/>
      <w:lvlText w:val="%1."/>
      <w:numFmt w:val="decimal"/>
      <w:start w:val="6"/>
    </w:lvl>
  </w:abstractNum>
  <w:abstractNum w:abstractNumId="154">
    <w:nsid w:val="4E0B9A87"/>
    <w:multiLevelType w:val="hybridMultilevel"/>
    <w:lvl w:ilvl="0">
      <w:lvlJc w:val="left"/>
      <w:lvlText w:val="%1."/>
      <w:numFmt w:val="decimal"/>
      <w:start w:val="7"/>
    </w:lvl>
  </w:abstractNum>
  <w:abstractNum w:abstractNumId="155">
    <w:nsid w:val="434BAE75"/>
    <w:multiLevelType w:val="hybridMultilevel"/>
    <w:lvl w:ilvl="0">
      <w:lvlJc w:val="left"/>
      <w:lvlText w:val="%1."/>
      <w:numFmt w:val="decimal"/>
      <w:start w:val="8"/>
    </w:lvl>
  </w:abstractNum>
  <w:abstractNum w:abstractNumId="156">
    <w:nsid w:val="4F38F265"/>
    <w:multiLevelType w:val="hybridMultilevel"/>
    <w:lvl w:ilvl="0">
      <w:lvlJc w:val="left"/>
      <w:lvlText w:val="%1."/>
      <w:numFmt w:val="decimal"/>
      <w:start w:val="9"/>
    </w:lvl>
  </w:abstractNum>
  <w:abstractNum w:abstractNumId="157">
    <w:nsid w:val="4C502870"/>
    <w:multiLevelType w:val="hybridMultilevel"/>
    <w:lvl w:ilvl="0">
      <w:lvlJc w:val="left"/>
      <w:lvlText w:val="&amp;"/>
      <w:numFmt w:val="bullet"/>
      <w:start w:val="1"/>
    </w:lvl>
  </w:abstractNum>
  <w:abstractNum w:abstractNumId="158">
    <w:nsid w:val="1DE8725A"/>
    <w:multiLevelType w:val="hybridMultilevel"/>
    <w:lvl w:ilvl="0">
      <w:lvlJc w:val="left"/>
      <w:lvlText w:val="%1."/>
      <w:numFmt w:val="decimal"/>
      <w:start w:val="1"/>
    </w:lvl>
  </w:abstractNum>
  <w:abstractNum w:abstractNumId="159">
    <w:nsid w:val="6A37288A"/>
    <w:multiLevelType w:val="hybridMultilevel"/>
    <w:lvl w:ilvl="0">
      <w:lvlJc w:val="left"/>
      <w:lvlText w:val="(%1)"/>
      <w:numFmt w:val="upperLetter"/>
      <w:start w:val="2"/>
    </w:lvl>
    <w:lvl w:ilvl="1">
      <w:lvlJc w:val="left"/>
      <w:lvlText w:val="%2."/>
      <w:numFmt w:val="decimal"/>
      <w:start w:val="3"/>
    </w:lvl>
  </w:abstractNum>
  <w:abstractNum w:abstractNumId="160">
    <w:nsid w:val="8F8B73F"/>
    <w:multiLevelType w:val="hybridMultilevel"/>
    <w:lvl w:ilvl="0">
      <w:lvlJc w:val="left"/>
      <w:lvlText w:val="%1."/>
      <w:numFmt w:val="decimal"/>
      <w:start w:val="5"/>
    </w:lvl>
  </w:abstractNum>
  <w:abstractNum w:abstractNumId="161">
    <w:nsid w:val="CA6B462"/>
    <w:multiLevelType w:val="hybridMultilevel"/>
    <w:lvl w:ilvl="0">
      <w:lvlJc w:val="left"/>
      <w:lvlText w:val="%1"/>
      <w:numFmt w:val="lowerLetter"/>
      <w:start w:val="1"/>
    </w:lvl>
    <w:lvl w:ilvl="1">
      <w:lvlJc w:val="left"/>
      <w:lvlText w:val="(%2)"/>
      <w:numFmt w:val="lowerLetter"/>
      <w:start w:val="2"/>
    </w:lvl>
  </w:abstractNum>
  <w:abstractNum w:abstractNumId="162">
    <w:nsid w:val="763CB680"/>
    <w:multiLevelType w:val="hybridMultilevel"/>
    <w:lvl w:ilvl="0">
      <w:lvlJc w:val="left"/>
      <w:lvlText w:val="(%1)"/>
      <w:numFmt w:val="lowerLetter"/>
      <w:start w:val="8"/>
    </w:lvl>
    <w:lvl w:ilvl="1">
      <w:lvlJc w:val="left"/>
      <w:lvlText w:val="%2"/>
      <w:numFmt w:val="lowerLetter"/>
      <w:start w:val="1"/>
    </w:lvl>
  </w:abstractNum>
  <w:abstractNum w:abstractNumId="163">
    <w:nsid w:val="15B71329"/>
    <w:multiLevelType w:val="hybridMultilevel"/>
    <w:lvl w:ilvl="0">
      <w:lvlJc w:val="left"/>
      <w:lvlText w:val="%1"/>
      <w:numFmt w:val="lowerRoman"/>
      <w:start w:val="1"/>
    </w:lvl>
    <w:lvl w:ilvl="1">
      <w:lvlJc w:val="left"/>
      <w:lvlText w:val="%2."/>
      <w:numFmt w:val="decimal"/>
      <w:start w:val="8"/>
    </w:lvl>
  </w:abstractNum>
  <w:abstractNum w:abstractNumId="164">
    <w:nsid w:val="3DA97044"/>
    <w:multiLevelType w:val="hybridMultilevel"/>
    <w:lvl w:ilvl="0">
      <w:lvlJc w:val="left"/>
      <w:lvlText w:val="(%1)"/>
      <w:numFmt w:val="lowerRoman"/>
      <w:start w:val="3"/>
    </w:lvl>
    <w:lvl w:ilvl="1">
      <w:lvlJc w:val="left"/>
      <w:lvlText w:val="%2."/>
      <w:numFmt w:val="decimal"/>
      <w:start w:val="9"/>
    </w:lvl>
  </w:abstractNum>
  <w:abstractNum w:abstractNumId="165">
    <w:nsid w:val="1CDCE2DE"/>
    <w:multiLevelType w:val="hybridMultilevel"/>
    <w:lvl w:ilvl="0">
      <w:lvlJc w:val="left"/>
      <w:lvlText w:val="(%1)"/>
      <w:numFmt w:val="lowerRoman"/>
      <w:start w:val="5"/>
    </w:lvl>
  </w:abstractNum>
  <w:abstractNum w:abstractNumId="166">
    <w:nsid w:val="69D3947C"/>
    <w:multiLevelType w:val="hybridMultilevel"/>
    <w:lvl w:ilvl="0">
      <w:lvlJc w:val="left"/>
      <w:lvlText w:val="%1."/>
      <w:numFmt w:val="decimal"/>
      <w:start w:val="12"/>
    </w:lvl>
  </w:abstractNum>
  <w:abstractNum w:abstractNumId="167">
    <w:nsid w:val="2539DFA5"/>
    <w:multiLevelType w:val="hybridMultilevel"/>
    <w:lvl w:ilvl="0">
      <w:lvlJc w:val="left"/>
      <w:lvlText w:val="%1."/>
      <w:numFmt w:val="decimal"/>
      <w:start w:val="20"/>
    </w:lvl>
  </w:abstractNum>
  <w:abstractNum w:abstractNumId="168">
    <w:nsid w:val="2DB88089"/>
    <w:multiLevelType w:val="hybridMultilevel"/>
    <w:lvl w:ilvl="0">
      <w:lvlJc w:val="left"/>
      <w:lvlText w:val="%1."/>
      <w:numFmt w:val="decimal"/>
      <w:start w:val="1"/>
    </w:lvl>
    <w:lvl w:ilvl="1">
      <w:lvlJc w:val="left"/>
      <w:lvlText w:val="(%2)"/>
      <w:numFmt w:val="lowerLetter"/>
      <w:start w:val="1"/>
    </w:lvl>
  </w:abstractNum>
  <w:abstractNum w:abstractNumId="169">
    <w:nsid w:val="706B674E"/>
    <w:multiLevelType w:val="hybridMultilevel"/>
    <w:lvl w:ilvl="0">
      <w:lvlJc w:val="left"/>
      <w:lvlText w:val="%1"/>
      <w:numFmt w:val="decimal"/>
      <w:start w:val="1"/>
    </w:lvl>
    <w:lvl w:ilvl="1">
      <w:lvlJc w:val="left"/>
      <w:lvlText w:val="(%2)"/>
      <w:numFmt w:val="lowerLetter"/>
      <w:start w:val="3"/>
    </w:lvl>
  </w:abstractNum>
  <w:abstractNum w:abstractNumId="170">
    <w:nsid w:val="2C106A57"/>
    <w:multiLevelType w:val="hybridMultilevel"/>
    <w:lvl w:ilvl="0">
      <w:lvlJc w:val="left"/>
      <w:lvlText w:val="%1."/>
      <w:numFmt w:val="decimal"/>
      <w:start w:val="6"/>
    </w:lvl>
    <w:lvl w:ilvl="1">
      <w:lvlJc w:val="left"/>
      <w:lvlText w:val="(%2)"/>
      <w:numFmt w:val="lowerLetter"/>
      <w:start w:val="1"/>
    </w:lvl>
  </w:abstractNum>
  <w:abstractNum w:abstractNumId="171">
    <w:nsid w:val="684EED59"/>
    <w:multiLevelType w:val="hybridMultilevel"/>
    <w:lvl w:ilvl="0">
      <w:lvlJc w:val="left"/>
      <w:lvlText w:val="(%1)"/>
      <w:numFmt w:val="lowerRoman"/>
      <w:start w:val="1"/>
    </w:lvl>
  </w:abstractNum>
  <w:abstractNum w:abstractNumId="172">
    <w:nsid w:val="545EE5D3"/>
    <w:multiLevelType w:val="hybridMultilevel"/>
    <w:lvl w:ilvl="0">
      <w:lvlJc w:val="left"/>
      <w:lvlText w:val="%1."/>
      <w:numFmt w:val="decimal"/>
      <w:start w:val="10"/>
    </w:lvl>
  </w:abstractNum>
  <w:abstractNum w:abstractNumId="173">
    <w:nsid w:val="4A66051"/>
    <w:multiLevelType w:val="hybridMultilevel"/>
    <w:lvl w:ilvl="0">
      <w:lvlJc w:val="left"/>
      <w:lvlText w:val="%1."/>
      <w:numFmt w:val="decimal"/>
      <w:start w:val="12"/>
    </w:lvl>
  </w:abstractNum>
  <w:abstractNum w:abstractNumId="174">
    <w:nsid w:val="20F4BDAD"/>
    <w:multiLevelType w:val="hybridMultilevel"/>
    <w:lvl w:ilvl="0">
      <w:lvlJc w:val="left"/>
      <w:lvlText w:val="%1."/>
      <w:numFmt w:val="decimal"/>
      <w:start w:val="1"/>
    </w:lvl>
    <w:lvl w:ilvl="1">
      <w:lvlJc w:val="left"/>
      <w:lvlText w:val="(%2)"/>
      <w:numFmt w:val="lowerLetter"/>
      <w:start w:val="1"/>
    </w:lvl>
  </w:abstractNum>
  <w:abstractNum w:abstractNumId="175">
    <w:nsid w:val="639DEFAC"/>
    <w:multiLevelType w:val="hybridMultilevel"/>
    <w:lvl w:ilvl="0">
      <w:lvlJc w:val="left"/>
      <w:lvlText w:val="(%1)"/>
      <w:numFmt w:val="lowerLetter"/>
      <w:start w:val="3"/>
    </w:lvl>
  </w:abstractNum>
  <w:abstractNum w:abstractNumId="176">
    <w:nsid w:val="501F9786"/>
    <w:multiLevelType w:val="hybridMultilevel"/>
    <w:lvl w:ilvl="0">
      <w:lvlJc w:val="left"/>
      <w:lvlText w:val="%1"/>
      <w:numFmt w:val="decimal"/>
      <w:start w:val="1"/>
    </w:lvl>
    <w:lvl w:ilvl="1">
      <w:lvlJc w:val="left"/>
      <w:lvlText w:val="(%2)"/>
      <w:numFmt w:val="lowerLetter"/>
      <w:start w:val="11"/>
    </w:lvl>
  </w:abstractNum>
  <w:abstractNum w:abstractNumId="177">
    <w:nsid w:val="6B057295"/>
    <w:multiLevelType w:val="hybridMultilevel"/>
    <w:lvl w:ilvl="0">
      <w:lvlJc w:val="left"/>
      <w:lvlText w:val="%1."/>
      <w:numFmt w:val="decimal"/>
      <w:start w:val="2"/>
    </w:lvl>
    <w:lvl w:ilvl="1">
      <w:lvlJc w:val="left"/>
      <w:lvlText w:val="(%2)"/>
      <w:numFmt w:val="lowerLetter"/>
      <w:start w:val="1"/>
    </w:lvl>
  </w:abstractNum>
  <w:abstractNum w:abstractNumId="178">
    <w:nsid w:val="2771AC80"/>
    <w:multiLevelType w:val="hybridMultilevel"/>
    <w:lvl w:ilvl="0">
      <w:lvlJc w:val="left"/>
      <w:lvlText w:val="(%1)"/>
      <w:numFmt w:val="lowerLetter"/>
      <w:start w:val="4"/>
    </w:lvl>
  </w:abstractNum>
  <w:abstractNum w:abstractNumId="179">
    <w:nsid w:val="1C4A08EC"/>
    <w:multiLevelType w:val="hybridMultilevel"/>
    <w:lvl w:ilvl="0">
      <w:lvlJc w:val="left"/>
      <w:lvlText w:val="%1"/>
      <w:numFmt w:val="decimal"/>
      <w:start w:val="1"/>
    </w:lvl>
    <w:lvl w:ilvl="1">
      <w:lvlJc w:val="left"/>
      <w:lvlText w:val="(%2)"/>
      <w:numFmt w:val="lowerLetter"/>
      <w:start w:val="7"/>
    </w:lvl>
  </w:abstractNum>
  <w:abstractNum w:abstractNumId="180">
    <w:nsid w:val="1958BD17"/>
    <w:multiLevelType w:val="hybridMultilevel"/>
    <w:lvl w:ilvl="0">
      <w:lvlJc w:val="left"/>
      <w:lvlText w:val="%1."/>
      <w:numFmt w:val="decimal"/>
      <w:start w:val="3"/>
    </w:lvl>
    <w:lvl w:ilvl="1">
      <w:lvlJc w:val="left"/>
      <w:lvlText w:val="(%2)"/>
      <w:numFmt w:val="lowerLetter"/>
      <w:start w:val="1"/>
    </w:lvl>
  </w:abstractNum>
  <w:abstractNum w:abstractNumId="181">
    <w:nsid w:val="4E647FE4"/>
    <w:multiLevelType w:val="hybridMultilevel"/>
    <w:lvl w:ilvl="0">
      <w:lvlJc w:val="left"/>
      <w:lvlText w:val="(%1)"/>
      <w:numFmt w:val="lowerLetter"/>
      <w:start w:val="6"/>
    </w:lvl>
  </w:abstractNum>
  <w:abstractNum w:abstractNumId="182">
    <w:nsid w:val="E0BB885"/>
    <w:multiLevelType w:val="hybridMultilevel"/>
    <w:lvl w:ilvl="0">
      <w:lvlJc w:val="left"/>
      <w:lvlText w:val="%1."/>
      <w:numFmt w:val="decimal"/>
      <w:start w:val="4"/>
    </w:lvl>
    <w:lvl w:ilvl="1">
      <w:lvlJc w:val="left"/>
      <w:lvlText w:val="(%2)"/>
      <w:numFmt w:val="lowerLetter"/>
      <w:start w:val="1"/>
    </w:lvl>
  </w:abstractNum>
  <w:abstractNum w:abstractNumId="183">
    <w:nsid w:val="565976F1"/>
    <w:multiLevelType w:val="hybridMultilevel"/>
    <w:lvl w:ilvl="0">
      <w:lvlJc w:val="left"/>
      <w:lvlText w:val="%1."/>
      <w:numFmt w:val="decimal"/>
      <w:start w:val="6"/>
    </w:lvl>
    <w:lvl w:ilvl="1">
      <w:lvlJc w:val="left"/>
      <w:lvlText w:val="(%2)"/>
      <w:numFmt w:val="lowerLetter"/>
      <w:start w:val="1"/>
    </w:lvl>
  </w:abstractNum>
  <w:abstractNum w:abstractNumId="184">
    <w:nsid w:val="64212B8C"/>
    <w:multiLevelType w:val="hybridMultilevel"/>
    <w:lvl w:ilvl="0">
      <w:lvlJc w:val="left"/>
      <w:lvlText w:val="(%1)"/>
      <w:numFmt w:val="lowerLetter"/>
      <w:start w:val="7"/>
    </w:lvl>
  </w:abstractNum>
  <w:abstractNum w:abstractNumId="185">
    <w:nsid w:val="5C17530C"/>
    <w:multiLevelType w:val="hybridMultilevel"/>
    <w:lvl w:ilvl="0">
      <w:lvlJc w:val="left"/>
      <w:lvlText w:val="(%1)"/>
      <w:numFmt w:val="lowerRoman"/>
      <w:start w:val="2"/>
    </w:lvl>
  </w:abstractNum>
  <w:abstractNum w:abstractNumId="186">
    <w:nsid w:val="19A52566"/>
    <w:multiLevelType w:val="hybridMultilevel"/>
    <w:lvl w:ilvl="0">
      <w:lvlJc w:val="left"/>
      <w:lvlText w:val="(%1)"/>
      <w:numFmt w:val="decimal"/>
      <w:start w:val="1"/>
    </w:lvl>
  </w:abstractNum>
  <w:abstractNum w:abstractNumId="187">
    <w:nsid w:val="335A1DF1"/>
    <w:multiLevelType w:val="hybridMultilevel"/>
    <w:lvl w:ilvl="0">
      <w:lvlJc w:val="left"/>
      <w:lvlText w:val="(%1)"/>
      <w:numFmt w:val="upperLetter"/>
      <w:start w:val="1"/>
    </w:lvl>
  </w:abstractNum>
  <w:abstractNum w:abstractNumId="188">
    <w:nsid w:val="28677B7C"/>
    <w:multiLevelType w:val="hybridMultilevel"/>
    <w:lvl w:ilvl="0">
      <w:lvlJc w:val="left"/>
      <w:lvlText w:val="(%1)"/>
      <w:numFmt w:val="upperLetter"/>
      <w:start w:val="5"/>
    </w:lvl>
  </w:abstractNum>
  <w:abstractNum w:abstractNumId="189">
    <w:nsid w:val="378D97C0"/>
    <w:multiLevelType w:val="hybridMultilevel"/>
    <w:lvl w:ilvl="0">
      <w:lvlJc w:val="left"/>
      <w:lvlText w:val="(%1)"/>
      <w:numFmt w:val="lowerRoman"/>
      <w:start w:val="1"/>
    </w:lvl>
  </w:abstractNum>
  <w:abstractNum w:abstractNumId="190">
    <w:nsid w:val="1D91467C"/>
    <w:multiLevelType w:val="hybridMultilevel"/>
    <w:lvl w:ilvl="0">
      <w:lvlJc w:val="left"/>
      <w:lvlText w:val="(%1)"/>
      <w:numFmt w:val="lowerRoman"/>
      <w:start w:val="3"/>
    </w:lvl>
  </w:abstractNum>
  <w:abstractNum w:abstractNumId="191">
    <w:nsid w:val="316032BB"/>
    <w:multiLevelType w:val="hybridMultilevel"/>
    <w:lvl w:ilvl="0">
      <w:lvlJc w:val="left"/>
      <w:lvlText w:val="%1"/>
      <w:numFmt w:val="upperLetter"/>
      <w:start w:val="1"/>
    </w:lvl>
    <w:lvl w:ilvl="1">
      <w:lvlJc w:val="left"/>
      <w:lvlText w:val="(%2)"/>
      <w:numFmt w:val="lowerLetter"/>
      <w:start w:val="1"/>
    </w:lvl>
  </w:abstractNum>
  <w:abstractNum w:abstractNumId="192">
    <w:nsid w:val="44344C22"/>
    <w:multiLevelType w:val="hybridMultilevel"/>
    <w:lvl w:ilvl="0">
      <w:lvlJc w:val="left"/>
      <w:lvlText w:val="(%1)"/>
      <w:numFmt w:val="upperLetter"/>
      <w:start w:val="2"/>
    </w:lvl>
    <w:lvl w:ilvl="1">
      <w:lvlJc w:val="left"/>
      <w:lvlText w:val="%2"/>
      <w:numFmt w:val="lowerLetter"/>
      <w:start w:val="1"/>
    </w:lvl>
  </w:abstractNum>
  <w:abstractNum w:abstractNumId="193">
    <w:nsid w:val="13CDFCFC"/>
    <w:multiLevelType w:val="hybridMultilevel"/>
    <w:lvl w:ilvl="0">
      <w:lvlJc w:val="left"/>
      <w:lvlText w:val="(%1)"/>
      <w:numFmt w:val="upperLetter"/>
      <w:start w:val="1"/>
    </w:lvl>
    <w:lvl w:ilvl="1">
      <w:lvlJc w:val="left"/>
      <w:lvlText w:val="(%2)"/>
      <w:numFmt w:val="lowerLetter"/>
      <w:start w:val="2"/>
    </w:lvl>
  </w:abstractNum>
  <w:abstractNum w:abstractNumId="194">
    <w:nsid w:val="471745E4"/>
    <w:multiLevelType w:val="hybridMultilevel"/>
    <w:lvl w:ilvl="0">
      <w:lvlJc w:val="left"/>
      <w:lvlText w:val="(%1)"/>
      <w:numFmt w:val="decimal"/>
      <w:start w:val="12"/>
    </w:lvl>
  </w:abstractNum>
  <w:abstractNum w:abstractNumId="195">
    <w:nsid w:val="1DDBC66"/>
    <w:multiLevelType w:val="hybridMultilevel"/>
    <w:lvl w:ilvl="0">
      <w:lvlJc w:val="left"/>
      <w:lvlText w:val="(%1)"/>
      <w:numFmt w:val="upperLetter"/>
      <w:start w:val="1"/>
    </w:lvl>
  </w:abstractNum>
  <w:abstractNum w:abstractNumId="196">
    <w:nsid w:val="30AADFDA"/>
    <w:multiLevelType w:val="hybridMultilevel"/>
    <w:lvl w:ilvl="0">
      <w:lvlJc w:val="left"/>
      <w:lvlText w:val="%1."/>
      <w:numFmt w:val="decimal"/>
      <w:start w:val="1"/>
    </w:lvl>
  </w:abstractNum>
  <w:abstractNum w:abstractNumId="197">
    <w:nsid w:val="30EADA61"/>
    <w:multiLevelType w:val="hybridMultilevel"/>
    <w:lvl w:ilvl="0">
      <w:lvlJc w:val="left"/>
      <w:lvlText w:val="%1."/>
      <w:numFmt w:val="decimal"/>
      <w:start w:val="2"/>
    </w:lvl>
  </w:abstractNum>
  <w:abstractNum w:abstractNumId="198">
    <w:nsid w:val="27179C0B"/>
    <w:multiLevelType w:val="hybridMultilevel"/>
    <w:lvl w:ilvl="0">
      <w:lvlJc w:val="left"/>
      <w:lvlText w:val="(%1)"/>
      <w:numFmt w:val="decimal"/>
      <w:start w:val="3"/>
    </w:lvl>
  </w:abstractNum>
  <w:abstractNum w:abstractNumId="199">
    <w:nsid w:val="5E636063"/>
    <w:multiLevelType w:val="hybridMultilevel"/>
    <w:lvl w:ilvl="0">
      <w:lvlJc w:val="left"/>
      <w:lvlText w:val="(%1)"/>
      <w:numFmt w:val="lowerRoman"/>
      <w:start w:val="1"/>
    </w:lvl>
  </w:abstractNum>
  <w:abstractNum w:abstractNumId="200">
    <w:nsid w:val="215641AF"/>
    <w:multiLevelType w:val="hybridMultilevel"/>
    <w:lvl w:ilvl="0">
      <w:lvlJc w:val="left"/>
      <w:lvlText w:val="%1."/>
      <w:numFmt w:val="decimal"/>
      <w:start w:val="3"/>
    </w:lvl>
  </w:abstractNum>
  <w:abstractNum w:abstractNumId="201">
    <w:nsid w:val="53280662"/>
    <w:multiLevelType w:val="hybridMultilevel"/>
    <w:lvl w:ilvl="0">
      <w:lvlJc w:val="left"/>
      <w:lvlText w:val="%1."/>
      <w:numFmt w:val="decimal"/>
      <w:start w:val="4"/>
    </w:lvl>
  </w:abstractNum>
  <w:abstractNum w:abstractNumId="202">
    <w:nsid w:val="46B24DBC"/>
    <w:multiLevelType w:val="hybridMultilevel"/>
    <w:lvl w:ilvl="0">
      <w:lvlJc w:val="left"/>
      <w:lvlText w:val="%1."/>
      <w:numFmt w:val="decimal"/>
      <w:start w:val="5"/>
    </w:lvl>
  </w:abstractNum>
  <w:abstractNum w:abstractNumId="203">
    <w:nsid w:val="75B52783"/>
    <w:multiLevelType w:val="hybridMultilevel"/>
    <w:lvl w:ilvl="0">
      <w:lvlJc w:val="left"/>
      <w:lvlText w:val="%1."/>
      <w:numFmt w:val="decimal"/>
      <w:start w:val="6"/>
    </w:lvl>
  </w:abstractNum>
  <w:abstractNum w:abstractNumId="204">
    <w:nsid w:val="57CE66B4"/>
    <w:multiLevelType w:val="hybridMultilevel"/>
    <w:lvl w:ilvl="0">
      <w:lvlJc w:val="left"/>
      <w:lvlText w:val="%1."/>
      <w:numFmt w:val="decimal"/>
      <w:start w:val="7"/>
    </w:lvl>
  </w:abstractNum>
  <w:abstractNum w:abstractNumId="205">
    <w:nsid w:val="67A70B69"/>
    <w:multiLevelType w:val="hybridMultilevel"/>
    <w:lvl w:ilvl="0">
      <w:lvlJc w:val="left"/>
      <w:lvlText w:val="%1."/>
      <w:numFmt w:val="decimal"/>
      <w:start w:val="1"/>
    </w:lvl>
  </w:abstractNum>
  <w:abstractNum w:abstractNumId="206">
    <w:nsid w:val="5953172F"/>
    <w:multiLevelType w:val="hybridMultilevel"/>
    <w:lvl w:ilvl="0">
      <w:lvlJc w:val="left"/>
      <w:lvlText w:val="%1."/>
      <w:numFmt w:val="decimal"/>
      <w:start w:val="2"/>
    </w:lvl>
  </w:abstractNum>
  <w:abstractNum w:abstractNumId="207">
    <w:nsid w:val="27EDFE3A"/>
    <w:multiLevelType w:val="hybridMultilevel"/>
    <w:lvl w:ilvl="0">
      <w:lvlJc w:val="left"/>
      <w:lvlText w:val="(%1)"/>
      <w:numFmt w:val="lowerRoman"/>
      <w:start w:val="1"/>
    </w:lvl>
  </w:abstractNum>
  <w:abstractNum w:abstractNumId="208">
    <w:nsid w:val="52AC7DFF"/>
    <w:multiLevelType w:val="hybridMultilevel"/>
    <w:lvl w:ilvl="0">
      <w:lvlJc w:val="left"/>
      <w:lvlText w:val="%1."/>
      <w:numFmt w:val="decimal"/>
      <w:start w:val="3"/>
    </w:lvl>
  </w:abstractNum>
  <w:abstractNum w:abstractNumId="209">
    <w:nsid w:val="C4C3AF"/>
    <w:multiLevelType w:val="hybridMultilevel"/>
    <w:lvl w:ilvl="0">
      <w:lvlJc w:val="left"/>
      <w:lvlText w:val="%1."/>
      <w:numFmt w:val="decimal"/>
      <w:start w:val="4"/>
    </w:lvl>
  </w:abstractNum>
  <w:abstractNum w:abstractNumId="210">
    <w:nsid w:val="44380727"/>
    <w:multiLevelType w:val="hybridMultilevel"/>
    <w:lvl w:ilvl="0">
      <w:lvlJc w:val="left"/>
      <w:lvlText w:val="%1."/>
      <w:numFmt w:val="decimal"/>
      <w:start w:val="5"/>
    </w:lvl>
  </w:abstractNum>
  <w:abstractNum w:abstractNumId="211">
    <w:nsid w:val="6C053B16"/>
    <w:multiLevelType w:val="hybridMultilevel"/>
    <w:lvl w:ilvl="0">
      <w:lvlJc w:val="left"/>
      <w:lvlText w:val="%1."/>
      <w:numFmt w:val="decimal"/>
      <w:start w:val="7"/>
    </w:lvl>
  </w:abstractNum>
  <w:abstractNum w:abstractNumId="212">
    <w:nsid w:val="4F294393"/>
    <w:multiLevelType w:val="hybridMultilevel"/>
    <w:lvl w:ilvl="0">
      <w:lvlJc w:val="left"/>
      <w:lvlText w:val="%1."/>
      <w:numFmt w:val="decimal"/>
      <w:start w:val="8"/>
    </w:lvl>
  </w:abstractNum>
  <w:abstractNum w:abstractNumId="213">
    <w:nsid w:val="5243BFAC"/>
    <w:multiLevelType w:val="hybridMultilevel"/>
    <w:lvl w:ilvl="0">
      <w:lvlJc w:val="left"/>
      <w:lvlText w:val="%1."/>
      <w:numFmt w:val="decimal"/>
      <w:start w:val="9"/>
    </w:lvl>
  </w:abstractNum>
  <w:abstractNum w:abstractNumId="214">
    <w:nsid w:val="425EB207"/>
    <w:multiLevelType w:val="hybridMultilevel"/>
    <w:lvl w:ilvl="0">
      <w:lvlJc w:val="left"/>
      <w:lvlText w:val="%1."/>
      <w:numFmt w:val="decimal"/>
      <w:start w:val="10"/>
    </w:lvl>
  </w:abstractNum>
  <w:abstractNum w:abstractNumId="215">
    <w:nsid w:val="334A6F1F"/>
    <w:multiLevelType w:val="hybridMultilevel"/>
    <w:lvl w:ilvl="0">
      <w:lvlJc w:val="left"/>
      <w:lvlText w:val="%1."/>
      <w:numFmt w:val="decimal"/>
      <w:start w:val="11"/>
    </w:lvl>
  </w:abstractNum>
  <w:abstractNum w:abstractNumId="216">
    <w:nsid w:val="2E5B12B8"/>
    <w:multiLevelType w:val="hybridMultilevel"/>
    <w:lvl w:ilvl="0">
      <w:lvlJc w:val="left"/>
      <w:lvlText w:val="(%1)"/>
      <w:numFmt w:val="decimal"/>
      <w:start w:val="1"/>
    </w:lvl>
    <w:lvl w:ilvl="1">
      <w:lvlJc w:val="left"/>
      <w:lvlText w:val="%2."/>
      <w:numFmt w:val="decimal"/>
      <w:start w:val="12"/>
    </w:lvl>
  </w:abstractNum>
  <w:abstractNum w:abstractNumId="217">
    <w:nsid w:val="5C03D76D"/>
    <w:multiLevelType w:val="hybridMultilevel"/>
    <w:lvl w:ilvl="0">
      <w:lvlJc w:val="left"/>
      <w:lvlText w:val="%1."/>
      <w:numFmt w:val="decimal"/>
      <w:start w:val="13"/>
    </w:lvl>
  </w:abstractNum>
  <w:abstractNum w:abstractNumId="218">
    <w:nsid w:val="66A48D11"/>
    <w:multiLevelType w:val="hybridMultilevel"/>
    <w:lvl w:ilvl="0">
      <w:lvlJc w:val="left"/>
      <w:lvlText w:val="%1."/>
      <w:numFmt w:val="decimal"/>
      <w:start w:val="14"/>
    </w:lvl>
  </w:abstractNum>
  <w:abstractNum w:abstractNumId="219">
    <w:nsid w:val="56C28E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0">
    <w:nsid w:val="13916F2D"/>
    <w:multiLevelType w:val="hybridMultilevel"/>
    <w:lvl w:ilvl="0">
      <w:lvlJc w:val="left"/>
      <w:lvlText w:val="%1"/>
      <w:numFmt w:val="lowerLetter"/>
      <w:start w:val="1"/>
    </w:lvl>
    <w:lvl w:ilvl="1">
      <w:lvlJc w:val="left"/>
      <w:lvlText w:val="(%2)"/>
      <w:numFmt w:val="lowerRoman"/>
      <w:start w:val="4"/>
    </w:lvl>
  </w:abstractNum>
  <w:abstractNum w:abstractNumId="221">
    <w:nsid w:val="435D38D"/>
    <w:multiLevelType w:val="hybridMultilevel"/>
    <w:lvl w:ilvl="0">
      <w:lvlJc w:val="left"/>
      <w:lvlText w:val="(%1)"/>
      <w:numFmt w:val="lowerLetter"/>
      <w:start w:val="4"/>
    </w:lvl>
    <w:lvl w:ilvl="1">
      <w:lvlJc w:val="left"/>
      <w:lvlText w:val="%2"/>
      <w:numFmt w:val="lowerRoman"/>
      <w:start w:val="1"/>
    </w:lvl>
  </w:abstractNum>
  <w:abstractNum w:abstractNumId="222">
    <w:nsid w:val="822C0EF"/>
    <w:multiLevelType w:val="hybridMultilevel"/>
    <w:lvl w:ilvl="0">
      <w:lvlJc w:val="left"/>
      <w:lvlText w:val="%1"/>
      <w:numFmt w:val="decimal"/>
      <w:start w:val="1"/>
    </w:lvl>
    <w:lvl w:ilvl="1">
      <w:lvlJc w:val="left"/>
      <w:lvlText w:val="(%2)"/>
      <w:numFmt w:val="lowerLetter"/>
      <w:start w:val="11"/>
    </w:lvl>
  </w:abstractNum>
  <w:abstractNum w:abstractNumId="223">
    <w:nsid w:val="57C5BB4F"/>
    <w:multiLevelType w:val="hybridMultilevel"/>
    <w:lvl w:ilvl="0">
      <w:lvlJc w:val="left"/>
      <w:lvlText w:val="%1."/>
      <w:numFmt w:val="decimal"/>
      <w:start w:val="3"/>
    </w:lvl>
    <w:lvl w:ilvl="1">
      <w:lvlJc w:val="left"/>
      <w:lvlText w:val="%2"/>
      <w:numFmt w:val="lowerLetter"/>
      <w:start w:val="1"/>
    </w:lvl>
  </w:abstractNum>
  <w:abstractNum w:abstractNumId="224">
    <w:nsid w:val="1803D089"/>
    <w:multiLevelType w:val="hybridMultilevel"/>
    <w:lvl w:ilvl="0">
      <w:lvlJc w:val="left"/>
      <w:lvlText w:val="%1."/>
      <w:numFmt w:val="decimal"/>
      <w:start w:val="5"/>
    </w:lvl>
    <w:lvl w:ilvl="1">
      <w:lvlJc w:val="left"/>
      <w:lvlText w:val="(%2)"/>
      <w:numFmt w:val="lowerLetter"/>
      <w:start w:val="1"/>
    </w:lvl>
  </w:abstractNum>
  <w:abstractNum w:abstractNumId="225">
    <w:nsid w:val="4F3A06D4"/>
    <w:multiLevelType w:val="hybridMultilevel"/>
    <w:lvl w:ilvl="0">
      <w:lvlJc w:val="left"/>
      <w:lvlText w:val="%1."/>
      <w:numFmt w:val="decimal"/>
      <w:start w:val="9"/>
    </w:lvl>
    <w:lvl w:ilvl="1">
      <w:lvlJc w:val="left"/>
      <w:lvlText w:val="(%2)"/>
      <w:numFmt w:val="lowerLetter"/>
      <w:start w:val="1"/>
    </w:lvl>
  </w:abstractNum>
  <w:abstractNum w:abstractNumId="226">
    <w:nsid w:val="59A377B6"/>
    <w:multiLevelType w:val="hybridMultilevel"/>
    <w:lvl w:ilvl="0">
      <w:lvlJc w:val="left"/>
      <w:lvlText w:val="%1"/>
      <w:numFmt w:val="decimal"/>
      <w:start w:val="1"/>
    </w:lvl>
    <w:lvl w:ilvl="1">
      <w:lvlJc w:val="left"/>
      <w:lvlText w:val="(%2)"/>
      <w:numFmt w:val="lowerLetter"/>
      <w:start w:val="2"/>
    </w:lvl>
  </w:abstractNum>
  <w:abstractNum w:abstractNumId="227">
    <w:nsid w:val="48AEB063"/>
    <w:multiLevelType w:val="hybridMultilevel"/>
    <w:lvl w:ilvl="0">
      <w:lvlJc w:val="left"/>
      <w:lvlText w:val="%1."/>
      <w:numFmt w:val="decimal"/>
      <w:start w:val="12"/>
    </w:lvl>
    <w:lvl w:ilvl="1">
      <w:lvlJc w:val="left"/>
      <w:lvlText w:val="(%2)"/>
      <w:numFmt w:val="lowerLetter"/>
      <w:start w:val="1"/>
    </w:lvl>
  </w:abstractNum>
  <w:abstractNum w:abstractNumId="228">
    <w:nsid w:val="24E135"/>
    <w:multiLevelType w:val="hybridMultilevel"/>
    <w:lvl w:ilvl="0">
      <w:lvlJc w:val="left"/>
      <w:lvlText w:val="%1."/>
      <w:numFmt w:val="decimal"/>
      <w:start w:val="13"/>
    </w:lvl>
    <w:lvl w:ilvl="1">
      <w:lvlJc w:val="left"/>
      <w:lvlText w:val="(%2)"/>
      <w:numFmt w:val="lowerLetter"/>
      <w:start w:val="1"/>
    </w:lvl>
  </w:abstractNum>
  <w:abstractNum w:abstractNumId="229">
    <w:nsid w:val="BB13C1"/>
    <w:multiLevelType w:val="hybridMultilevel"/>
    <w:lvl w:ilvl="0">
      <w:lvlJc w:val="left"/>
      <w:lvlText w:val="%1."/>
      <w:numFmt w:val="decimal"/>
      <w:start w:val="14"/>
    </w:lvl>
    <w:lvl w:ilvl="1">
      <w:lvlJc w:val="left"/>
      <w:lvlText w:val="(%2)"/>
      <w:numFmt w:val="lowerLetter"/>
      <w:start w:val="1"/>
    </w:lvl>
  </w:abstractNum>
  <w:abstractNum w:abstractNumId="230">
    <w:nsid w:val="271210C7"/>
    <w:multiLevelType w:val="hybridMultilevel"/>
    <w:lvl w:ilvl="0">
      <w:lvlJc w:val="left"/>
      <w:lvlText w:val="%1."/>
      <w:numFmt w:val="decimal"/>
      <w:start w:val="15"/>
    </w:lvl>
    <w:lvl w:ilvl="1">
      <w:lvlJc w:val="left"/>
      <w:lvlText w:val="(%2)"/>
      <w:numFmt w:val="lowerLetter"/>
      <w:start w:val="1"/>
    </w:lvl>
  </w:abstractNum>
  <w:abstractNum w:abstractNumId="231">
    <w:nsid w:val="217B22E4"/>
    <w:multiLevelType w:val="hybridMultilevel"/>
    <w:lvl w:ilvl="0">
      <w:lvlJc w:val="left"/>
      <w:lvlText w:val="%1"/>
      <w:numFmt w:val="decimal"/>
      <w:start w:val="1"/>
    </w:lvl>
    <w:lvl w:ilvl="1">
      <w:lvlJc w:val="left"/>
      <w:lvlText w:val="(%2)"/>
      <w:numFmt w:val="lowerLetter"/>
      <w:start w:val="5"/>
    </w:lvl>
  </w:abstractNum>
  <w:abstractNum w:abstractNumId="232">
    <w:nsid w:val="53E31A24"/>
    <w:multiLevelType w:val="hybridMultilevel"/>
    <w:lvl w:ilvl="0">
      <w:lvlJc w:val="left"/>
      <w:lvlText w:val="%1."/>
      <w:numFmt w:val="decimal"/>
      <w:start w:val="17"/>
    </w:lvl>
    <w:lvl w:ilvl="1">
      <w:lvlJc w:val="left"/>
      <w:lvlText w:val="(%2)"/>
      <w:numFmt w:val="lowerLetter"/>
      <w:start w:val="1"/>
    </w:lvl>
  </w:abstractNum>
  <w:abstractNum w:abstractNumId="233">
    <w:nsid w:val="6DC45E83"/>
    <w:multiLevelType w:val="hybridMultilevel"/>
    <w:lvl w:ilvl="0">
      <w:lvlJc w:val="left"/>
      <w:lvlText w:val="%1"/>
      <w:numFmt w:val="decimal"/>
      <w:start w:val="1"/>
    </w:lvl>
    <w:lvl w:ilvl="1">
      <w:lvlJc w:val="left"/>
      <w:lvlText w:val="(%2)"/>
      <w:numFmt w:val="lowerLetter"/>
      <w:start w:val="4"/>
    </w:lvl>
  </w:abstractNum>
  <w:abstractNum w:abstractNumId="234">
    <w:nsid w:val="17304A67"/>
    <w:multiLevelType w:val="hybridMultilevel"/>
    <w:lvl w:ilvl="0">
      <w:lvlJc w:val="left"/>
      <w:lvlText w:val="%1."/>
      <w:numFmt w:val="decimal"/>
      <w:start w:val="20"/>
    </w:lvl>
    <w:lvl w:ilvl="1">
      <w:lvlJc w:val="left"/>
      <w:lvlText w:val="(%2)"/>
      <w:numFmt w:val="lowerLetter"/>
      <w:start w:val="1"/>
    </w:lvl>
  </w:abstractNum>
  <w:abstractNum w:abstractNumId="235">
    <w:nsid w:val="2BB180D8"/>
    <w:multiLevelType w:val="hybridMultilevel"/>
    <w:lvl w:ilvl="0">
      <w:lvlJc w:val="left"/>
      <w:lvlText w:val="%1."/>
      <w:numFmt w:val="decimal"/>
      <w:start w:val="22"/>
    </w:lvl>
  </w:abstractNum>
  <w:abstractNum w:abstractNumId="236">
    <w:nsid w:val="556B69ED"/>
    <w:multiLevelType w:val="hybridMultilevel"/>
    <w:lvl w:ilvl="0">
      <w:lvlJc w:val="left"/>
      <w:lvlText w:val="%1."/>
      <w:numFmt w:val="decimal"/>
      <w:start w:val="23"/>
    </w:lvl>
  </w:abstractNum>
  <w:abstractNum w:abstractNumId="237">
    <w:nsid w:val="70836196"/>
    <w:multiLevelType w:val="hybridMultilevel"/>
    <w:lvl w:ilvl="0">
      <w:lvlJc w:val="left"/>
      <w:lvlText w:val="(%1)"/>
      <w:numFmt w:val="lowerRoman"/>
      <w:start w:val="1"/>
    </w:lvl>
  </w:abstractNum>
  <w:abstractNum w:abstractNumId="238">
    <w:nsid w:val="539F7F12"/>
    <w:multiLevelType w:val="hybridMultilevel"/>
    <w:lvl w:ilvl="0">
      <w:lvlJc w:val="left"/>
      <w:lvlText w:val="●"/>
      <w:numFmt w:val="bullet"/>
      <w:start w:val="1"/>
    </w:lvl>
  </w:abstractNum>
  <w:abstractNum w:abstractNumId="239">
    <w:nsid w:val="2817E7EC"/>
    <w:multiLevelType w:val="hybridMultilevel"/>
    <w:lvl w:ilvl="0">
      <w:lvlJc w:val="left"/>
      <w:lvlText w:val="●"/>
      <w:numFmt w:val="bullet"/>
      <w:start w:val="1"/>
    </w:lvl>
  </w:abstractNum>
  <w:abstractNum w:abstractNumId="240">
    <w:nsid w:val="71482545"/>
    <w:multiLevelType w:val="hybridMultilevel"/>
    <w:lvl w:ilvl="0">
      <w:lvlJc w:val="left"/>
      <w:lvlText w:val="●"/>
      <w:numFmt w:val="bullet"/>
      <w:start w:val="1"/>
    </w:lvl>
  </w:abstractNum>
  <w:abstractNum w:abstractNumId="241">
    <w:nsid w:val="17D78639"/>
    <w:multiLevelType w:val="hybridMultilevel"/>
    <w:lvl w:ilvl="0">
      <w:lvlJc w:val="left"/>
      <w:lvlText w:val="●"/>
      <w:numFmt w:val="bullet"/>
      <w:start w:val="1"/>
    </w:lvl>
  </w:abstractNum>
  <w:abstractNum w:abstractNumId="242">
    <w:nsid w:val="141D2302"/>
    <w:multiLevelType w:val="hybridMultilevel"/>
    <w:lvl w:ilvl="0">
      <w:lvlJc w:val="left"/>
      <w:lvlText w:val="%1."/>
      <w:numFmt w:val="upperLetter"/>
      <w:start w:val="9"/>
    </w:lvl>
  </w:abstractNum>
  <w:abstractNum w:abstractNumId="243">
    <w:nsid w:val="407168D8"/>
    <w:multiLevelType w:val="hybridMultilevel"/>
    <w:lvl w:ilvl="0">
      <w:lvlJc w:val="left"/>
      <w:lvlText w:val="(%1)"/>
      <w:numFmt w:val="lowerLetter"/>
      <w:start w:val="1"/>
    </w:lvl>
  </w:abstractNum>
  <w:abstractNum w:abstractNumId="244">
    <w:nsid w:val="6A1B45E5"/>
    <w:multiLevelType w:val="hybridMultilevel"/>
    <w:lvl w:ilvl="0">
      <w:lvlJc w:val="left"/>
      <w:lvlText w:val="%1."/>
      <w:numFmt w:val="upperLetter"/>
      <w:start w:val="35"/>
    </w:lvl>
  </w:abstractNum>
  <w:abstractNum w:abstractNumId="245">
    <w:nsid w:val="567BD50A"/>
    <w:multiLevelType w:val="hybridMultilevel"/>
    <w:lvl w:ilvl="0">
      <w:lvlJc w:val="left"/>
      <w:lvlText w:val="%1."/>
      <w:numFmt w:val="upperLetter"/>
      <w:start w:val="61"/>
    </w:lvl>
  </w:abstractNum>
  <w:abstractNum w:abstractNumId="246">
    <w:nsid w:val="73BBD7F8"/>
    <w:multiLevelType w:val="hybridMultilevel"/>
    <w:lvl w:ilvl="0">
      <w:lvlJc w:val="left"/>
      <w:lvlText w:val="%1."/>
      <w:numFmt w:val="decimal"/>
      <w:start w:val="10"/>
    </w:lvl>
    <w:lvl w:ilvl="1">
      <w:lvlJc w:val="left"/>
      <w:lvlText w:val="(%2)"/>
      <w:numFmt w:val="lowerLetter"/>
      <w:start w:val="1"/>
    </w:lvl>
  </w:abstractNum>
  <w:abstractNum w:abstractNumId="247">
    <w:nsid w:val="1876589D"/>
    <w:multiLevelType w:val="hybridMultilevel"/>
    <w:lvl w:ilvl="0">
      <w:lvlJc w:val="left"/>
      <w:lvlText w:val="%1."/>
      <w:numFmt w:val="decimal"/>
      <w:start w:val="13"/>
    </w:lvl>
  </w:abstractNum>
  <w:abstractNum w:abstractNumId="248">
    <w:nsid w:val="327FAC77"/>
    <w:multiLevelType w:val="hybridMultilevel"/>
    <w:lvl w:ilvl="0">
      <w:lvlJc w:val="left"/>
      <w:lvlText w:val="%1."/>
      <w:numFmt w:val="decimal"/>
      <w:start w:val="19"/>
    </w:lvl>
  </w:abstractNum>
  <w:abstractNum w:abstractNumId="249">
    <w:nsid w:val="5A606509"/>
    <w:multiLevelType w:val="hybridMultilevel"/>
    <w:lvl w:ilvl="0">
      <w:lvlJc w:val="left"/>
      <w:lvlText w:val="%1."/>
      <w:numFmt w:val="decimal"/>
      <w:start w:val="25"/>
    </w:lvl>
  </w:abstractNum>
  <w:abstractNum w:abstractNumId="250">
    <w:nsid w:val="6F38E6D1"/>
    <w:multiLevelType w:val="hybridMultilevel"/>
    <w:lvl w:ilvl="0">
      <w:lvlJc w:val="left"/>
      <w:lvlText w:val="%1."/>
      <w:numFmt w:val="decimal"/>
      <w:start w:val="26"/>
    </w:lvl>
  </w:abstractNum>
  <w:abstractNum w:abstractNumId="251">
    <w:nsid w:val="46111BA5"/>
    <w:multiLevelType w:val="hybridMultilevel"/>
    <w:lvl w:ilvl="0">
      <w:lvlJc w:val="left"/>
      <w:lvlText w:val="%1."/>
      <w:numFmt w:val="decimal"/>
      <w:start w:val="31"/>
    </w:lvl>
  </w:abstractNum>
  <w:abstractNum w:abstractNumId="252">
    <w:nsid w:val="5E963896"/>
    <w:multiLevelType w:val="hybridMultilevel"/>
    <w:lvl w:ilvl="0">
      <w:lvlJc w:val="left"/>
      <w:lvlText w:val="%1."/>
      <w:numFmt w:val="upperLetter"/>
      <w:start w:val="22"/>
    </w:lvl>
  </w:abstractNum>
  <w:abstractNum w:abstractNumId="253">
    <w:nsid w:val="775BA7C1"/>
    <w:multiLevelType w:val="hybridMultilevel"/>
    <w:lvl w:ilvl="0">
      <w:lvlJc w:val="left"/>
      <w:lvlText w:val="%1."/>
      <w:numFmt w:val="decimal"/>
      <w:start w:val="1"/>
    </w:lvl>
    <w:lvl w:ilvl="1">
      <w:lvlJc w:val="left"/>
      <w:lvlText w:val="(%2)"/>
      <w:numFmt w:val="lowerLetter"/>
      <w:start w:val="1"/>
    </w:lvl>
  </w:abstractNum>
  <w:abstractNum w:abstractNumId="254">
    <w:nsid w:val="1DD6D6F4"/>
    <w:multiLevelType w:val="hybridMultilevel"/>
    <w:lvl w:ilvl="0">
      <w:lvlJc w:val="left"/>
      <w:lvlText w:val="%1."/>
      <w:numFmt w:val="decimal"/>
      <w:start w:val="6"/>
    </w:lvl>
  </w:abstractNum>
  <w:abstractNum w:abstractNumId="255">
    <w:nsid w:val="769A091F"/>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2021-11-19T15:56:46Z</dcterms:created>
  <dcterms:modified xsi:type="dcterms:W3CDTF">2021-11-19T15:56:46Z</dcterms:modified>
</cp:coreProperties>
</file>