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17,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2"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3674</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206El Dorado Hills, CA 95762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Harminder Sehmi</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El Dorado Hills, CA 95762</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6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Ryan J. Maierson</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Ryan J. Lynch</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811 Main Street, Suite 3700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67" w:lineRule="exact"/>
        <w:rPr>
          <w:sz w:val="24"/>
          <w:szCs w:val="24"/>
          <w:color w:val="auto"/>
        </w:rPr>
      </w:pPr>
    </w:p>
    <w:p>
      <w:pPr>
        <w:ind w:left="120" w:right="6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8" w:lineRule="exact"/>
        <w:rPr>
          <w:sz w:val="24"/>
          <w:szCs w:val="24"/>
          <w:color w:val="auto"/>
        </w:rPr>
      </w:pPr>
    </w:p>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 w:lineRule="exact"/>
        <w:rPr>
          <w:sz w:val="24"/>
          <w:szCs w:val="24"/>
          <w:color w:val="auto"/>
        </w:rPr>
      </w:pPr>
    </w:p>
    <w:p>
      <w:pPr>
        <w:ind w:left="120" w:right="2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 w:lineRule="exact"/>
        <w:rPr>
          <w:sz w:val="24"/>
          <w:szCs w:val="24"/>
          <w:color w:val="auto"/>
        </w:rPr>
      </w:pPr>
    </w:p>
    <w:p>
      <w:pPr>
        <w:ind w:left="120" w:right="2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 w:lineRule="exact"/>
        <w:rPr>
          <w:sz w:val="24"/>
          <w:szCs w:val="24"/>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 w:lineRule="exact"/>
        <w:rPr>
          <w:sz w:val="24"/>
          <w:szCs w:val="24"/>
          <w:color w:val="auto"/>
        </w:rPr>
      </w:pPr>
    </w:p>
    <w:p>
      <w:pPr>
        <w:ind w:left="120" w:right="24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102870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7" w:lineRule="exact"/>
        <w:rPr>
          <w:sz w:val="24"/>
          <w:szCs w:val="24"/>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260"/>
          </w:cols>
          <w:pgMar w:left="320" w:top="48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372" w:type="dxa"/>
        <w:tblCellMar>
          <w:top w:w="0" w:type="dxa"/>
          <w:left w:w="0" w:type="dxa"/>
          <w:bottom w:w="0" w:type="dxa"/>
          <w:right w:w="0" w:type="dxa"/>
        </w:tblCellMar>
      </w:tblPr>
      <w:tr>
        <w:trPr>
          <w:trHeight w:val="520"/>
        </w:trPr>
        <w:tc>
          <w:tcPr>
            <w:tcW w:w="126" w:type="dxa"/>
            <w:vAlign w:val="bottom"/>
            <w:textDirection w:val="btLr"/>
          </w:tcPr>
          <w:p>
            <w:pPr>
              <w:spacing w:after="0"/>
              <w:rPr>
                <w:sz w:val="20"/>
                <w:szCs w:val="20"/>
                <w:color w:val="auto"/>
              </w:rPr>
            </w:pPr>
            <w:r>
              <w:rPr>
                <w:rFonts w:ascii="Arial" w:cs="Arial" w:eastAsia="Arial" w:hAnsi="Arial"/>
                <w:sz w:val="11"/>
                <w:szCs w:val="11"/>
                <w:b w:val="1"/>
                <w:bCs w:val="1"/>
                <w:color w:val="FF4338"/>
              </w:rPr>
              <w:t>securities</w:t>
            </w:r>
          </w:p>
        </w:tc>
      </w:tr>
    </w:tbl>
    <w:p>
      <w:pPr>
        <w:spacing w:after="0" w:line="1" w:lineRule="exact"/>
        <w:rPr>
          <w:sz w:val="20"/>
          <w:szCs w:val="20"/>
          <w:color w:val="auto"/>
        </w:rPr>
      </w:pPr>
    </w:p>
    <w:tbl>
      <w:tblPr>
        <w:tblLayout w:type="fixed"/>
        <w:tblInd w:w="52" w:type="dxa"/>
        <w:tblCellMar>
          <w:top w:w="0" w:type="dxa"/>
          <w:left w:w="0" w:type="dxa"/>
          <w:bottom w:w="0" w:type="dxa"/>
          <w:right w:w="0" w:type="dxa"/>
        </w:tblCellMar>
      </w:tblPr>
      <w:tr>
        <w:trPr>
          <w:trHeight w:val="10880"/>
        </w:trPr>
        <w:tc>
          <w:tcPr>
            <w:tcW w:w="649" w:type="dxa"/>
            <w:vAlign w:val="bottom"/>
            <w:textDirection w:val="btLr"/>
          </w:tcPr>
          <w:p>
            <w:pPr>
              <w:spacing w:after="0" w:line="251" w:lineRule="auto"/>
              <w:rPr>
                <w:sz w:val="20"/>
                <w:szCs w:val="20"/>
                <w:color w:val="auto"/>
              </w:rPr>
            </w:pPr>
            <w:r>
              <w:rPr>
                <w:rFonts w:ascii="Arial" w:cs="Arial" w:eastAsia="Arial" w:hAnsi="Arial"/>
                <w:sz w:val="18"/>
                <w:szCs w:val="18"/>
                <w:b w:val="1"/>
                <w:bCs w:val="1"/>
                <w:color w:val="FF4338"/>
              </w:rPr>
              <w:t>and it is not soliciting an offer to buy these securities in any state where the offer or sale is not permitted. statement filed with the U.S. Securities and Exchange Commission is effective. This prospectus is not an offer to sell these The information in this prospectus is not complete and may be changed. These securities may not be sold until the registration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FF4338"/>
        </w:rPr>
        <w:t>Subject to Completion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FF4338"/>
        </w:rPr>
        <w:t>Preliminary Prospectus dated July 17,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20,326,158 Shares of Common Stock by the Selling Stockholder</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769,231 Shares of Common Stock by Cantor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135890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This prospectus relates to the offer and sale of up to 20,326,158 shares of our Common Stock, par value $0.0001 per share (“the Common Stock”), by B. Riley Principal Capital II, LLC, whom we refer to in this prospectus as “B. Riley Principal Capital II” or the “Selling Stockholder.”</w:t>
      </w:r>
    </w:p>
    <w:p>
      <w:pPr>
        <w:spacing w:after="0" w:line="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The shares of Common Stock to which this prospectus relates have been or may be issued by us to B. Riley Principal Capital II pursuant to a common stock purchase agreement, dated as of July 14, 2025, we entered into with B. Riley Principal Capital II, which we refer to in this prospectus as the Purchase Agreement. Such shares of Common Stock include up to 20,326,158 shares of Common Stock, consisting of (i) up to 20,242,805 shares of Common Stock (the “Purchase Shares”) that we may, in our sole discretion, elect to sell to B. Riley Principal Capital II, from time to time over a period of up to 36 months from and after the Commencement Date (defined below) pursuant to the Purchase Agreement and (ii) 83,353 shares of Common Stock (the “Commitment Shares” and, together with the Purchase Shares, “BRPC Shares”) we issued to B. Riley Principal Capital II, together with our cash payment of $200,000 to B. Riley Principal Capital II, upon our execution of the Purchase Agreement on July 14, 2025, as consideration for its commitment to purchase shares of our Common Stock that we may, in our sole discretion, direct B. Riley Principal Capital II to purchase from us pursuant to the Purchase Agreement. We are not selling any securities under this prospectus and will not receive any of the proceeds from the sale of our Common Stock by the Selling Stockholder. However, we may receive up to $50,000,000 aggregate gross proceeds under the Purchase Agreement from sales of Common Stock we may elect to make to B. Riley Principal Capital II pursuant to the Purchase Agreement after the date of this prospectus. See “</w:t>
      </w:r>
      <w:r>
        <w:rPr>
          <w:rFonts w:ascii="Times New Roman" w:cs="Times New Roman" w:eastAsia="Times New Roman" w:hAnsi="Times New Roman"/>
          <w:sz w:val="16"/>
          <w:szCs w:val="16"/>
          <w:i w:val="1"/>
          <w:iCs w:val="1"/>
          <w:color w:val="auto"/>
        </w:rPr>
        <w:t>The Committed Equity Facility</w:t>
      </w:r>
      <w:r>
        <w:rPr>
          <w:rFonts w:ascii="Times New Roman" w:cs="Times New Roman" w:eastAsia="Times New Roman" w:hAnsi="Times New Roman"/>
          <w:sz w:val="16"/>
          <w:szCs w:val="16"/>
          <w:color w:val="auto"/>
        </w:rPr>
        <w:t>” for a description of the Purchase Agreement and “</w:t>
      </w:r>
      <w:r>
        <w:rPr>
          <w:rFonts w:ascii="Times New Roman" w:cs="Times New Roman" w:eastAsia="Times New Roman" w:hAnsi="Times New Roman"/>
          <w:sz w:val="16"/>
          <w:szCs w:val="16"/>
          <w:i w:val="1"/>
          <w:iCs w:val="1"/>
          <w:color w:val="auto"/>
        </w:rPr>
        <w:t>Selling Securityholders – Selling Stockholder</w:t>
      </w:r>
      <w:r>
        <w:rPr>
          <w:rFonts w:ascii="Times New Roman" w:cs="Times New Roman" w:eastAsia="Times New Roman" w:hAnsi="Times New Roman"/>
          <w:sz w:val="16"/>
          <w:szCs w:val="16"/>
          <w:color w:val="auto"/>
        </w:rPr>
        <w:t>” for additional information regarding B. Riley Principal Capital II.</w:t>
      </w:r>
    </w:p>
    <w:p>
      <w:pPr>
        <w:spacing w:after="0" w:line="3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B. Riley Principal Capital II may sell or otherwise dispose of BRPC Shares described in this prospectus in a number of different ways and at varying prices. See “</w:t>
      </w:r>
      <w:r>
        <w:rPr>
          <w:rFonts w:ascii="Times New Roman" w:cs="Times New Roman" w:eastAsia="Times New Roman" w:hAnsi="Times New Roman"/>
          <w:sz w:val="16"/>
          <w:szCs w:val="16"/>
          <w:i w:val="1"/>
          <w:iCs w:val="1"/>
          <w:color w:val="auto"/>
        </w:rPr>
        <w:t>Plan of Distribution (Conflict of Interest) – Offer and Resale of Common Stock by the Selling Stockholder</w:t>
      </w:r>
      <w:r>
        <w:rPr>
          <w:rFonts w:ascii="Times New Roman" w:cs="Times New Roman" w:eastAsia="Times New Roman" w:hAnsi="Times New Roman"/>
          <w:sz w:val="16"/>
          <w:szCs w:val="16"/>
          <w:color w:val="auto"/>
        </w:rPr>
        <w:t>” for more information about how B. Riley Principal Capital II may sell or otherwise dispose of BRPC Shares pursuant to this prospectus. B. Riley Principal Capital II is an “underwriter” within the meaning of Section 2(a)(11) of the Securities Act of 1933, as amended, or the Securities Act.</w:t>
      </w:r>
    </w:p>
    <w:p>
      <w:pPr>
        <w:spacing w:after="0" w:line="21"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6"/>
          <w:szCs w:val="16"/>
          <w:color w:val="auto"/>
        </w:rPr>
        <w:t>This prospectus also relates in part to the offer and sale of up to 769,231 shares of our Common Stock by Cantor Fitzgerald &amp; Co. (“Cantor Fitzgerald”) (including its donees, pledgees, transferees and other successors-in-interest). References herein to the “Selling Securityholders” are to B. Riley Principal Capital II and Cantor Fitzgerald, collectively.</w:t>
      </w:r>
    </w:p>
    <w:p>
      <w:pPr>
        <w:spacing w:after="0" w:line="15"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On April 11, 2025, we entered into an Engagement Letter with Cantor Fitzgerald (the “Engagement Letter”), pursuant to which, among other things, we agreed to issue 769,231 shares of our Common Stock in consideration of Cantor Fitzgerald entering into the Engagement Letter.</w:t>
      </w:r>
    </w:p>
    <w:p>
      <w:pPr>
        <w:spacing w:after="0" w:line="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will not receive any of the proceeds from the sale of our Common Stock by Cantor Fitzgerald. See “</w:t>
      </w:r>
      <w:r>
        <w:rPr>
          <w:rFonts w:ascii="Times New Roman" w:cs="Times New Roman" w:eastAsia="Times New Roman" w:hAnsi="Times New Roman"/>
          <w:sz w:val="16"/>
          <w:szCs w:val="16"/>
          <w:i w:val="1"/>
          <w:iCs w:val="1"/>
          <w:color w:val="auto"/>
        </w:rPr>
        <w:t>Selling Securityholders – Cantor Fitzgerald</w:t>
      </w:r>
      <w:r>
        <w:rPr>
          <w:rFonts w:ascii="Times New Roman" w:cs="Times New Roman" w:eastAsia="Times New Roman" w:hAnsi="Times New Roman"/>
          <w:sz w:val="16"/>
          <w:szCs w:val="16"/>
          <w:color w:val="auto"/>
        </w:rPr>
        <w:t>” for additional information regarding Cantor Fitzgerald.</w:t>
      </w:r>
    </w:p>
    <w:p>
      <w:pPr>
        <w:spacing w:after="0" w:line="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Cantor Fitzgerald may sell or otherwise dispose of the Common Stock described in this prospectus in a number of different ways and at varying prices. See “</w:t>
      </w:r>
      <w:r>
        <w:rPr>
          <w:rFonts w:ascii="Times New Roman" w:cs="Times New Roman" w:eastAsia="Times New Roman" w:hAnsi="Times New Roman"/>
          <w:sz w:val="16"/>
          <w:szCs w:val="16"/>
          <w:i w:val="1"/>
          <w:iCs w:val="1"/>
          <w:color w:val="auto"/>
        </w:rPr>
        <w:t>Plan of Distribution (Conflict of Interest) – Offer and Resale of Common Stock by Cantor Fitzgerald</w:t>
      </w:r>
      <w:r>
        <w:rPr>
          <w:rFonts w:ascii="Times New Roman" w:cs="Times New Roman" w:eastAsia="Times New Roman" w:hAnsi="Times New Roman"/>
          <w:sz w:val="16"/>
          <w:szCs w:val="16"/>
          <w:color w:val="auto"/>
        </w:rPr>
        <w:t>” for more information about how Cantor Fitzgerald may sell or otherwise dispose of the shares of Common Stock acquired pursuant to the Engagement Letter.</w:t>
      </w:r>
    </w:p>
    <w:p>
      <w:pPr>
        <w:spacing w:after="0" w:line="2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For the avoidance of doubt, B. Riley Principal Capital II is not involved in the offer and sale of the Common Stock by Cantor Fitzgerald, and is not an “underwriter” within the meaning of Section 2(a)(11) of the Securities Act with respect to such offering.</w:t>
      </w:r>
    </w:p>
    <w:p>
      <w:pPr>
        <w:spacing w:after="0" w:line="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We will pay the expenses incurred in registering under the Securities Act the offer and sale of the shares of Common Stock to which this prospectus relates by the Selling Securityholders, including legal and accounting fees. See “</w:t>
      </w:r>
      <w:r>
        <w:rPr>
          <w:rFonts w:ascii="Times New Roman" w:cs="Times New Roman" w:eastAsia="Times New Roman" w:hAnsi="Times New Roman"/>
          <w:sz w:val="16"/>
          <w:szCs w:val="16"/>
          <w:i w:val="1"/>
          <w:iCs w:val="1"/>
          <w:color w:val="auto"/>
        </w:rPr>
        <w:t>Plan of Distribution (Conflict of Interest) – Offer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Resale of Common Stock by the Selling Stockholder</w:t>
      </w:r>
      <w:r>
        <w:rPr>
          <w:rFonts w:ascii="Times New Roman" w:cs="Times New Roman" w:eastAsia="Times New Roman" w:hAnsi="Times New Roman"/>
          <w:sz w:val="16"/>
          <w:szCs w:val="16"/>
          <w:color w:val="auto"/>
        </w:rPr>
        <w:t>” beginning on page 132.</w:t>
      </w:r>
    </w:p>
    <w:p>
      <w:pPr>
        <w:spacing w:after="0" w:line="1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Market (“Nasdaq”) under the symbol “BZAI.” On July 14, 2025, the closing price of our Common Stock was $2.91 per share.</w:t>
      </w:r>
    </w:p>
    <w:p>
      <w:pPr>
        <w:spacing w:after="0" w:line="2"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under the federal securities laws and will be subject to reduced disclosure and public reporting requirements. See “</w:t>
      </w:r>
      <w:r>
        <w:rPr>
          <w:rFonts w:ascii="Times New Roman" w:cs="Times New Roman" w:eastAsia="Times New Roman" w:hAnsi="Times New Roman"/>
          <w:sz w:val="16"/>
          <w:szCs w:val="16"/>
          <w:i w:val="1"/>
          <w:iCs w:val="1"/>
          <w:color w:val="auto"/>
        </w:rPr>
        <w:t>Prospectus Summary – Implications of Being an Emerging Growth Company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86995</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2"/>
          <w:szCs w:val="22"/>
          <w:b w:val="1"/>
          <w:bCs w:val="1"/>
          <w:color w:val="auto"/>
        </w:rPr>
        <w:t>Our business and investment in our securities involve significant risks. These risks are described in the section titled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12 of this prospectus.</w:t>
      </w:r>
    </w:p>
    <w:p>
      <w:pPr>
        <w:spacing w:after="0" w:line="5"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Neither the U.S.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95885</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1" w:space="279"/>
            <w:col w:w="9280"/>
          </w:cols>
          <w:pgMar w:left="320" w:top="482" w:right="1319" w:bottom="1440" w:gutter="0" w:footer="0" w:header="0"/>
          <w:type w:val="continuous"/>
        </w:sectPr>
      </w:pPr>
    </w:p>
    <w:p>
      <w:pPr>
        <w:spacing w:after="0" w:line="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The date of this prospectus is July 17, 2025</w:t>
      </w:r>
    </w:p>
    <w:p>
      <w:pPr>
        <w:sectPr>
          <w:pgSz w:w="11900" w:h="16838" w:orient="portrait"/>
          <w:cols w:equalWidth="0" w:num="1">
            <w:col w:w="10260"/>
          </w:cols>
          <w:pgMar w:left="320" w:top="482" w:right="1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76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1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98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80" w:type="dxa"/>
            <w:vAlign w:val="bottom"/>
            <w:gridSpan w:val="19"/>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THE COMMITTED EQUITY FACILITY</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6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1440" w:type="dxa"/>
            <w:vAlign w:val="bottom"/>
            <w:tcBorders>
              <w:top w:val="single" w:sz="8" w:color="0000EE"/>
            </w:tcBorders>
            <w:gridSpan w:val="8"/>
          </w:tcPr>
          <w:p>
            <w:pPr>
              <w:spacing w:after="0"/>
              <w:rPr>
                <w:sz w:val="17"/>
                <w:szCs w:val="17"/>
                <w:color w:val="auto"/>
              </w:rPr>
            </w:pPr>
          </w:p>
        </w:tc>
        <w:tc>
          <w:tcPr>
            <w:tcW w:w="6720" w:type="dxa"/>
            <w:vAlign w:val="bottom"/>
            <w:gridSpan w:val="1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32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6540" w:type="dxa"/>
            <w:vAlign w:val="bottom"/>
            <w:gridSpan w:val="11"/>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180" w:type="dxa"/>
            <w:vAlign w:val="bottom"/>
            <w:gridSpan w:val="2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MARKET INFORMATION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890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60" w:type="dxa"/>
            <w:vAlign w:val="bottom"/>
            <w:gridSpan w:val="24"/>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BLAIZE’S EXECUTIVE COMPENSATION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31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BLAIZE’S DIRECTOR COMPENSATION</w:t>
            </w:r>
          </w:p>
        </w:tc>
        <w:tc>
          <w:tcPr>
            <w:tcW w:w="100" w:type="dxa"/>
            <w:vAlign w:val="bottom"/>
            <w:tcBorders>
              <w:top w:val="single" w:sz="8" w:color="0000EE"/>
            </w:tcBorders>
            <w:gridSpan w:val="2"/>
          </w:tcPr>
          <w:p>
            <w:pPr>
              <w:spacing w:after="0"/>
              <w:rPr>
                <w:sz w:val="17"/>
                <w:szCs w:val="17"/>
                <w:color w:val="auto"/>
              </w:rPr>
            </w:pPr>
          </w:p>
        </w:tc>
        <w:tc>
          <w:tcPr>
            <w:tcW w:w="6480" w:type="dxa"/>
            <w:vAlign w:val="bottom"/>
            <w:gridSpan w:val="10"/>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23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3080" w:type="dxa"/>
            <w:vAlign w:val="bottom"/>
            <w:tcBorders>
              <w:top w:val="single" w:sz="8" w:color="0000EE"/>
            </w:tcBorders>
            <w:gridSpan w:val="12"/>
          </w:tcPr>
          <w:p>
            <w:pPr>
              <w:spacing w:after="0"/>
              <w:rPr>
                <w:sz w:val="17"/>
                <w:szCs w:val="17"/>
                <w:color w:val="auto"/>
              </w:rPr>
            </w:pPr>
          </w:p>
        </w:tc>
        <w:tc>
          <w:tcPr>
            <w:tcW w:w="4300" w:type="dxa"/>
            <w:vAlign w:val="bottom"/>
            <w:gridSpan w:val="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7260" w:type="dxa"/>
            <w:vAlign w:val="bottom"/>
            <w:gridSpan w:val="16"/>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426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 (CONFLICT OF INTEREST)</w:t>
            </w:r>
          </w:p>
        </w:tc>
        <w:tc>
          <w:tcPr>
            <w:tcW w:w="1260" w:type="dxa"/>
            <w:vAlign w:val="bottom"/>
            <w:tcBorders>
              <w:top w:val="single" w:sz="8" w:color="0000EE"/>
            </w:tcBorders>
            <w:gridSpan w:val="3"/>
          </w:tcPr>
          <w:p>
            <w:pPr>
              <w:spacing w:after="0"/>
              <w:rPr>
                <w:sz w:val="17"/>
                <w:szCs w:val="17"/>
                <w:color w:val="auto"/>
              </w:rPr>
            </w:pPr>
          </w:p>
        </w:tc>
        <w:tc>
          <w:tcPr>
            <w:tcW w:w="4240" w:type="dxa"/>
            <w:vAlign w:val="bottom"/>
            <w:gridSpan w:val="4"/>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00" w:type="dxa"/>
            <w:vAlign w:val="bottom"/>
            <w:gridSpan w:val="2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1960" w:type="dxa"/>
            <w:vAlign w:val="bottom"/>
            <w:gridSpan w:val="1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396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F-38</w:t>
            </w: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INFORMATION NOT REQUIRED IN PROSPECTUS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II-1</w:t>
            </w:r>
          </w:p>
        </w:tc>
      </w:tr>
      <w:tr>
        <w:trPr>
          <w:trHeight w:val="196"/>
        </w:trPr>
        <w:tc>
          <w:tcPr>
            <w:tcW w:w="1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2900" w:type="dxa"/>
            <w:vAlign w:val="bottom"/>
            <w:tcBorders>
              <w:top w:val="single" w:sz="8" w:color="0000EE"/>
            </w:tcBorders>
            <w:gridSpan w:val="18"/>
          </w:tcPr>
          <w:p>
            <w:pPr>
              <w:spacing w:after="0"/>
              <w:rPr>
                <w:sz w:val="17"/>
                <w:szCs w:val="17"/>
                <w:color w:val="auto"/>
              </w:rPr>
            </w:pPr>
          </w:p>
        </w:tc>
        <w:tc>
          <w:tcPr>
            <w:tcW w:w="576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r>
      <w:tr>
        <w:trPr>
          <w:trHeight w:val="196"/>
        </w:trPr>
        <w:tc>
          <w:tcPr>
            <w:tcW w:w="9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BLAIZE HOLDINGS, INC.</w:t>
            </w:r>
          </w:p>
        </w:tc>
        <w:tc>
          <w:tcPr>
            <w:tcW w:w="120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any amendment or supplement to this prospectus. This prospectus is an offer to sell only the securities offered hereby, but only under the circumstances and in jurisdictions where it is lawful to do so. Neither we nor the Selling Securityholders have authorized anyone to provide you with information different from that contained in this prospectus or any amendment or supplement to this prospectus. Neither we nor the Selling Securityholders take any responsibility for, or can provide any assurance as to the reliability of, any information other than the information in this prospectus or any amendment or supplement to this prospectus. The information in this prospectus or any amendment or supplement to this prospectus is accurate only as of its date, regardless of the time of delivery of this prospectus or any amendment or supplement to this prospectus, as applicable, or any sale of the securities offered by this prospectus. Our business, financial condition, results of operations and prospects may have changed since that date.</w:t>
      </w:r>
    </w:p>
    <w:p>
      <w:pPr>
        <w:spacing w:after="0" w:line="19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The Selling Securityholders are offering to sell, and seeking offers to buy, the 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By using a shelf registration statement, the Selling Stockholders may, from time to time, sell the securities offered by it described in this prospectus through any means described in the section titled “</w:t>
      </w:r>
      <w:r>
        <w:rPr>
          <w:rFonts w:ascii="Times New Roman" w:cs="Times New Roman" w:eastAsia="Times New Roman" w:hAnsi="Times New Roman"/>
          <w:sz w:val="18"/>
          <w:szCs w:val="18"/>
          <w:i w:val="1"/>
          <w:iCs w:val="1"/>
          <w:color w:val="auto"/>
        </w:rPr>
        <w:t>Plan of Distribution (Conflict of Interest</w:t>
      </w:r>
      <w:r>
        <w:rPr>
          <w:rFonts w:ascii="Times New Roman" w:cs="Times New Roman" w:eastAsia="Times New Roman" w:hAnsi="Times New Roman"/>
          <w:sz w:val="18"/>
          <w:szCs w:val="18"/>
          <w:color w:val="auto"/>
        </w:rPr>
        <w:t>).” We will not receive any proceeds from the sale by the Selling Stockholder of the securities offered by them described in this prospectus. However, we may receive up to $50,000,000 in aggregate gross proceeds from the Selling Stockholder under the Purchase Agreement in connection with sales of our shares of Common Stock to the Selling Stockholder pursuant to the Purchase Agreement after the date of this prospectus. We will not receive any proceeds from the sale by Cantor Fitzgerald of the securities offered by them described in this prospectus.</w:t>
      </w:r>
    </w:p>
    <w:p>
      <w:pPr>
        <w:spacing w:after="0" w:line="18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Any statement so modified will be deemed to constitute a part of this prospectus only as so modified, and any statement so superseded will be deemed not to constitute a part of this prospectus. Before purchasing any securities, you should carefully read this prospectus, any post-effective amendment,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320"/>
        <w:spacing w:after="0" w:line="282" w:lineRule="auto"/>
        <w:rPr>
          <w:sz w:val="20"/>
          <w:szCs w:val="20"/>
          <w:color w:val="auto"/>
        </w:rPr>
      </w:pPr>
      <w:r>
        <w:rPr>
          <w:rFonts w:ascii="Times New Roman" w:cs="Times New Roman" w:eastAsia="Times New Roman" w:hAnsi="Times New Roman"/>
          <w:sz w:val="18"/>
          <w:szCs w:val="18"/>
          <w:color w:val="auto"/>
        </w:rPr>
        <w:t>We own or have rights to trademarks, trade names and service marks that we use in connection with the operation of our business (including, but not limited to, our Blaize technology and units). Our name, logos and website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8"/>
          <w:szCs w:val="18"/>
          <w:color w:val="auto"/>
        </w:rPr>
        <w:t>name and address are our trademarks or service marks. Solely for convenience, in some cases, the trademarks, trade names and service marks referred to in this prospectus are listed without the applicable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we will assert, to the fullest extent under applicable law, our rights to these trademarks, trade names and service marks. Other trademarks, trade names and service marks appearing in this prospectus are the property of their respective owners.</w:t>
      </w:r>
    </w:p>
    <w:p>
      <w:pPr>
        <w:spacing w:after="0" w:line="19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All references herein to the “Board” refer to the board of directors of the Company.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prospectus includes, and any amendment or supplement to this prospectus may include, estimates regarding market and industry data and forecasts, which are based on our own estimates utilizing our management’s 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“Risk Factors.” These forward-looking statements are subject to numerous risks, including, without limitation, the following:</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shares of Common Stock and Warrants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one or more key employees or failure to attract and retain highly skilled employees;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software or hardware containing serious errors or defects, which may result in lost revenue and market acceptance and costs to defend or settle claims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interruptions in service, latency or poor service from third-party data center providers;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nature of our business, including the various laws and regulations applicable to us and fluctuations between foreign currencies and the U.S. dollar, including the imposition of new or increased tariffs or export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failure to acquire new customer, retain existing customers, terminate existing customer or partnership contracts or expand sales to existing customers;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registration statement, including those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this prospectus completely and with the understanding that our actual future results may be materially different from what we expect.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8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forward-looking statements. See “Cautionary Note Regarding Forward-Looking Statements.”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Blaize is an innovative semiconductor and software technology company dedicated to revolutionizing the world of artificial intelligence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Committed Equity Facility</w:t>
      </w:r>
    </w:p>
    <w:p>
      <w:pPr>
        <w:spacing w:after="0" w:line="12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On July 14, 2025, we entered into the Purchase Agreement and a related registration rights agreement, dated as of July 14, 2025 (the “Registration Rights Agreement”), with B. Riley Principal Capital II. Upon the terms and subject to the satisfaction of the conditions contained in the Purchase Agreement, we have the right, in our sole discretion, to sell to B. Riley Principal Capital II up to $50,000,000 of shares of our Common Stock (subject to certain limitations contained in the Purchase Agreement), from time to time over a period of up to 36 months from and after the date of this prospectus, through an Market Open Purchase or one or more Intraday Purchases on any Purchase Date (each term as defined below). Sales of Common Stock pursuant to the Purchase Agreement, and the timing of any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offer and resale by B. Riley Principal Capital II of up to 20,326,158 BRPC Shares, consisting of (i) up to 20,242,805 shares of Common Stock (the “Purchase Shares”) that we may, in our sole discretion, elect to sell to B. Riley Principal Capital II, from time to time over a period of up to 36 months from and after the Commencement Date (defined below) pursuant to the Purchase Agreement and (ii) 83,353 shares of Common Stock (the “Commitment Shares”) we issued to B. Riley Principal Capital II, upon our execution of the Purchase Agreement on July 14, 2025, as consideration for its commitment</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82"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to purchase shares of our Common Stock that we may, in our sole discretion, direct B. Riley Principal Capital II to purchase from us pursuant to the Purchase Agreement.</w:t>
      </w:r>
    </w:p>
    <w:p>
      <w:pPr>
        <w:spacing w:after="0" w:line="162"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Upon the initial satisfaction of each of the conditions to B. Riley Principal Capital II’s purchase obligations set forth in the Purchase Agreement (the initial satisfaction of all of such conditions, the “Commencement”), none of which are within B. Riley Principal Capital II’s control, including that the registration statement that includes this prospectus shall have been declared effective by the SEC, we have the right, but not the obligation, from time to time at our sole discretion for a period of up to 36 months (unless the Purchase Agreement is earlier terminated), beginning on the date on which the Commencement occurs (such date, the “Commencement Date”), to direct B. Riley Principal Capital II to purchase a specified number of shares of Common Stock (each, an “Market Open Purchase”), not to exceed the lesser of (such lesser number of shares, the “Market Open Purchase Maximum Amount”): (i) 1,000,000 shares of Common Stock and (ii) up to a certain percentage (not to exceed 25.0%), which we will specify in the applicable Market Open Purchase Notice (as defined below) for such Market Open Purchase (such specified percentage, the “Market Open Purchase Percentage”), of the total aggregate number (or volume) of shares of our Common Stock traded on Nasdaq during the applicable Market Open Purchase Valuation Period (as defined below) for such Market Open Purchase (such specified number of shares to be purchased by B. Riley Principal Capital II, adjusted as necessary to give effect to the applicable Market Open Purchase Maximum Amount as set forth in the Purchase Agreement, the “Market Open Purchase Share Amount”), by timely delivering written notice of such Market Open Purchase to B. Riley Principal Capital II (each, a “Market Open Purchase Notice”) prior to 9:00 a.m., New York City time, on any trading day (each, a “Purchase Date”), so long as (a) the closing sale price of our Common Stock on Nasdaq on the trading day immediately prior to such Purchase Date is not less than $1.00 (the “Threshold Price”), and (b) all shares of Common Stock subject to all prior Market Open Purchases and all prior Intraday Purchases (defined below) effected by us under the Purchase Agreement (as applicable) have been received by B. Riley Principal Capital II at such time and in the manner set forth in the Purchase Agreement.</w:t>
      </w:r>
    </w:p>
    <w:p>
      <w:pPr>
        <w:spacing w:after="0" w:line="193"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is required to pay for shares of Common Stock in a Market Open Purchase effected by us pursuant to the Purchase Agreement, if any, will be determined by reference to the volume weighted average price of the Common Stock (the “VWAP”), calculated in accordance with the Purchase Agreement, for the period (the “Market Open Purchase Valuation Period”) beginning at the official open (or “commencement”) of the regular trading session on Nasdaq on the applicable Purchase Date for such Purchase, and ending at the earliest to occur of (i) 3:59 p.m., New York City time, on such Purchase Date or such earlier time publicly announced by the trading market as the official close of the regular trading session on such Purchase Date, (ii) such time that the total aggregate number (or volume) of shares of Common Stock traded on Nasdaq during such Market Open Purchase Valuation Period (calculated in accordance with the Purchase Agreement) reaches the applicable share volume maximum amount for such Market Open Purchase (the “Market Open Purchase Share Volume Maximum”), calculated by dividing (a) the applicable Market Open Purchase Share Amount for such Market Open Purchase, by (b) the Market Open Purchase Percentage we specified in the applicable Market Open Purchase Notice for such Market Open Purchase, and (iii) if we further specify in the applicable Market Open Purchase Notice for such Market Open Purchase that a “limit order discontinue election”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 for such Market Open Purchase specified by us in the Market Open Purchase Notice for such Market Open Purchase, or if we do not specify a minimum price threshold in such Market Open Purchase Notice, a price equal to 75.0% of the closing sale price of the Common Stock on the trading day immediately prior to the applicable Purchase Date for such purchase (the “Minimum Price Threshold”), less a fixed 3.0% discount to the VWAP for such Market Open Purchase Valuation Period (calculated in accordance with the Purchase Agreement).</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82"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54" w:lineRule="auto"/>
        <w:rPr>
          <w:sz w:val="20"/>
          <w:szCs w:val="20"/>
          <w:color w:val="auto"/>
        </w:rPr>
      </w:pPr>
      <w:r>
        <w:rPr>
          <w:rFonts w:ascii="Times New Roman" w:cs="Times New Roman" w:eastAsia="Times New Roman" w:hAnsi="Times New Roman"/>
          <w:sz w:val="18"/>
          <w:szCs w:val="18"/>
          <w:color w:val="auto"/>
        </w:rPr>
        <w:t>Under the Purchase Agreement, for purposes of calculating the volume of shares of Common Stock traded during a Market Open Purchase Valuation Period, as well as the VWAP for a Market Open Purchase Valuation Period,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w:t>
      </w:r>
    </w:p>
    <w:p>
      <w:pPr>
        <w:spacing w:after="0" w:line="188"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From and after the Commencement Date, in addition to Market Open Purchases described above, we will also have the right, but not the obligation, subject to the continued satisfaction of the conditions set forth in the Purchase Agreement, to direct B. Riley Principal Capital II to purchase, on any trading day that would qualify as a Purchase Date, whether or not a Market Open Purchase is effected on such Purchase Date, a specified number of shares of Common Stock (each, an “Intraday Purchase”), not to exceed the lesser of (such lesser number of shares, the “Intraday Purchase Maximum Amount”): (i) 1,000,000 shares of Common Stock and (ii) up to a certain percentage (not to exceed 25.0%), which we will specify in the applicable Intraday Purchase Notice (as defined below) for such Intraday Purchase (such specified percentage, the “Intraday Purchase Percentage”), of the total aggregate volume of shares of our Common Stock traded on Nasdaq during the applicable “Intraday Purchase Valuation Period” (determined in a similar manner as the Market Open Purchase Valuation Periods for a Market Open Purchase) for such Intraday Purchase (such specified number of shares to be purchased by B. Riley Principal Capital II, adjusted to the extent necessary to give effect to the applicable Intraday Purchase Maximum Amount as set forth in the Purchase Agreement, the “Intraday Purchase Share Amount”), by the delivery to B. Riley Principal Capital II of an irrevocable written purchase notice for such Intraday Purchase, after 10:00 a.m., New York City time (and after the Market Open Purchase Valuation Period for any earlier Market Open Purchase and the Intraday Purchase Valuation Period for the most recent prior Intraday Purchase effected on the same Purchase Date as such applicable Intraday Purchase, if applicable, have ended), and prior to 3:30 p.m., New York City time, on such Purchase Date (each, an “Intraday Purchase Notice”), so long as (i) the closing sale price of the Common Stock on Nasdaq on the trading day immediately prior to such Purchase Date is not less than the Threshold Price and (ii)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at such time and in the manner set forth in the Purchase Agreement.</w:t>
      </w:r>
    </w:p>
    <w:p>
      <w:pPr>
        <w:spacing w:after="0" w:line="192"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The per share purchase price for the shares of Common Stock that we elect to sell to B. Riley Principal Capital II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Intraday Purchase Valuation Periods during the regular trading session on Nasdaq on such Purchase Date, each of which will commence and end at different times on such Purchase Date.</w:t>
      </w:r>
    </w:p>
    <w:p>
      <w:pPr>
        <w:spacing w:after="0" w:line="183"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There is no upper limit on the price per share that B. Riley Principal Capital II could be obligated to pay for the Common Stock we may elect to sell to it in any Market Open Purchase or any Intraday Purchase under the Purchase Agreement. 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82"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volume or price threshold amounts in connection with any such Market Open Purchase or Intraday Purchase (as applicable), in each case, will be equitably adjusted as set forth in the Purchase Agreement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spacing w:after="0" w:line="180"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We will control the timing and amount of any sales of Common Stock to B. Riley Principal Capital II that we may elect, in our sole discretion, to effect from time to time from and after the Commencement Date and during the term of the Purchase Agreement. Actual sales of shares of Common Stock to B. Riley Principal Capital II under the Purchase Agreement will depend on a variety of factors to be determined by us from time to time, including, among other things, market conditions, the trading price of the Common Stock and determinations by us as to the appropriate sources of funding for our company’s business and operations.</w:t>
      </w:r>
    </w:p>
    <w:p>
      <w:pPr>
        <w:spacing w:after="0" w:line="183"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B. Riley Principal Capital II under the Purchase Agreement more than 20,326,158 shares of Common Stock, which number of shares is equal to 19.99% of the number of shares of Common Stock issued and outstanding immediately prior to the execution of the Purchase Agreement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 of the Purchase Agreement, adjusted as required by Nasdaq), so that the Exchange Cap limitation will not apply to issuances and sales of Common Stock pursuant to the Purchase Agreement.</w:t>
      </w:r>
    </w:p>
    <w:p>
      <w:pPr>
        <w:spacing w:after="0" w:line="188" w:lineRule="exact"/>
        <w:rPr>
          <w:sz w:val="20"/>
          <w:szCs w:val="20"/>
          <w:color w:val="auto"/>
        </w:rPr>
      </w:pPr>
    </w:p>
    <w:p>
      <w:pPr>
        <w:ind w:left="300" w:right="40"/>
        <w:spacing w:after="0" w:line="281" w:lineRule="auto"/>
        <w:rPr>
          <w:sz w:val="20"/>
          <w:szCs w:val="20"/>
          <w:color w:val="auto"/>
        </w:rPr>
      </w:pPr>
      <w:r>
        <w:rPr>
          <w:rFonts w:ascii="Times New Roman" w:cs="Times New Roman" w:eastAsia="Times New Roman" w:hAnsi="Times New Roman"/>
          <w:sz w:val="17"/>
          <w:szCs w:val="17"/>
          <w:color w:val="auto"/>
        </w:rPr>
        <w:t>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Securities Exchange Act of 1934, as amended (the “Exchange Act”), and Rule 13d-3 thereunder), would result in B. Riley Principal Capital II beneficially owning more than 4.99% of the outstanding shares of Common Stock (the “Beneficial Ownership Limitation”).</w:t>
      </w:r>
    </w:p>
    <w:p>
      <w:pPr>
        <w:spacing w:after="0" w:line="164" w:lineRule="exact"/>
        <w:rPr>
          <w:sz w:val="20"/>
          <w:szCs w:val="20"/>
          <w:color w:val="auto"/>
        </w:rPr>
      </w:pPr>
    </w:p>
    <w:p>
      <w:pPr>
        <w:ind w:left="300" w:right="240"/>
        <w:spacing w:after="0" w:line="258" w:lineRule="auto"/>
        <w:rPr>
          <w:sz w:val="20"/>
          <w:szCs w:val="20"/>
          <w:color w:val="auto"/>
        </w:rPr>
      </w:pPr>
      <w:r>
        <w:rPr>
          <w:rFonts w:ascii="Times New Roman" w:cs="Times New Roman" w:eastAsia="Times New Roman" w:hAnsi="Times New Roman"/>
          <w:sz w:val="18"/>
          <w:szCs w:val="18"/>
          <w:color w:val="auto"/>
        </w:rPr>
        <w:t>The net proceeds to us from sales that we elect to make to B. Riley Principal Capital II under the Purchase Agreement, if any, will depend on the frequency and prices at which we sell shares of our Common Stock to B. Riley Principal Capital II. We expect that any proceeds received by us from such sales of Common Stock to B. Riley Principal Capital II will be used to accelerate commercialization of the South Asia smart infrastructure contract previously announced on June 30, 2025 and investment in its next-generation chip, as well as for working capital and general corporate purposes.</w:t>
      </w:r>
    </w:p>
    <w:p>
      <w:pPr>
        <w:spacing w:after="0" w:line="183"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spacing w:after="0" w:line="18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B. Riley Principal Capital II has agreed that, during the term of the Purchase Agreement, none of B. Riley Principal Capital II, any of its officers, or any entity managed or controlled by B. Riley Principal Capital II will engage in or effect, directly or indirectly, for its own principal account or for the principal account of any such</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0"/>
        <w:spacing w:after="0" w:line="282" w:lineRule="auto"/>
        <w:rPr>
          <w:sz w:val="20"/>
          <w:szCs w:val="20"/>
          <w:color w:val="auto"/>
        </w:rPr>
      </w:pPr>
      <w:r>
        <w:rPr>
          <w:rFonts w:ascii="Times New Roman" w:cs="Times New Roman" w:eastAsia="Times New Roman" w:hAnsi="Times New Roman"/>
          <w:sz w:val="18"/>
          <w:szCs w:val="18"/>
          <w:color w:val="auto"/>
        </w:rPr>
        <w:t>entity managed or controlled by B. Riley Principal Capital II, any short sales (as such term is defined in Rule 200 of Regulation SHO of the Exchange Act) of the Common Stock or hedging transaction that establishes a net short position in the Common Stock.</w:t>
      </w:r>
    </w:p>
    <w:p>
      <w:pPr>
        <w:spacing w:after="0" w:line="162" w:lineRule="exact"/>
        <w:rPr>
          <w:sz w:val="20"/>
          <w:szCs w:val="20"/>
          <w:color w:val="auto"/>
        </w:rPr>
      </w:pPr>
    </w:p>
    <w:p>
      <w:pPr>
        <w:ind w:left="300" w:right="100"/>
        <w:spacing w:after="0" w:line="224"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first day of the month next following the 36-month anniversary of the Commencement Date, (ii) the date on which B. Riley Principal Capital II shall have purchased from us under the Purchase Agreement shares of Common Stock for an aggregate gross purchase price of $50,000,000, (iii) the date on which the Common Stock shall have failed to be listed or quoted on Nasdaq or another U.S. national securities exchange identified as an “eligible market” in the Purchase Agreement for a period of one trading day, (iv)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date on which a voluntary or involuntary bankruptcy proceeding involving our company has been commenced that is not discharged or dismissed prior to such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and (v) the date on which a bankruptcy custodian is appointed for all or substantially all of our property or we make a general assignment for the benefit of creditors.</w:t>
      </w:r>
    </w:p>
    <w:p>
      <w:pPr>
        <w:spacing w:after="0" w:line="204"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Commencement, at no cost or penalty, upon 10 trading days’ prior written notice to B. Riley Principal Capital II. We and B. Riley Principal Capital II may also agree to terminate the Purchase Agreement by mutual written consent, provided that no termination of the Purchase Agreement will be effective during the pendency of any Market Open Purchase or any Intraday Purchase that has not then fully settled in accordance with the Purchase Agreement. Neither we nor B. Riley Principal Capital II may assign or transfer any of our respective rights or obligations under the Purchase Agreement or the Registration Rights Agreement, and no provision of the Purchase Agreement or the Registration Rights Agreement may be modified or waived by us or B. Riley Principal Capital II.</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consideration for B. Riley Principal Capital II’s commitment to purchase shares of Common Stock at our direction upon the terms and subject to</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conditions set forth in the Purchase Agreement, upon our execution of the Purchase Agreement, we (i) paid B. Riley Principal Capital II a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commitment fee in the amount of $200,000 (the “Cash Commitment Fee”), which represents 0.4% of B. Riley Principal Capital II’s $50,000,000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aggregate purchase commitment under the Purchase Agreement and (ii) delivered irrevocable instructions to the transfer agent to issue 83,353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(the “Commitment Shares”), which Commitment Shares have a total aggregate value equal to 0.5% of B. Riley Principal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 II’s $50,000,000 total aggregate purchase commitment under the Purchase Agreement (assuming a value per Commitment Share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$2.9993, representing the VWAP for the five consecutive days immediately prior to signing of the Purchase Agreement, rounded to the nearest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whole, to B. Riley Principal Capital II no later than 4:00 p.m. (New York City time) on the trading day immediately following the closing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Agreement. The Cash Commitment Fee will be paid by wire transfer of immediately available funds to an account designated by B. Riley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Capital II on or prior to the date of the Purchase Agreement.</w:t>
      </w:r>
    </w:p>
    <w:p>
      <w:pPr>
        <w:spacing w:after="0" w:line="207"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for the reasonable legal fees and disbursements of B. Riley Principal Capital II’s legal counsel in connection with the transactions contemplated by the Purchase Agreement and the Registration Rights Agreement in an amount not to exceed (i) $125,000 upon our execution of the Purchase Agreement and Registration Rights Agreement (the “Initial Investor Legal Fee Reimbursement Amount”) and (ii) $5,000 per fiscal quarter (the “Additional Investor Legal Fee Reimbursement Amount”) for the reasonable legal fees and disbursements of B. Riley Principal Capital II’s legal counsel in connection with quarterly and annual bring-down due diligence investigations and related matters as contemplated by the Purchase Agreement.</w:t>
      </w:r>
    </w:p>
    <w:p>
      <w:pPr>
        <w:spacing w:after="0" w:line="187" w:lineRule="exact"/>
        <w:rPr>
          <w:sz w:val="20"/>
          <w:szCs w:val="20"/>
          <w:color w:val="auto"/>
        </w:rPr>
      </w:pPr>
    </w:p>
    <w:p>
      <w:pPr>
        <w:jc w:val="both"/>
        <w:ind w:left="300" w:right="260"/>
        <w:spacing w:after="0" w:line="266" w:lineRule="auto"/>
        <w:rPr>
          <w:sz w:val="20"/>
          <w:szCs w:val="20"/>
          <w:color w:val="auto"/>
        </w:rPr>
      </w:pPr>
      <w:r>
        <w:rPr>
          <w:rFonts w:ascii="Times New Roman" w:cs="Times New Roman" w:eastAsia="Times New Roman" w:hAnsi="Times New Roman"/>
          <w:sz w:val="18"/>
          <w:szCs w:val="18"/>
          <w:color w:val="auto"/>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82"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3"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July 14, 2025, there were 101,682,422 shares of our Common Stock outstanding, of which 53,453,601 shares were held by non-affiliates of our company. If all of the 20,242,805 Purchase Shares offered for resale by B. Riley Principal Capital II under this prospectus were issued and outstanding as of the date hereof, such shares would represent approximately 19.91% of the total number of outstanding shares of Common Stock and approximately 37.87% of the total number of outstanding shares of Common Stock held by non-affiliates of our company, in each case as of July 14, 2025.</w:t>
      </w:r>
    </w:p>
    <w:p>
      <w:pPr>
        <w:spacing w:after="0" w:line="192"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$50,000,000 of our Common Stock to B. Riley Principal Capital II, only 20,242,805 Purchase Shares (in addition to the 83,353 Commitment Shares, for which we have not and will not receive any cash consideration) are being registered under the Securities Act for resale by B. Riley Principal Capital II under the registration statement that includes this prospectus. If we were to issue and sell all of such 20,242,805 Purchase Shares to B. Riley Principal Capital II (without taking into account the 19.99% Exchange Cap limitation) at an assumed purchase price per share of $2.91, representing the closing sale price of our Common Stock on Nasdaq on July 14, 2025, we would only receive approximately $59,000,000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in the future need to register under the Securities Act additional shares of our Common Stock for resale by B. Riley Principal Capital II which, together with the 20,242,805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$50,000,000 maximum aggregate purchase commitment available to us under the Purchase Agreement.</w:t>
      </w:r>
    </w:p>
    <w:p>
      <w:pPr>
        <w:spacing w:after="0" w:line="19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If we elect to issue and sell to B. Riley Principal Capital II more than the 20,326,158 BRPC Shares being registered under the Securities Act for resale by B. Riley Principal Capital II under the registration statement that includes this prospectus (83,353 of which shares represent the Commitment Shares that we issued, together with our payment of the Cash Commitment Fee, to B. Riley Principal Capital II upon execution of the Purchase Agreement on July 14, 2025,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unless the average price for all shares of our 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82"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8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The number of BRPC Shares ultimately offered for resale by B. Riley Principal Capital II through this prospectus is dependent upon the number of shares of Common Stock, if any, we elect to issue and/or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Partner Referral Agreement</w:t>
      </w:r>
    </w:p>
    <w:p>
      <w:pPr>
        <w:spacing w:after="0" w:line="121" w:lineRule="exact"/>
        <w:rPr>
          <w:sz w:val="20"/>
          <w:szCs w:val="20"/>
          <w:color w:val="auto"/>
        </w:rPr>
      </w:pPr>
    </w:p>
    <w:p>
      <w:pPr>
        <w:ind w:left="300" w:right="480"/>
        <w:spacing w:after="0" w:line="282" w:lineRule="auto"/>
        <w:rPr>
          <w:sz w:val="20"/>
          <w:szCs w:val="20"/>
          <w:color w:val="auto"/>
        </w:rPr>
      </w:pPr>
      <w:r>
        <w:rPr>
          <w:rFonts w:ascii="Times New Roman" w:cs="Times New Roman" w:eastAsia="Times New Roman" w:hAnsi="Times New Roman"/>
          <w:sz w:val="18"/>
          <w:szCs w:val="18"/>
          <w:color w:val="auto"/>
        </w:rPr>
        <w:t>On June 30, 2025, Legacy Blaize entered into a Sales Partner Referral Agreement (the “Referral Agreement”) with Burkhan LLC (the “Sales Partner”), an affiliate of Burkhan Capital LLC (“Burkhan”).</w:t>
      </w:r>
    </w:p>
    <w:p>
      <w:pPr>
        <w:spacing w:after="0" w:line="162" w:lineRule="exact"/>
        <w:rPr>
          <w:sz w:val="20"/>
          <w:szCs w:val="20"/>
          <w:color w:val="auto"/>
        </w:rPr>
      </w:pPr>
    </w:p>
    <w:p>
      <w:pPr>
        <w:ind w:left="300" w:right="100"/>
        <w:spacing w:after="0" w:line="289" w:lineRule="auto"/>
        <w:rPr>
          <w:sz w:val="20"/>
          <w:szCs w:val="20"/>
          <w:color w:val="auto"/>
        </w:rPr>
      </w:pPr>
      <w:r>
        <w:rPr>
          <w:rFonts w:ascii="Times New Roman" w:cs="Times New Roman" w:eastAsia="Times New Roman" w:hAnsi="Times New Roman"/>
          <w:sz w:val="17"/>
          <w:szCs w:val="17"/>
          <w:color w:val="auto"/>
        </w:rPr>
        <w:t>Pursuant to the Referral Agreement, the Sales Partner will, on a non-exclusive basis, promote certain Company products and refer potential customers to Legacy Blaize. Legacy Blaize may approve or reject any customer opportunity presented by the Sales Partner in its sole discretion. For any approved customer opportunity, Legacy Blaize and Sales Partner will negotiate in good faith on commissions payable to the Sales Partner.</w:t>
      </w:r>
    </w:p>
    <w:p>
      <w:pPr>
        <w:spacing w:after="0" w:line="158"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176" w:lineRule="exact"/>
        <w:rPr>
          <w:sz w:val="20"/>
          <w:szCs w:val="20"/>
          <w:color w:val="auto"/>
        </w:rPr>
      </w:pPr>
    </w:p>
    <w:p>
      <w:pPr>
        <w:ind w:left="300" w:right="60"/>
        <w:spacing w:after="0" w:line="272" w:lineRule="auto"/>
        <w:rPr>
          <w:sz w:val="20"/>
          <w:szCs w:val="20"/>
          <w:color w:val="auto"/>
        </w:rPr>
      </w:pPr>
      <w:r>
        <w:rPr>
          <w:rFonts w:ascii="Times New Roman" w:cs="Times New Roman" w:eastAsia="Times New Roman" w:hAnsi="Times New Roman"/>
          <w:sz w:val="17"/>
          <w:szCs w:val="17"/>
          <w:color w:val="auto"/>
        </w:rPr>
        <w:t>The Referral Agreement has an initial approved customer of BurTech Systems Tech LLC (“BST”), an affiliate of Burkan, as described in the referral exhibit thereto (the “Referral Exhibit”). Under the Referral Exhibit, BST will purchase up to approximately $56.5 million of products from Legacy Blaize on behalf of an unaffiliated end user, beginning in the second quarter of 2025 through 2026. BST will receive a financing fee of</w:t>
      </w:r>
    </w:p>
    <w:p>
      <w:pPr>
        <w:spacing w:after="0" w:line="2"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2.5% of the total purchase price from the end user and Sales Partner will receive a commission payable by Legacy Blaize of up to 10%, depending on Legacy Blaize’s gross margins under the purchase order, payable in cash and, in Legacy Blaize’s discretion, partially in Common Stock, as described in the Referral Exhibit.</w:t>
      </w:r>
    </w:p>
    <w:p>
      <w:pPr>
        <w:spacing w:after="0" w:line="186" w:lineRule="exact"/>
        <w:rPr>
          <w:sz w:val="20"/>
          <w:szCs w:val="20"/>
          <w:color w:val="auto"/>
        </w:rPr>
      </w:pPr>
    </w:p>
    <w:p>
      <w:pPr>
        <w:ind w:left="300" w:right="540"/>
        <w:spacing w:after="0" w:line="282" w:lineRule="auto"/>
        <w:rPr>
          <w:sz w:val="20"/>
          <w:szCs w:val="20"/>
          <w:color w:val="auto"/>
        </w:rPr>
      </w:pPr>
      <w:r>
        <w:rPr>
          <w:rFonts w:ascii="Times New Roman" w:cs="Times New Roman" w:eastAsia="Times New Roman" w:hAnsi="Times New Roman"/>
          <w:sz w:val="18"/>
          <w:szCs w:val="18"/>
          <w:color w:val="auto"/>
        </w:rPr>
        <w:t>The terms of the Referral Agreement were reviewed and approved by the Audit Committee of the Board of Directors in accordance with the Company’s related-party transaction policy</w:t>
      </w:r>
    </w:p>
    <w:p>
      <w:pPr>
        <w:spacing w:after="0" w:line="162"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Referral Agreement does not purport to be complete and is qualified in its entirety by reference to the full text of the Referral Agreement, a copy of which is attached as Exhibit 10.25 hereto and incorporated herein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Market Advisory Engagement</w:t>
      </w:r>
    </w:p>
    <w:p>
      <w:pPr>
        <w:spacing w:after="0" w:line="121" w:lineRule="exact"/>
        <w:rPr>
          <w:sz w:val="20"/>
          <w:szCs w:val="20"/>
          <w:color w:val="auto"/>
        </w:rPr>
      </w:pPr>
    </w:p>
    <w:p>
      <w:pPr>
        <w:ind w:left="300" w:right="460"/>
        <w:spacing w:after="0" w:line="261" w:lineRule="auto"/>
        <w:rPr>
          <w:sz w:val="20"/>
          <w:szCs w:val="20"/>
          <w:color w:val="auto"/>
        </w:rPr>
      </w:pPr>
      <w:r>
        <w:rPr>
          <w:rFonts w:ascii="Times New Roman" w:cs="Times New Roman" w:eastAsia="Times New Roman" w:hAnsi="Times New Roman"/>
          <w:sz w:val="18"/>
          <w:szCs w:val="18"/>
          <w:color w:val="auto"/>
        </w:rPr>
        <w:t>On April 11, 2025, we entered into that certain Engagement Letter, by and between the Company and Cantor Fitzgerald &amp; Co. (“Cantor Fitzgerald”), pursuant to which, among other things, the Company agreed to issue approximately 769,231 shares of Common Stock to Cantor Fitzgerlad, in consideration for acting as the Company’s capital markets advisor. The Engagement Letter entitled Cantor Fitzgerald to shelf registration rights with respect to such shares of Common Stock.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spacing w:after="0" w:line="312" w:lineRule="auto"/>
        <w:rPr>
          <w:sz w:val="20"/>
          <w:szCs w:val="20"/>
          <w:color w:val="auto"/>
        </w:rPr>
      </w:pPr>
      <w:r>
        <w:rPr>
          <w:rFonts w:ascii="Times New Roman" w:cs="Times New Roman" w:eastAsia="Times New Roman" w:hAnsi="Times New Roman"/>
          <w:sz w:val="17"/>
          <w:szCs w:val="17"/>
          <w:color w:val="auto"/>
        </w:rPr>
        <w:t>Our business is subject to a number of risks of which you should be aware before making an investment decision. In particular, you should consider the risk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15. Such risks include, but are not limited to, the following:</w:t>
      </w:r>
    </w:p>
    <w:p>
      <w:pPr>
        <w:spacing w:after="0" w:line="45" w:lineRule="exact"/>
        <w:rPr>
          <w:sz w:val="20"/>
          <w:szCs w:val="20"/>
          <w:color w:val="auto"/>
        </w:rPr>
      </w:pPr>
    </w:p>
    <w:p>
      <w:pPr>
        <w:jc w:val="center"/>
        <w:ind w:left="5580" w:right="500" w:hanging="4755"/>
        <w:spacing w:after="0" w:line="673" w:lineRule="auto"/>
        <w:tabs>
          <w:tab w:leader="none" w:pos="12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 7</w:t>
      </w:r>
    </w:p>
    <w:p>
      <w:pPr>
        <w:sectPr>
          <w:pgSz w:w="11900" w:h="16838" w:orient="portrait"/>
          <w:cols w:equalWidth="0" w:num="1">
            <w:col w:w="10940"/>
          </w:cols>
          <w:pgMar w:left="320" w:top="482"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04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automotive OEMs (as defined below) and Tier-1 suppliers are long-term in nature and we will not receive legally binding purchase order commitments until we deliver our auto-grade chip.</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will be harmed if we are unable to acquire new customers, retain existing customers or expand sales to our existing customers.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timely supply of materials sourced from a limited number of suppliers, and are directly impacted by unexpected delays or problems from our third-party manufacturers.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130" w:lineRule="exact"/>
        <w:rPr>
          <w:rFonts w:ascii="Times New Roman" w:cs="Times New Roman" w:eastAsia="Times New Roman" w:hAnsi="Times New Roman"/>
          <w:sz w:val="18"/>
          <w:szCs w:val="18"/>
          <w:color w:val="auto"/>
        </w:rPr>
      </w:pPr>
    </w:p>
    <w:p>
      <w:pPr>
        <w:jc w:val="both"/>
        <w:ind w:left="1640" w:right="340" w:hanging="289"/>
        <w:spacing w:after="0" w:line="26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79" w:lineRule="exact"/>
        <w:rPr>
          <w:sz w:val="20"/>
          <w:szCs w:val="20"/>
          <w:color w:val="auto"/>
        </w:rPr>
      </w:pPr>
    </w:p>
    <w:p>
      <w:pPr>
        <w:ind w:left="1240" w:right="340" w:hanging="415"/>
        <w:spacing w:after="0" w:line="284"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 this prospectus;</w:t>
      </w:r>
    </w:p>
    <w:p>
      <w:pPr>
        <w:spacing w:after="0" w:line="65"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2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320" w:top="482"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41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4641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spacing w:after="0" w:line="176" w:lineRule="exact"/>
        <w:rPr>
          <w:sz w:val="20"/>
          <w:szCs w:val="20"/>
          <w:color w:val="auto"/>
        </w:rPr>
      </w:pPr>
    </w:p>
    <w:p>
      <w:pPr>
        <w:ind w:left="300" w:right="20"/>
        <w:spacing w:after="0" w:line="270" w:lineRule="auto"/>
        <w:rPr>
          <w:sz w:val="20"/>
          <w:szCs w:val="20"/>
          <w:color w:val="auto"/>
        </w:rPr>
      </w:pPr>
      <w:r>
        <w:rPr>
          <w:rFonts w:ascii="Times New Roman" w:cs="Times New Roman" w:eastAsia="Times New Roman" w:hAnsi="Times New Roman"/>
          <w:sz w:val="17"/>
          <w:szCs w:val="17"/>
          <w:color w:val="auto"/>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w:t>
      </w:r>
    </w:p>
    <w:p>
      <w:pPr>
        <w:spacing w:after="0" w:line="3" w:lineRule="exact"/>
        <w:rPr>
          <w:sz w:val="20"/>
          <w:szCs w:val="20"/>
          <w:color w:val="auto"/>
        </w:rPr>
      </w:pPr>
    </w:p>
    <w:p>
      <w:pPr>
        <w:jc w:val="both"/>
        <w:ind w:left="300" w:right="80" w:hanging="2"/>
        <w:spacing w:after="0" w:line="255" w:lineRule="auto"/>
        <w:tabs>
          <w:tab w:leader="none" w:pos="5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86"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 xml:space="preserve">Our Common Stock is listed on Nasdaq under the symbol “BZAI.” Our principal executive offices are located at 4659 Golden Foothill Parkway in El Dorado Hills, California, 95762, and our telephone number is (916) 347-0050. Our website address is </w:t>
      </w:r>
      <w:r>
        <w:rPr>
          <w:rFonts w:ascii="Times New Roman" w:cs="Times New Roman" w:eastAsia="Times New Roman" w:hAnsi="Times New Roman"/>
          <w:sz w:val="18"/>
          <w:szCs w:val="18"/>
          <w:i w:val="1"/>
          <w:iCs w:val="1"/>
          <w:color w:val="auto"/>
        </w:rPr>
        <w:t>www.blaize.com</w:t>
      </w:r>
      <w:r>
        <w:rPr>
          <w:rFonts w:ascii="Times New Roman" w:cs="Times New Roman" w:eastAsia="Times New Roman" w:hAnsi="Times New Roman"/>
          <w:sz w:val="18"/>
          <w:szCs w:val="18"/>
          <w:color w:val="auto"/>
        </w:rPr>
        <w:t>. The information contained in, or accessible through, our website does not constitute a part of this prospectus. We have included our website address in this prospectus solely as an inactive textual reference.</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82"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Blaize Holdings, Inc.</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the Selling Stockholder</w:t>
      </w:r>
      <w:r>
        <w:rPr>
          <w:sz w:val="20"/>
          <w:szCs w:val="20"/>
          <w:color w:val="auto"/>
        </w:rPr>
        <w:tab/>
      </w:r>
      <w:r>
        <w:rPr>
          <w:rFonts w:ascii="Times New Roman" w:cs="Times New Roman" w:eastAsia="Times New Roman" w:hAnsi="Times New Roman"/>
          <w:sz w:val="17"/>
          <w:szCs w:val="17"/>
          <w:color w:val="auto"/>
        </w:rPr>
        <w:t>Up to 20,326,158 shares of Common Stock that we may elect, in our sole discretion, to</w:t>
      </w:r>
    </w:p>
    <w:p>
      <w:pPr>
        <w:spacing w:after="0" w:line="27" w:lineRule="exact"/>
        <w:rPr>
          <w:sz w:val="20"/>
          <w:szCs w:val="20"/>
          <w:color w:val="auto"/>
        </w:rPr>
      </w:pPr>
    </w:p>
    <w:p>
      <w:pPr>
        <w:ind w:left="4340" w:right="900"/>
        <w:spacing w:after="0" w:line="260" w:lineRule="auto"/>
        <w:rPr>
          <w:sz w:val="20"/>
          <w:szCs w:val="20"/>
          <w:color w:val="auto"/>
        </w:rPr>
      </w:pPr>
      <w:r>
        <w:rPr>
          <w:rFonts w:ascii="Times New Roman" w:cs="Times New Roman" w:eastAsia="Times New Roman" w:hAnsi="Times New Roman"/>
          <w:sz w:val="18"/>
          <w:szCs w:val="18"/>
          <w:color w:val="auto"/>
        </w:rPr>
        <w:t>issue and sell to B. Riley Principal Capital II, from time to time from and after the Commencement Date under the Purchase Agreement.</w:t>
      </w:r>
    </w:p>
    <w:p>
      <w:pPr>
        <w:sectPr>
          <w:pgSz w:w="11900" w:h="16838" w:orient="portrait"/>
          <w:cols w:equalWidth="0" w:num="1">
            <w:col w:w="11140"/>
          </w:cols>
          <w:pgMar w:left="320" w:top="482" w:right="439" w:bottom="1440" w:gutter="0" w:footer="0" w:header="0"/>
        </w:sectPr>
      </w:pPr>
    </w:p>
    <w:p>
      <w:pPr>
        <w:spacing w:after="0" w:line="208" w:lineRule="exact"/>
        <w:rPr>
          <w:sz w:val="20"/>
          <w:szCs w:val="20"/>
          <w:color w:val="auto"/>
        </w:rPr>
      </w:pPr>
    </w:p>
    <w:p>
      <w:pPr>
        <w:ind w:left="300" w:right="100"/>
        <w:spacing w:after="0" w:line="579" w:lineRule="auto"/>
        <w:rPr>
          <w:sz w:val="20"/>
          <w:szCs w:val="20"/>
          <w:color w:val="auto"/>
        </w:rPr>
      </w:pPr>
      <w:r>
        <w:rPr>
          <w:rFonts w:ascii="Times New Roman" w:cs="Times New Roman" w:eastAsia="Times New Roman" w:hAnsi="Times New Roman"/>
          <w:sz w:val="18"/>
          <w:szCs w:val="18"/>
          <w:color w:val="auto"/>
        </w:rPr>
        <w:t>Common Stock offered by Cantor Fitzgerald Terms of the Offering</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769,231 shares of Common Stock issuable to Cantor Fitzgerald.</w:t>
      </w:r>
    </w:p>
    <w:p>
      <w:pPr>
        <w:spacing w:after="0" w:line="2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Each Selling Securityholder, as applicable, will determine when and how it will dispose of any shares of Common Stock registered under this prospectus for resale.</w:t>
      </w:r>
    </w:p>
    <w:p>
      <w:pPr>
        <w:spacing w:after="0" w:line="18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 However, we may receive up to $50,000,000 in aggregate gross proceeds from the Selling Stockholder under the Purchase Agreement in connection with sales of shares of our Common Stock to the Selling Stockholder pursuant to the Purchase Agreement after the date of this prospectus. However, the actual proceeds may be less than this amount depending on the number of shares of our Common Stock sold and the price at which the shares of Common Stock are sold. We intend to use any proceeds from the committed equity facility (the “Facility”) to accelerate commercialization of the South Asia smart infrastructure contract previously announced on June 30, 2025 and investment in its next-generation chip, as well as for working capital and general corporate purposes. We will not receive any proceeds from the sale of any Common Stock by Cantor Fitzgerald.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20" w:space="720"/>
            <w:col w:w="6800"/>
          </w:cols>
          <w:pgMar w:left="320" w:top="482" w:right="439" w:bottom="1440" w:gutter="0" w:footer="0" w:header="0"/>
          <w:type w:val="continuous"/>
        </w:sectPr>
      </w:pP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of Interest</w:t>
            </w: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 Riley Principal Capital II, LLC is an affiliate of B. Riley Securities, Inc. (“BRS”), a</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registered broker-dealer and FINRA member. BRS will act as an executing broker that will</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effectuate resales of BRPC Shares that have been and may be acquired by B. Riley</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Principal Capital II from us pursuant to the Purchase Agreement to the public in this</w:t>
            </w:r>
          </w:p>
        </w:tc>
      </w:tr>
      <w:tr>
        <w:trPr>
          <w:trHeight w:val="234"/>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offering.</w:t>
            </w:r>
          </w:p>
        </w:tc>
      </w:tr>
      <w:tr>
        <w:trPr>
          <w:trHeight w:val="441"/>
        </w:trPr>
        <w:tc>
          <w:tcPr>
            <w:tcW w:w="2880" w:type="dxa"/>
            <w:vAlign w:val="bottom"/>
          </w:tcPr>
          <w:p>
            <w:pPr>
              <w:spacing w:after="0"/>
              <w:rPr>
                <w:sz w:val="24"/>
                <w:szCs w:val="24"/>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Because B. Riley Principal Capital II will receive all the net proceeds from such resales of</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BRPC Shares made to the public through BRS, BRS is deemed to have a “conflict of</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interest” within the meaning of Financial Industry Regulatory Authority, Inc. (“FINRA”)</w:t>
            </w:r>
          </w:p>
        </w:tc>
      </w:tr>
      <w:tr>
        <w:trPr>
          <w:trHeight w:val="234"/>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Rule 5121.</w:t>
            </w:r>
          </w:p>
        </w:tc>
      </w:tr>
      <w:tr>
        <w:trPr>
          <w:trHeight w:val="441"/>
        </w:trPr>
        <w:tc>
          <w:tcPr>
            <w:tcW w:w="2880" w:type="dxa"/>
            <w:vAlign w:val="bottom"/>
          </w:tcPr>
          <w:p>
            <w:pPr>
              <w:spacing w:after="0"/>
              <w:rPr>
                <w:sz w:val="24"/>
                <w:szCs w:val="24"/>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 accordance with FINRA Rule 5121, BRS is not permitted to sell shares of our Common</w:t>
            </w:r>
          </w:p>
        </w:tc>
      </w:tr>
      <w:tr>
        <w:trPr>
          <w:trHeight w:val="214"/>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Stock in this offering to an account over which it exercises discretionary authority without</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the prior specific written approval of the account holder. See “</w:t>
            </w:r>
            <w:r>
              <w:rPr>
                <w:rFonts w:ascii="Times New Roman" w:cs="Times New Roman" w:eastAsia="Times New Roman" w:hAnsi="Times New Roman"/>
                <w:sz w:val="18"/>
                <w:szCs w:val="18"/>
                <w:i w:val="1"/>
                <w:iCs w:val="1"/>
                <w:color w:val="auto"/>
              </w:rPr>
              <w:t>Plan of Distribution</w:t>
            </w:r>
          </w:p>
        </w:tc>
      </w:tr>
      <w:tr>
        <w:trPr>
          <w:trHeight w:val="236"/>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i w:val="1"/>
                <w:iCs w:val="1"/>
                <w:color w:val="auto"/>
              </w:rPr>
              <w:t>(Conflict of Interest) – Offer and Resale of Common Stock by the Selling Stockholder</w:t>
            </w:r>
            <w:r>
              <w:rPr>
                <w:rFonts w:ascii="Times New Roman" w:cs="Times New Roman" w:eastAsia="Times New Roman" w:hAnsi="Times New Roman"/>
                <w:sz w:val="18"/>
                <w:szCs w:val="18"/>
                <w:color w:val="auto"/>
              </w:rPr>
              <w:t>.”</w:t>
            </w:r>
          </w:p>
        </w:tc>
      </w:tr>
      <w:tr>
        <w:trPr>
          <w:trHeight w:val="172"/>
        </w:trPr>
        <w:tc>
          <w:tcPr>
            <w:tcW w:w="288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r>
      <w:tr>
        <w:trPr>
          <w:trHeight w:val="361"/>
        </w:trPr>
        <w:tc>
          <w:tcPr>
            <w:tcW w:w="2880" w:type="dxa"/>
            <w:vAlign w:val="bottom"/>
          </w:tcPr>
          <w:p>
            <w:pPr>
              <w:spacing w:after="0"/>
              <w:rPr>
                <w:sz w:val="24"/>
                <w:szCs w:val="24"/>
                <w:color w:val="auto"/>
              </w:rPr>
            </w:pPr>
          </w:p>
        </w:tc>
        <w:tc>
          <w:tcPr>
            <w:tcW w:w="81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1221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1221105"/>
                    </a:xfrm>
                    <a:prstGeom prst="rect">
                      <a:avLst/>
                    </a:prstGeom>
                    <a:noFill/>
                  </pic:spPr>
                </pic:pic>
              </a:graphicData>
            </a:graphic>
          </wp:anchor>
        </w:drawing>
      </w:r>
    </w:p>
    <w:p>
      <w:pPr>
        <w:sectPr>
          <w:pgSz w:w="11900" w:h="16838" w:orient="portrait"/>
          <w:cols w:equalWidth="0" w:num="1">
            <w:col w:w="10900"/>
          </w:cols>
          <w:pgMar w:left="320" w:top="482" w:right="67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15 and other information included in this prospectus for a discussion of factors you should carefully consider before deciding to invest in the securities being offered by this prospectus.</w:t>
      </w:r>
    </w:p>
    <w:p>
      <w:pPr>
        <w:spacing w:after="0" w:line="200"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and traded on Nasdaq under the symbol “BZAI.”</w:t>
      </w:r>
    </w:p>
    <w:p>
      <w:pPr>
        <w:spacing w:after="0" w:line="200"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w:t>
      </w:r>
    </w:p>
    <w:p>
      <w:pPr>
        <w:spacing w:after="0" w:line="3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82" w:right="6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prospectus also contains forward-looking statements that are subject to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Committed Equity Facility</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Common Stock, if any, we will sell under the Purchase Agreement to B. Riley Principal Capital II, or the actual gross proceeds resulting from those sales.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July 14, 2025, we entered into the Purchase Agreement with B. Riley Principal Capital II, pursuant to which B. Riley Principal Capital II has committed to purchase up to $50,000,000 of shares of our Common Stock, subject to certain limitations and conditions set forth in the Purchase Agreement. The shares of our Common Stock that may be issued under the Purchase Agreement may be sold by us to B. Riley Principal Capital II at our discretion from time to time for a period of up to 36 months (unless the Purchase Agreement is earlier terminated) beginning on the Commencement Date.</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Principal Capital II under the Purchase Agreement.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it is not possible for us to predict the number of shares of Common Stock that we will sell to B. Riley Principal Capital II as Purchase Shares under the Purchase Agreement, the purchase price per share that B. Riley Principal Capital II will pay for Purchase Shares purchased from us under the Purchase Agreement, or the aggregate gross proceeds that we will receive from those purchases by B. Riley Principal Capital II under the Purchase Agreement.</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$50,000,000 of our Common Stock to B. Riley Principal Capital II, only 20,326,158 BRPC Shares are being registered under the Securities Act for resale by B. Riley Principal Capital II under the registration statement that includes this prospectus, which include the 83,353 Commitment Shares that we issued, together with our payment of the Cash Commitment Fee, to B. Riley Principal Capital II upon our execution of the Purchase Agreement on July 14, 2025, as consideration for its commitment to purchase shares of our Common Stock at our direction from time to time under the Purchase Agreement. If it becomes necessary for us to issue and sell to B. Riley Principal Capital II under the Purchase Agreement more than the 20,242,805 Purchase Shares being registered under the Securities Act for resale by B. Riley Principal Capital II under the registration statement that includes this prospectus in order to receive aggregate gross proceeds equal to $50,000,000 under the Purchase Agreement, we must first (i) obtain stockholder approval to issue shares of Common Stock in excess of the Exchange Cap under the Purchase Agreement in accordance with applicable Nasdaq rules, unless the average price for all shares of our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the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 The number of BRPC Shares ultimately offered for resale by B. Riley Principal Capital II through this prospectus is dependent upon the number of shares of Common Stock, if any, we elect to sell to B. Riley Principal Capital II under the Purchase Agreement from and after the Commencement Date.</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issuance of our Common Stock to the Selling Stockholder will cause dilution to our existing stockholders, and the sale of BRPC Shares acquired by the Selling Stockholder, or the perception that such sales may occur, could cause the price of our Common Stock to fall.</w:t>
      </w:r>
    </w:p>
    <w:p>
      <w:pPr>
        <w:spacing w:after="0" w:line="5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purchase price for the shares that we may sell to the Selling Stockholder under the Purchase Agreement will fluctuate based on the price of our Common Stock. Depending on a number of factors, including market liquidity, sales of such shares may cause the trading price of our Common Stock to fall.</w:t>
      </w:r>
    </w:p>
    <w:p>
      <w:pPr>
        <w:spacing w:after="0" w:line="176"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The Selling Stockholder may resell all, some, or none of shares that we sell to the Selling Stockholder subsequent to the date of this prospectus at its discretion, subject to the terms of the Purchase Agreement. Therefore, sales to the Selling Stockholder by us could result in dilution to the interests of other holders of our Common Stock. Additionally, the sale of a substantial number of shares of our Common Stock to the Selling Stockholder, or the anticipation of such sales, could make it more difficult for us to sell equity or equity-related securities in the future at a desirable time and price.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BRPC Shares from the Selling Stockholder at different times will likely pay different prices.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the Purchase Agreement, we will have discretion, subject to market demand, to vary the timing, price and number of shares of Common Stock sold to B. Riley Principal Capital II. If and when we elect to sell Common Stock to B. Riley Principal Capital II pursuant to the Purchase Agreement, after B. Riley Principal Capital II has acquired BRPC Shares, B. Riley Principal Capital II may resell all, some or none of such shares at any time or from time to time in its sole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to B. Riley Principal Capital II under the Purchase Agreement, or if investors expect that we will do so, the actual sales of shares or the mere existence of our arrangement with B. Riley Principal Capital</w:t>
      </w:r>
    </w:p>
    <w:p>
      <w:pPr>
        <w:spacing w:after="0" w:line="6" w:lineRule="exact"/>
        <w:rPr>
          <w:sz w:val="20"/>
          <w:szCs w:val="20"/>
          <w:color w:val="auto"/>
        </w:rPr>
      </w:pPr>
    </w:p>
    <w:p>
      <w:pPr>
        <w:ind w:left="120" w:right="140" w:hanging="4"/>
        <w:spacing w:after="0" w:line="260" w:lineRule="auto"/>
        <w:tabs>
          <w:tab w:leader="none" w:pos="2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it more difficult for us to sell equity or equity-related securities in the future at a time and at a price that we might otherwise wish to effect such sales.</w:t>
      </w:r>
    </w:p>
    <w:p>
      <w:pPr>
        <w:spacing w:after="0" w:line="28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the net proceeds from sales of shares of our Common Stock made pursuant to the Purchase Agreement, if any, in ways with which you may not agree or in ways which may not yield a significant return.</w:t>
      </w:r>
    </w:p>
    <w:p>
      <w:pPr>
        <w:spacing w:after="0" w:line="5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will have broad discretion over the use of the net proceeds from sales of shares of our Common Stock made pursuant to the Purchase Agreement, if any,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proceeds are being used appropriately. However, we have not determined the specific allocation of any net proceeds among these potential uses, and the ultimate use of the net proceeds may vary from the currently intended uses. The net proceeds may be used for corporate purposes that do not increase our operating results or enhance the value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2024 and 2023, we incurred operating losses of $47.6 million and</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$38.5 million, respectively, and used cash in operating activities of $53.5 million and $28.0 million, respectively. As of December 31, 2024, we had an accumulated deficit of $429.3 million. In recent periods, our revenue growth has been attributed to engineering services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indicative of our future growth.</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prior years revenue has largely consisted of engineering services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2025/2026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w:t>
      </w:r>
    </w:p>
    <w:p>
      <w:pPr>
        <w:spacing w:after="0" w:line="93"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Original Equipment Manufacturers (“OEMs”) and Tier-1 suppliers.</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unable to maintain consistent revenue or revenue growth, our stock price could be volatile, and it may be difficult to achieve and maintain profitability.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not rely on our revenue for any prior periods as any indication of our future revenue or revenue growth.</w:t>
      </w:r>
    </w:p>
    <w:p>
      <w:pPr>
        <w:spacing w:after="0" w:line="31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has included in its report for the year ended December 31, 2024 an explanatory paragraph expressing substantial doubt about our ability to continue as a going concern. Our consolidated financial statements have been prepared on a going concern basis as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 These factors raise substantial doubt about our ability to continue as a going concern. If we cannot continue as a viable entity, this could materially adversely affect the value of our securities.</w:t>
      </w:r>
    </w:p>
    <w:p>
      <w:pPr>
        <w:spacing w:after="0" w:line="294"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auto-grade chip.</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 Mercedes-Benz North America Corporation (“Mercedes-Benz”), and their partner vendors to evaluate their requirements for an advanced L4 platform for which we have concluded a phase 1 evaluation.</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near the end of the decade. Our partnership with our main Tier-1 supplier, DENSO Corporation (“DENSO”) continues with projects centered around Blaize’s software and hardware offerings.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near the end of the decade and we anticipate recognizing revenues from these potential future partnerships with automotive OEMs and Tier-1 and Tier-2 partners.</w:t>
      </w:r>
    </w:p>
    <w:p>
      <w:pPr>
        <w:spacing w:after="0" w:line="19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including Mercedes-Benz and DENSO,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choose to adopt competing technologies. If this occurs, it will be extremely difficult to retain our specialist automotive skills and there is a high risk of losing that expertise altogether.</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will be harmed if we are unable to acquire new customers, retain existing customers, expand sales to our existing customers, terminate existing customer or partnership contracts or expand sales to our existing customers.</w:t>
      </w:r>
    </w:p>
    <w:p>
      <w:pPr>
        <w:spacing w:after="0" w:line="5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w:t>
      </w:r>
    </w:p>
    <w:p>
      <w:pPr>
        <w:spacing w:after="0" w:line="17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location footprint;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25"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with large enterprise customers can be long and unpredictable, and our sales efforts require considerable time and expense.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United States;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United States that impose supply chain and manufacturing location restrictions.</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grow our brand recognition, our ability to expand our customer base will be impaired and our financial condition may suffer.</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21" w:lineRule="exact"/>
        <w:rPr>
          <w:sz w:val="20"/>
          <w:szCs w:val="20"/>
          <w:color w:val="auto"/>
        </w:rPr>
      </w:pPr>
    </w:p>
    <w:p>
      <w:pPr>
        <w:jc w:val="both"/>
        <w:ind w:left="120" w:right="160"/>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26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5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262"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and our joint ventures’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capital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183"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its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9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recurrence of pandemics such as COVID-19, or other reasons outside our control;</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its suppliers such as what it experienced as a result of the COVID-19 lockdown in China.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its products could be impacted.</w:t>
      </w:r>
    </w:p>
    <w:p>
      <w:pPr>
        <w:spacing w:after="0" w:line="292" w:lineRule="exact"/>
        <w:rPr>
          <w:sz w:val="20"/>
          <w:szCs w:val="20"/>
          <w:color w:val="auto"/>
        </w:rPr>
      </w:pPr>
    </w:p>
    <w:p>
      <w:pPr>
        <w:ind w:left="120"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28"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85" w:lineRule="exact"/>
        <w:rPr>
          <w:sz w:val="20"/>
          <w:szCs w:val="20"/>
          <w:color w:val="auto"/>
        </w:rPr>
      </w:pPr>
    </w:p>
    <w:p>
      <w:pPr>
        <w:ind w:left="1080" w:right="5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will continue to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9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diverse software codes or business cultures;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5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54" w:lineRule="auto"/>
        <w:rPr>
          <w:sz w:val="20"/>
          <w:szCs w:val="20"/>
          <w:color w:val="auto"/>
        </w:rPr>
      </w:pPr>
      <w:r>
        <w:rPr>
          <w:rFonts w:ascii="Times New Roman" w:cs="Times New Roman" w:eastAsia="Times New Roman" w:hAnsi="Times New Roman"/>
          <w:sz w:val="18"/>
          <w:szCs w:val="18"/>
          <w:color w:val="auto"/>
        </w:rPr>
        <w:t>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192" w:lineRule="exact"/>
        <w:rPr>
          <w:sz w:val="20"/>
          <w:szCs w:val="20"/>
          <w:color w:val="auto"/>
        </w:rPr>
      </w:pPr>
    </w:p>
    <w:p>
      <w:pPr>
        <w:jc w:val="both"/>
        <w:ind w:left="120" w:right="26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extent we hire personnel from competitors, we may be subject to allegations that they have been improperly solicited or have divulged proprietary or other confidential information.</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w:t>
      </w:r>
    </w:p>
    <w:p>
      <w:pPr>
        <w:spacing w:after="0" w:line="28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5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w:t>
      </w:r>
    </w:p>
    <w:p>
      <w:pPr>
        <w:spacing w:after="0" w:line="5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87"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w:t>
      </w:r>
    </w:p>
    <w:p>
      <w:pPr>
        <w:spacing w:after="0" w:line="176"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w:t>
      </w:r>
    </w:p>
    <w:p>
      <w:pPr>
        <w:spacing w:after="0" w:line="18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280"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6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183"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closure of a facility without adequate notice or other unanticipated problems could result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software for our platform. Our inability to obtain third-party licenses for such software, or obtain them on favorable terms, or any errors, bugs, defects or failures caused by such software could adversely affect our business, results of operations and financial condition.</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cause us to subject our platform or products to unwanted open source license conditions that could negatively impact our sales.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19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19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188"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19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30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9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 portion of our business with third-party ecosystem partners to provide defensive solutions that incorporate our products to various foreign and domestic government agencies, which are subject to unique risks.</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transactions involving government contractors may be subject to government review and approvals and may require the contractor to hold certain national security clearances in order to perform them.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189"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16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significantly, we may be unable to obtain the same level of insurance coverage and our insurance coverage may not be adequate to cover all possible losses we may suffer.</w:t>
      </w:r>
    </w:p>
    <w:p>
      <w:pPr>
        <w:spacing w:after="0" w:line="5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generally renew our insurance policies annually. If the cost of coverage becomes too high or if we believe certain coverage becomes inapplicable, we may need to reduce our policy limits, increase retention amounts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w:t>
      </w:r>
    </w:p>
    <w:p>
      <w:pPr>
        <w:spacing w:after="0" w:line="18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$215.5 million of U.S. federal and $149.9 million of state net operating losses, respectively. Certain of our U.S. federal and state net operating loss carryforwards may be carried forward indefinitely, while other of these loss carryforwards are subject to expiration (beginning in 2030) . As of December 31, 2024, we had federal tax credit carryforwards of $5.7 million available to offset future U.S. federal income taxes payable, which will begin to expire in the year 2035. As of December 31, 2024, we had state tax credit carryforwards of $4.3 million available to offset future state income taxes payable and foreign tax credits of $97.2 million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w:t>
      </w:r>
    </w:p>
    <w:p>
      <w:pPr>
        <w:spacing w:after="0" w:line="19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our business and future profitability.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Blaize is a U.S. corporation and thus is subject to U.S. corporate income tax on its worldwide income. Further, since our operations and customers are located throughout the United States, we are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w:t>
      </w:r>
    </w:p>
    <w:p>
      <w:pPr>
        <w:spacing w:after="0" w:line="29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We may be subject to tax liability for past sales, which could harm our business.</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could have a significant adverse effect on our business and the price of our common stock.</w:t>
      </w:r>
    </w:p>
    <w:p>
      <w:pPr>
        <w:spacing w:after="0" w:line="5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comply with the rules of the SEC implementing Sections 302 and 404 of the Sarbanes-Oxley Act, which requires management to certify financial and other information in our quarterly and annual reports and provide an annual management report on the effectiveness of controls over financial reporting. When evaluating our internal control over financial reporting as of March 31, 2025, our management concluded that our disclosure controls and procedures were not effective, due solely to the material weakness in our internal control over financial reporting, identified by BurTech management when preparing the BurTech Acquisition Corp. financial statements for the year ended December 31, 2024. As of March 31, 2025, the material weakness of combined entity has not been remediated by the Company and there can be no assurance that we will not identify additional material weaknesses in the future. If we identify additional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Capital Structure</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warrants or convertible securities may dilute your ownership interest in us and could adversely affect our stock price.</w:t>
      </w:r>
    </w:p>
    <w:p>
      <w:pPr>
        <w:spacing w:after="0" w:line="5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w:t>
      </w:r>
    </w:p>
    <w:p>
      <w:pPr>
        <w:spacing w:after="0" w:line="187"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w:t>
      </w:r>
    </w:p>
    <w:p>
      <w:pPr>
        <w:spacing w:after="0" w:line="27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securityholders in the public market could cause the market price for our Common Stock to decline.</w:t>
      </w:r>
    </w:p>
    <w:p>
      <w:pPr>
        <w:spacing w:after="0" w:line="51"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We are not restricted from issuing additional shares of Common Stock, including securities that are convertible into or exchangeable for, or that represent a right to receive, Common Stock. Any issuance of additional shares of our Common Stock or convertible securities, including the shares issued pursuant to the Purchase Agreement and Cantor Letter Agreement, will dilute the ownership interest of our existing stockholders. Sales of a substantial number of shares of our Common Stock or other equity-related securities in the public market, or the perception that these sales could occur,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27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6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June 30 of that fiscal year; (b)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and stockholder approval of any golden parachute payments not previously approved.</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82"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as well as provisions of Delaware law, could impair a takeover attempt.</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our bylaws and Delaware law each contain provisions that could have the effect of delaying or preventing changes in control or changes in our management without the consent of our board of directors. These provisions include:</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stockholder meetings;</w:t>
      </w:r>
    </w:p>
    <w:p>
      <w:pPr>
        <w:spacing w:after="0" w:line="27"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the ability to remove directors with cause by the affirmative vote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voting power of the outstanding shares of Common Stock entitled to vote thereon;</w:t>
      </w:r>
    </w:p>
    <w:p>
      <w:pPr>
        <w:spacing w:after="0" w:line="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w:t>
      </w:r>
    </w:p>
    <w:p>
      <w:pPr>
        <w:spacing w:after="0" w:line="8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in control of us or changes in our Board and our management.</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 (B)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w:t>
      </w:r>
    </w:p>
    <w:p>
      <w:pPr>
        <w:spacing w:after="0" w:line="183" w:lineRule="exact"/>
        <w:rPr>
          <w:sz w:val="20"/>
          <w:szCs w:val="20"/>
          <w:color w:val="auto"/>
        </w:rPr>
      </w:pPr>
    </w:p>
    <w:p>
      <w:pPr>
        <w:ind w:left="120" w:right="120"/>
        <w:spacing w:after="0" w:line="271"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w:t>
      </w:r>
    </w:p>
    <w:p>
      <w:pPr>
        <w:spacing w:after="0" w:line="27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regardless of our operating performance. You may lose some or all of your investment.</w:t>
      </w:r>
    </w:p>
    <w:p>
      <w:pPr>
        <w:spacing w:after="0" w:line="5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this section and the following:</w:t>
      </w:r>
    </w:p>
    <w:p>
      <w:pPr>
        <w:spacing w:after="0" w:line="81" w:lineRule="exact"/>
        <w:rPr>
          <w:sz w:val="20"/>
          <w:szCs w:val="20"/>
          <w:color w:val="auto"/>
        </w:rPr>
      </w:pPr>
    </w:p>
    <w:p>
      <w:pPr>
        <w:ind w:left="1080" w:right="3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 and/or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clients’ businesses or our competitors’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and other requirements as a result of being an “emerging growth company” under the Jumpstart Our Business Startups Act (the “JOBS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privacy or data breaches, or the loss of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8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67"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9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Stock could decline.</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293"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6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continued financial support from our shareholders and other related parties. We cannot be certain when or if our operations will generate sufficient cash to fund our ongoing operations or the growth of our business.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our Common Stock to make claims on our assets. As a result, our stockholders bear the risk of future issuances of debt securities reducing the value of our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COMMITTED EQUITY FACILITY</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July 14, 2025, we entered into the Purchase Agreement and the Registration Rights Agreement with B. Riley Principal Capital II. Upon the terms and subject to the satisfaction of the conditions contained in the Purchase Agreement, from and after the Commencement Date, we will have the right, in our sole discretion, to sell to B. Riley Principal Capital II up to $50,000,000 of shares of our Common Stock, subject to certain limitations set forth in the Purchase Agreement, from time to time after the date of this prospectus and during the term of the Purchase Agreement. Sales of Common Stock by us to B. Riley Principal Capital II under the Purchase Agreement, and the timing of any such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resale by B. Riley Principal Capital II of up to 20,326,158 BRPC Shares, consisting of (i) up to 20,242,805 Purchase Shares that we may, in our sole discretion, elect to sell to B. Riley Principal Capital II, from time to time over a period of up to 36 months from and after the Commencement Date pursuant to the Purchase Agreement and (ii) the 83,353 Commitment Shares we issued, together with our payment of the Cash Commitment Fee, to B. Riley Principal Capital II upon our execution of the Purchase Agreement on July 14, 2025, as consideration for its commitment to purchase shares of our Common Stock that we may, in our sole discretion, direct B. Riley Principal Capital II to purchase from us pursuant to the Purchase Agreement.</w:t>
      </w:r>
    </w:p>
    <w:p>
      <w:pPr>
        <w:spacing w:after="0" w:line="190"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7"/>
          <w:szCs w:val="17"/>
          <w:color w:val="auto"/>
        </w:rPr>
        <w:t>We do not have the right to commence any sales of our Common Stock to B. Riley Principal Capital II under the Purchase Agreement until the Commencement Date, which is the date on which all of the conditions to B. Riley Principal Capital II’s purchase obligation set forth in the Purchase Agreement have initially been satisfied, none of which are in B. Riley Principal Capital II’s control, including that the registration statement that includes this prospectus shall have been declared effective by the SEC and the final form of this prospectus shall have been filed with the SEC. From and after the Commencement Date, we have the right, but not the obligation, from time to time at our sole discretion for a period of up to 36 months, unless the Purchase Agreement is earlier terminated, to direct B. Riley Principal Capital II to purchase up to a specified maximum amount of shares of Common Stock in one or more Market Open Purchases and Intraday Purchases as set forth in the Purchase Agreement, by timely delivering a written Market Open Purchase Notice for each Market Open Purchase and timely delivering a written Intraday Purchase Notice for each Intraday Purchase, if any, to B. Riley Principal Capital II in accordance with the Purchase Agreement on any trading day we select as the Purchase Date therefor, so long as</w:t>
      </w:r>
    </w:p>
    <w:p>
      <w:pPr>
        <w:spacing w:after="0" w:line="5" w:lineRule="exact"/>
        <w:rPr>
          <w:sz w:val="20"/>
          <w:szCs w:val="20"/>
          <w:color w:val="auto"/>
        </w:rPr>
      </w:pPr>
    </w:p>
    <w:p>
      <w:pPr>
        <w:ind w:left="340" w:hanging="224"/>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9" w:lineRule="exact"/>
        <w:rPr>
          <w:rFonts w:ascii="Times New Roman" w:cs="Times New Roman" w:eastAsia="Times New Roman" w:hAnsi="Times New Roman"/>
          <w:sz w:val="18"/>
          <w:szCs w:val="18"/>
          <w:color w:val="auto"/>
        </w:rPr>
      </w:pPr>
    </w:p>
    <w:p>
      <w:pPr>
        <w:ind w:left="120" w:right="80" w:hanging="4"/>
        <w:spacing w:after="0" w:line="255" w:lineRule="auto"/>
        <w:tabs>
          <w:tab w:leader="none" w:pos="3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(as applicable) effected by us under the Purchase Agreement, including all prior purchases effected on the same Purchase Date, have been received by B. Riley Principal Capital II at such time and in the manner set forth in the Purchase Agreement.</w:t>
      </w:r>
    </w:p>
    <w:p>
      <w:pPr>
        <w:spacing w:after="0" w:line="18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From and after Commencement, the Company will control the timing and amount of any sales of Common Stock to B. Riley Principal Capital II. Actual sales of shares of our Common Stock to B. Riley Principal Capital II under the Purchase Agreement will depend on a variety of factors to be determined by us from time to time, including, among other things, market conditions, the trading price of our Common Stock and determinations by us as to the appropriate sources of funding for our company and its operations.</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B. Riley Principal Capital II under the Purchase Agreement shares of Common Stock in excess of the 19.99%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of the Purchase Agreement, adjusted as required by Nasdaq to take into account our payment of the Cash Commitment Fee and our issuance of the Commitment Shares to B. Riley Principal Capital II for non-cash consideration), so that the Exchange Cap limitation will not apply to issuances and sales of Common Stock pursuant to the Purchase Agreement.</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Exchange Act and Rule 13d-3 thereunder), would result in B. Riley Principal Capital II beneficially owning shares of Common Stock in excess of the 4.99% Beneficial Ownership Limitation.</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net proceeds to us from sales that we elect to make to B. Riley Principal Capital II under the Purchase Agreement, if any, will depend on the frequency and prices at which we sell shares of our Common Stock to B. Riley Principal Capital II. We expect that any proceeds received by us from such sales to B. Riley Principal Capital II will be used for working capital and general corporate purposes.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Neither we nor B. Riley Principal Capital II may assign or transfer our respective rights and obligations under the Purchase Agreement or the Registration Rights Agreement, and no provision of the Purchase Agreement or the Registration Rights Agreement may be modified or waived by us or B. Riley Principal Capital II.</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consideration for B. Riley Principal Capital II’s commitment to purchase shares of Common Stock at our direction upon the terms and subject to the conditions set forth in the Purchase Agreement, upon our execution of the Purchase Agreement, we (i) paid B. Riley Principal Capital II the Cash Commitment Fee in the amount of $200,000, which represents 0.4% of B. Riley Principal Capital II’s $50,000,000 total aggregate purchase commitment under the Purchase Agreement and (ii) delivered irrevocable instructions to the transfer agent to the Commitment Shares, which Commitment Shares have a total aggregate value equal to 0.5% of B. Riley Principal Capital II’s $50,000,000 total aggregate purchase commitment under the Purchase Agreement (assuming a value per Commitment Share of $2.9993, representing the VWAP for the five consecutive days immediately prior to signing of the Purchase Agreement, rounded to the nearest whole, to B. Riley Principal Capital II no later than 4:00 p.m. (New York City time) on the trading day immediately following the closing of the Purchase Agreement. The Cash Commitment Fee will be paid by wire transfer of immediately available funds to an account designated by B. Riley Principal Capital II on or prior to the date of the Purchase Agreement. See “</w:t>
      </w:r>
      <w:r>
        <w:rPr>
          <w:rFonts w:ascii="Times New Roman" w:cs="Times New Roman" w:eastAsia="Times New Roman" w:hAnsi="Times New Roman"/>
          <w:sz w:val="18"/>
          <w:szCs w:val="18"/>
          <w:i w:val="1"/>
          <w:iCs w:val="1"/>
          <w:color w:val="auto"/>
        </w:rPr>
        <w:t>Plan of Distribution (Conflict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Offer and Resale of Common Stock by the Selling Stockholder</w:t>
      </w:r>
      <w:r>
        <w:rPr>
          <w:rFonts w:ascii="Times New Roman" w:cs="Times New Roman" w:eastAsia="Times New Roman" w:hAnsi="Times New Roman"/>
          <w:sz w:val="18"/>
          <w:szCs w:val="18"/>
          <w:color w:val="auto"/>
        </w:rPr>
        <w:t>” for more information about the Cash Commitment Fee we paid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 Agreement.</w:t>
      </w:r>
    </w:p>
    <w:p>
      <w:pPr>
        <w:spacing w:after="0" w:line="19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the Initial Investor Legal Fee Reimbursement Amount of $125,000 upon our execution of the Purchase Agreement and Registration Rights Agreement, and the Additional Investor Legal Fee Reimbursement Amount of up to $5,000 per fiscal quarter.</w:t>
      </w:r>
    </w:p>
    <w:p>
      <w:pPr>
        <w:spacing w:after="0" w:line="176"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Common Stock Under the Purchase Agreement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 Open Purchases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From and after the Commencement Date, we will have the right, but not the obligation, from time to time at our sole discretion for a period of up to 36 months, unless the Purchase Agreement is earlier terminated, beginning on the Commencement Date, to direct B. Riley Principal Capital II to purchase a specified number of shares of Common Stock, not to exceed the applicable Market Open Purchase Maximum Amount, in a Market Open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 under the Purchase Agreement, by timely delivering a written Market Open Purchase Notice to B. Riley Principal Capital II, prior to 9:00 a.m.,</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City time, on any trading day we select as the Purchase Date for such Market Open Purchase, so long as:</w:t>
      </w:r>
    </w:p>
    <w:p>
      <w:pPr>
        <w:spacing w:after="0" w:line="112" w:lineRule="exact"/>
        <w:rPr>
          <w:sz w:val="20"/>
          <w:szCs w:val="20"/>
          <w:color w:val="auto"/>
        </w:rPr>
      </w:pPr>
    </w:p>
    <w:p>
      <w:pPr>
        <w:ind w:left="1080" w:right="4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effected by us under the Purchase Agreement have been received by B. Riley Principal Capital II prior to the time we deliver such Market Open Purchase Notice to B. Riley Principal Capital II.</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Maximum Amount applicable to such Market Open Purchase will be equal to the lesser of:</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Open Purchase Percentage (as specified in the applicable Market Open Purchase Notice for such Purchase) of the total aggregate number (or volume) of shares of our Common Stock traded on Nasdaq during the applicable Market Open Purchase Valuation Period for such Market Open Purchase.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actual number of shares of Common Stock that B. Riley Principal Capital II will be required to purchase in a Market Open Purchase, which we refer to as the Market Open Purchase Share Amount, will be equal to the number of shares that we specify in the applicable Market Open Purchase Notice, subject to adjustment to the extent necessary to give effect to the applicable Market Open Purchase Maximum Amount and other applicable limitations set forth in the Purchase Agreement, including the Beneficial Ownership Limitation and, if then applicable, the Exchange Cap.</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will be required to pay for the Market Open Purchase Share Amount in a Market Open Purchase effected by us pursuant to the Purchase Agreement, if any, will be equal to the VWAP of our Common Stock for the applicable Market Open Purchase Valuation Period on the Purchase Date for such Market Open Purchase, less a fixed 3.0% discount to the VWAP for such Market Open Purchase Valuation Period. The Market Open Purchase Valuation Period for a Market Open Purchase is defined in the Purchase Agreement as the period beginning at the official open (or “commencement”) of the regular trading session on Nasdaq on the applicable Purchase Date for such Market Open Purchase, and ending at the earliest to occur of:</w:t>
      </w:r>
    </w:p>
    <w:p>
      <w:pPr>
        <w:spacing w:after="0" w:line="93" w:lineRule="exact"/>
        <w:rPr>
          <w:sz w:val="20"/>
          <w:szCs w:val="20"/>
          <w:color w:val="auto"/>
        </w:rPr>
      </w:pPr>
    </w:p>
    <w:p>
      <w:pPr>
        <w:ind w:left="1080" w:right="1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 p.m., New York City time, on such Purchase Date or such earlier time publicly announced by the trading market as the official close of the regular trading session on such Purchase Date;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total aggregate number (or volume) of shares of Common Stock traded on Nasdaq during such Market Open Purchase Valuation Period reaches the applicable Market Open Purchase Share Volume Maximum for such Market Open Purchase, which will be determined by dividing (a) the applicable Market Open Purchase Share Amount for such Market Open Purchase, by (b) the Market Open Purchase Percentage we specified in the applicable Market Open Purchase Notice for such Market Open Purchase;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further specify in the applicable Market Open Purchase Notice for such Market Open Purchase that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Under the Purchase Agreement, for purposes of calculating the volume of shares of Common Stock traded during a Market Open Purchase Valuation Period, including for purposes of determining whether the applicable Market Open Purchase Share Volume Maximum for a Market Open Purchase has been reached, for purposes of calculating the VWAP of our Common Stock for the applicable Market Open Purchase Valuation Period, and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extent that we specify in the applicable Market Open Purchase Notice that the Limit Order Discontinue Election will apply,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Intraday Purchases</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addition to the Market Open Purchases described above, from and after the Commencement Date, we will also have the right, but not the obligation, subject to the continued satisfaction of the conditions set forth in the Purchase Agreement, to direct B. Riley Principal Capital II to make Intraday Purchases (whether or not a Market Open Purchase is effected on such Purchase Date), not to exceed the applicable Intraday Purchase Maximum Amount, in an Intraday Purchase under the Purchase Agreement, by timely delivering a written Intraday Purchase Notice to B. Riley Principal Capital II, after 10:00 a.m., New York City time (and after the Market Open Purchase Valuation Period for any earlier Market Open Purchase and the Intraday Purchase Valuation Period for the most recent prior Intraday Purchase effected on the same Purchase Date if applicable, have ended), and prior to 3:30 p.m., New York City time, on such Purchase Date, so long as:</w:t>
      </w:r>
    </w:p>
    <w:p>
      <w:pPr>
        <w:spacing w:after="0" w:line="94" w:lineRule="exact"/>
        <w:rPr>
          <w:sz w:val="20"/>
          <w:szCs w:val="20"/>
          <w:color w:val="auto"/>
        </w:rPr>
      </w:pPr>
    </w:p>
    <w:p>
      <w:pPr>
        <w:ind w:left="1080" w:right="3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in the manner set forth in the Purchase Agreement, prior to the time we deliver the Intraday Purchase Notice for such applicable Intraday Purchase to B. Riley Principal Capital II.</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Intraday Purchase Maximum Amount applicable to such Intraday Purchase will be equal to the lesser of:</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Intraday Purchase Percentage (as specified by us in the applicable Intraday Purchase Notice for such Intraday Purchase) of the total aggregate number (or volume) of shares of our Common Stock traded on Nasdaq during the applicable Intraday Purchase Valuation Period for such Intraday Purchase.</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actual number of shares of Common Stock that B. Riley Principal Capital II will be required to purchase in an Intraday Purchase, which we refer to as the Intraday Purchase Share Amount, will be equal to the number of shares that we specify in the applicable Intraday Purchase Notice, subject to adjustment to the extent necessary to give effect to the applicable Intraday Purchase Maximum Amount and other applicable limitations set forth in the Purchase Agreement, including the Beneficial Ownership Limitation and, if then applicable, the Exchange Cap.</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will be required to pay for the Intraday Purchase Share Amount in an Intraday Purchase effected by us pursuant to the Purchase Agreement, if any, will be calculated in the same manner as in the case of a Market Open Purchase (including the same fixed percentage discounts to the applicable VWAP used to calculate the per share purchase price for a Market Open Purchase as described above), provided that the VWAP used to determine the purchase price for the Intraday Purchase Share Amount to be purchased in an Intraday Purchase will be equal to the VWAP for the applicable Intraday Purchase Valuation Period on the Purchase Date for such Intraday Purchase. The Intraday Purchase Valuation Period for an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82"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Intraday Purchase is defined in the Purchase Agreement as the period during the regular trading session on Nasdaq on such Purchase Date, beginning at the latest to occur of:</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of confirmation of B. Riley Principal Capital II’s receipt of the applicable Intraday Purchase Notice;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Market Open Purchase Valuation Period for any prior Market Open Purchase effected on the same Purchase Date (if any) has ended;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Intraday Purchase Valuation Period for the most recent prior Intraday Purchase effected on the same Purchase Date (if any) has ended,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ending at the earliest to occur of:</w:t>
      </w:r>
    </w:p>
    <w:p>
      <w:pPr>
        <w:spacing w:after="0" w:line="131" w:lineRule="exact"/>
        <w:rPr>
          <w:sz w:val="20"/>
          <w:szCs w:val="20"/>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 p.m., New York City time, on such Purchase Date or such earlier time publicly announced by the trading market as the official close of the regular trading session on such Purchase Date;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total aggregate number (or volume) of shares of Common Stock traded on Nasdaq during such Intraday Purchase Valuation Period reaches the applicable Intraday Purchase Share Volume Maximum for such Intraday Purchase, which will be determined by dividing (a) the applicable Intraday Purchase Share Amount for such Intraday Purchase, by (b) the Purchase Percentage we specified in the applicable Intraday Purchase Notice for determining the applicable Intraday Purchase Share Amount for such Intraday Purchase; and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further specify Limit Order Discontinue Election in the applicable Intraday Purchase Notice for such Intraday Purchase, such time that the trading price of our Common Stock on Nasdaq during such Intraday Purchase Valuation Period (calculated in accordance with the Purchase Agreement) falls below the applicable Minimum Price Threshold.</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with Market Open Purchases, for purposes of calculating the volume of shares of Common Stock traded during an Intraday Purchase Valuation Period, including for purposes of determining whether the applicable Intraday Purchase Share Volume Maximum for an Intraday Purchase has been reached, for purposes of calculating the VWAP of our Common Stock for the applicable Intraday Purchase Valuation Period, the following transactions, to the extent they occur during such Intraday Purchase Valuation Period, are excluded: (x) the opening or first purchase of Common Stock at or following the official open of the regular trading session on Nasdaq on the applicable Purchase Date for such Intraday Purchase, (y) the last or closing sale of Common Stock at or prior to the official close of the regular trading session on Nasdaq on the applicable Purchase Date for such Intraday Purchase, and (z) if we have specified in the applicable Intraday Purchase Notice for such Intraday Purchase that a Limit Order Continue Election, rather than a Limit Order Discontinue Election, shall apply to such Intraday Purchase, all purchases and sales of Common Stock on Nasdaq during such Intraday Purchase Valuation Period at a price per share that is less than the applicable Minimum Price Threshold for such Intraday Purchase.</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in our sole discretion, timely deliver multiple Intraday Purchase Notices to B. Riley Principal Capital II prior to 3:30 p.m., New York City time, on a single Purchase Date to effect multiple Intraday Purchases on such same Purchase Date, provided that the Market Open Purchase Valuation Period for any earlier Market Open Purchase effected on the same Purchase Date (as applicable) and the Intraday Purchase Valuation Period for the most recent prior Intraday Purchase effected on the same Purchase Date have ended prior to 3:30 p.m., New York City time, on such Purchase Date, and so long as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prior to the time we deliver to B. Riley Principal Capital II a new Intraday Purchase Notice to effect an additional Intraday Purchase on the same Purchase Date as an earlier Market Open Purchase (as applicable) and one or more earlier Intraday Purchases effected on such same Purchase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terms and limitations that will apply to each subsequent additional Intraday Purchase effected on the same Purchase Date will be the same as those applicable to any earlier Market Open Purchase (as applicable) and any earlier Intraday Purchase effected on the same Purchase Date as such subsequent additional Intraday Purchase, and the per share purchase price for the shares of Common Stock that we elect to sell to B. Riley Principal Capital II in each subsequent additional Intraday Purchase effected on the same Purchase Date as an earlier Market Open Purchase (as applicable) and/or earlier Intraday Purchase(s) effected on such Purchase Date will be calculated in the same manner as in the case of such earlier Market Open Purchase (as applicable) and such earlier Intraday Purchase(s) effected on the same Purchase Date as such subsequent additional Intraday Purchase, with the exception that the Intraday Purchase Valuation Period for each subsequent additional Intraday Purchase will begin and end at different times (and may vary in duration) during the regular trading session on such Purchase Date, in each case as determined in accordance with the Purchase Agreement.</w:t>
      </w:r>
    </w:p>
    <w:p>
      <w:pPr>
        <w:spacing w:after="0" w:line="17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 volume or minimum price threshold in connection with any such Market Open Purchase or Intraday Purchase (as applicable), in each case, will be equitably adjusted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At or prior to 5:30 p.m., New York City time, on the applicable Purchase Date for a Market Open Purchase and/or Intraday Purchase, B. Riley Principal Capital II will provide us with a written confirmation for such Market Open Purchase and/or Intraday Purchase, as applicable, setting forth the applicable purchase price (both on a per share basis and the total aggregate purchase price) to be paid by B. Riley Principal Capital II for the shares of Common Stock purchased by B. Riley Principal Capital II in such Market Open Purchase and/or Intraday Purchase, as applicable.</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payment for, against delivery of, shares of Common Stock purchased by B. Riley Principal Capital II in any Market Open Purchase or any Intraday Purchase under the Purchase Agreement will be fully settled on the trading day immediately following the applicable Purchase Date for such Market Open Purchase or such Intraday Purchase (as applicable), as set forth in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Precedent to Commencement and Each Purchase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 Riley Principal Capital II’s obligation to accept Market Open Purchase Notices and Intraday Purchase Notices that are timely delivered by us under the Purchase Agreement and to purchase shares of our Common Stock in Market Open Purchases and Intraday Purchases under the Purchase Agreement, are subject to (i) the initial satisfaction, at the Commencement, and (ii) the satisfaction, at the applicable “Purchase Condition Satisfaction Time” (as such term is defined in the Purchase Agreement) on the applicable Purchase Date for each Market Open Purchase and Intraday Purchase after the Commencement Date, of the conditions precedent thereto set forth in the Purchase Agreement, all of which are entirely outside of B. Riley Principal Capital II’s control, which conditions including the following:</w:t>
      </w:r>
    </w:p>
    <w:p>
      <w:pPr>
        <w:spacing w:after="0" w:line="93"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Company included in the Purchase Agreement;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performed, satisfied and complied in all material respects with all covenants, agreements and conditions required by the Purchase Agreement to be performed, satisfied or complied with by the Company;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that includes this prospectus (and any one or more additional registration statements filed with the SEC that include shares of Common Stock that may be issued and sold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61" w:lineRule="auto"/>
        <w:rPr>
          <w:sz w:val="20"/>
          <w:szCs w:val="20"/>
          <w:color w:val="auto"/>
        </w:rPr>
      </w:pPr>
      <w:r>
        <w:rPr>
          <w:rFonts w:ascii="Times New Roman" w:cs="Times New Roman" w:eastAsia="Times New Roman" w:hAnsi="Times New Roman"/>
          <w:sz w:val="18"/>
          <w:szCs w:val="18"/>
          <w:color w:val="auto"/>
        </w:rPr>
        <w:t>Company to B. Riley Principal Capital II under the Purchase Agreement) having been declared effective under the Securities Act by the SEC, and B. Riley Principal Capital II being able to utilize this prospectus (and the prospectus included in any one or more additional registration statements filed with the SEC under the Registration Rights Agreement) to resell all of BRPC Shares included in this prospectus (and included in any such additional prospectuses);</w:t>
      </w:r>
    </w:p>
    <w:p>
      <w:pPr>
        <w:spacing w:after="0" w:line="85" w:lineRule="exact"/>
        <w:rPr>
          <w:sz w:val="20"/>
          <w:szCs w:val="20"/>
          <w:color w:val="auto"/>
        </w:rPr>
      </w:pPr>
    </w:p>
    <w:p>
      <w:pPr>
        <w:ind w:left="1080" w:hanging="424"/>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shall not have issued any stop order suspending the effectiveness of the registration statement that includes this prospectus (or any one or more additional registration statements filed with the SEC that include shares of Common Stock that may be issued and sold by the Company to B. Riley Principal Capital II under the Purchase Agreement) or prohibiting or suspending the use of this prospectus (or the prospectus included in any one or more additional registration statements filed with the SEC under the Registration Rights Agreement), and the absence of any suspension of qualification or exemption from qualification of the Common Stock for offering or sale in any jurisdiction;</w:t>
      </w:r>
    </w:p>
    <w:p>
      <w:pPr>
        <w:spacing w:after="0" w:line="92"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provided an objection to, and shall have confirmed in writing that it has determined not to raise any objections with respect to the fairness and reasonableness of, the terms and arrangements of the transactions contemplated by the Purchase Agreement and the Registration Rights Agreement;</w:t>
      </w:r>
    </w:p>
    <w:p>
      <w:pPr>
        <w:spacing w:after="0" w:line="81"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shares of Common Stock that may be issued and sold by the Company to B. Riley Principal Capital II under the Purchase Agreement) untrue or which requires the making of any additions to or changes to the statements contained 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w:t>
      </w:r>
    </w:p>
    <w:p>
      <w:pPr>
        <w:spacing w:after="0" w:line="94"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in final form, shall have been filed with the SEC under the Securities Act prior to Commencement, and all reports, schedules, registrations, forms, statements, information and other documents required to have been filed by the Company with the SEC pursuant to the reporting requirements of the Exchange Act shall have been filed with the SEC;</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shall not have been suspended by the SEC or Nasdaq, the Company shall not have received any final and non-appealable notice that the listing or quotation of the Common Stock on Nasdaq, shall be terminated on a date certain (unless, prior to such date, the Common Stock is listed or quoted on any other Eligible Market, as such term is defined in the Purchase Agreement), and there shall be no suspension of, or restriction on, accepting additional deposits of the Common Stock, electronic trading or book-entry services by The Depository Trust Company with respect to the Common Stock;</w:t>
      </w:r>
    </w:p>
    <w:p>
      <w:pPr>
        <w:spacing w:after="0" w:line="88"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all applicable federal, state and local governmental laws, rules, regulations and ordinances in connection with the execution, delivery and performance of the Purchase Agreement and the Registration Rights Agreement;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spacing w:after="0" w:line="81"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with such transactions;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of Common Stock and all of the Commitment Shares that may be issued pursuant to the Purchase Agreement shall have been approved for listing or quotation on Nasdaq (or if the Common Stock or Commitment Shares are not then listed on Nasdaq, then on any Eligible Market), subject only to notice of issuance;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such term is defined in the Purchase Agreement) shall have occurred and be continuing;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bankruptcy proceeding against the Company commenced by a third party, and the Company shall not have commenced a voluntary bankruptcy proceeding, consented to the entry of an order for relief against it in an involuntary bankruptcy case, consented to the appointment of a custodian of the Company or for all or substantially all of its property in any bankruptcy proceeding, or made a general assignment for the benefit of its creditors;</w:t>
      </w:r>
    </w:p>
    <w:p>
      <w:pPr>
        <w:spacing w:after="0" w:line="85"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B. Riley Principal Capital II of the legal opinions and negative assurances, bring-down legal opinions and negative assurances, and audit comfort letters, in each case as required under the Purchase Agreement;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caused the Company’s transfer agent to credit to B. Riley Principal Capital II’s or its designee’s account at DTC as DWAC Shares such number of shares of Common Stock equal to the number of Commitment Shares issued to B. Riley Principal Capital II.</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earlier terminated as provided in the Purchase Agreement, the Purchase Agreement will terminate automatically on the earliest to occur of:</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36-month anniversary of the Commencement Date;</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B. Riley Principal Capital II shall have purchased shares of Common Stock under the Purchase Agreement for an aggregate gross purchase price equal to $50,000,000;</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Common Stock shall have failed to be listed or quoted on Nasdaq or any other Eligible Market for a period of one trading day;</w:t>
      </w:r>
    </w:p>
    <w:p>
      <w:pPr>
        <w:spacing w:after="0" w:line="67" w:lineRule="exact"/>
        <w:rPr>
          <w:rFonts w:ascii="Times New Roman" w:cs="Times New Roman" w:eastAsia="Times New Roman" w:hAnsi="Times New Roman"/>
          <w:sz w:val="18"/>
          <w:szCs w:val="18"/>
          <w:color w:val="auto"/>
        </w:rPr>
      </w:pPr>
    </w:p>
    <w:p>
      <w:pPr>
        <w:ind w:left="1080" w:hanging="424"/>
        <w:spacing w:after="0" w:line="230"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date on which a voluntary or involuntary bankruptcy proceeding involving our company has been commenced that is not discharged or dismissed prior to such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and</w:t>
      </w:r>
    </w:p>
    <w:p>
      <w:pPr>
        <w:ind w:left="1080" w:right="14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bankruptcy custodian is appointed for all or substantially all of our property, or we make a general assignment for the benefit of our creditors.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Commencement, at no cost or penalty, upon 10 trading days’ prior written notice to B. Riley Principal Capital II. We and B. Riley Principal Capital II may also terminate the Purchase Agreement at any time by mutual written consent.</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B. Riley Principal Capital II also has the right to terminate the Purchase Agreement upon 10 trading days’ prior written notice to us, but only upon the occurrence of certain events, including: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and continuation of a Material Adverse Effect (as such term is defined in the Purchase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Fundamental Transaction (as such term defined in the Purchase Agreement) involving our company;</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registration statement is not filed by the applicable Filing Deadline (as defined in the Registration Rights Agreement) or declared effective by the SEC by the applicable Effectiveness Deadline (as defined in the Registration Rights Agreement), or the Company is otherwise in breach or default in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material respect under any of the other provisions of the Registration Rights Agreement, and, if such failure, breach or default is capable of being cured, such failure, breach or default is not cured within 10 trading days after notice of such failure, breach or default is delivered to us;</w:t>
      </w:r>
    </w:p>
    <w:p>
      <w:pPr>
        <w:spacing w:after="0" w:line="81" w:lineRule="exact"/>
        <w:rPr>
          <w:sz w:val="20"/>
          <w:szCs w:val="20"/>
          <w:color w:val="auto"/>
        </w:rPr>
      </w:pPr>
    </w:p>
    <w:p>
      <w:pPr>
        <w:ind w:left="1080" w:right="4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in breach or default in any material respect of any of our covenants and agreements in the Purchase Agreement or in the Registration Rights Agreement, and, if such breach or default is capable of being cured, such breach or default is not cured within 10 trading days after notice of such breach or default is delivered to us;</w:t>
      </w:r>
    </w:p>
    <w:p>
      <w:pPr>
        <w:spacing w:after="0" w:line="81"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that includes this prospectus or any additional registration statement we file with the SEC pursuant to the Registration Rights Agreement lapses for any reason (including the issuance of a stop order by the SEC), or this prospectus or the prospectus included in any additional registration statement we file with the SEC pursuant to the Registration Rights Agreement otherwise becomes unavailable to B. Riley Principal Capital II for the resale of all of BRPC Shares included therein, and such lapse or unavailability continues for a period of 45 consecutive trading days or for more than an aggregate of 90 trading days in any 365-day period, other than due to acts of B. Riley Principal Capital II; or</w:t>
      </w:r>
    </w:p>
    <w:p>
      <w:pPr>
        <w:spacing w:after="0" w:line="92"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on Nasdaq (or if the Common Stock is then listed on an Eligible Market, trading in the Common Stock on such Eligible Market) has been suspended for a period of five consecutive trading days.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No termination of the Purchase Agreement by us or by B. Riley Principal Capital II will become effective prior to the fifth trading day immediately following the date on which any pending Market Open Purchase and any pending Intraday Purchase has been fully settled in accordance with the terms and conditions of the Purchase Agreement, and no termination will affect any of our respective rights and obligations under the Purchase Agreement with respect to any pending Market Open Purchase, any pending Intraday Purchase, the Commitment Shares, and any fees and disbursements of B. Riley Principal Capital II’s legal counsel in connection with the transactions contemplated by the Purchase Agreement and the Registration Rights Agreement. Both we and B. Riley Principal Capital II have agreed to complete our respective obligations with respect to any such pending Market Open Purchase and any pending Intraday Purchase under the Purchase Agreement. Furthermore, no termination of the Purchase Agreement will affect the Registration Rights Agreement, which will survive any termination of the Purchase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Short-Selling or Hedging by B. Riley Principal Capital II</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engage in or effect, directly or indirectly, any of the foregoing transactions either for B. Riley Principal Capital II’s own principal account or for the principal account of any such entity managed or controlled by B. Riley Principal Capital II.</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on Variable Rate Transactions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specified exceptions included in the Purchase Agreement, we are limited in our ability to enter into specified “Variable Rate Transactions” (as such term is defined in the Purchase Agreement) during the term of the Purchase Agreement. Such transactions include, among others, the issuance of convertible securities with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Sales of our Common Stock under the Purchase Agreement on our Stockholders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Commitment Shares that we issued, and the Purchase Shares to be issued or sold by us, to B. Riley Principal Capital II under the Purchase Agreement that are being registered under the Securities Act for resale by B. Riley Principal Capital II in this offering are expected to be freely tradable. The 20,242,805 Purchase Shares being registered for resale in this offering may be issued and sold by us to B. Riley Principal Capital II from time to time at our discretion over a period of up to 36 months (unless the Purchase Agreement is earlier terminated), beginning on the Commencement Date. The resale by B. Riley Principal Capital II of a significant amount of BRPC Shares registered for resale in this offering at any given time, or the perception that these sales may occur, could cause the market price of our Common Stock to decline and to be highly volatile.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and when we do elect to sell shares of our Common Stock to B. Riley Principal Capital II pursuant to the Purchase Agreement, after B. Riley Principal Capital II has acquired such shares, B. Riley Principal Capital II may resell all, some or none of such shares at any time or from time to time in its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of our Common Stock to B. Riley Principal Capital II under the Purchase Agreement, or if investors expect that we will do so, the actual sales of shares or the mere existence of our arrangement with B. Riley Principal Capital II may make it more difficult for us to sell equity or equity-related securities in the future at a time and at a price that we might otherwise wish to effect such sales.</w:t>
      </w:r>
    </w:p>
    <w:p>
      <w:pPr>
        <w:spacing w:after="0" w:line="18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July 14, 2025, there were 101,682,422 shares of our Common Stock outstanding, of which 53,453,601 shares were held by non-affiliates of our company. If all of the 20,242,805 Purchase Shares offered for resale by B. Riley Principal Capital II under this prospectus were issued and outstanding as of the date hereof, such shares would represent approximately 19.91% of the total number of outstanding shares of Common Stock and approximately 37.87% of the total number of outstanding shares of Common Stock held by non-affiliates of our company, in each case as of July 14, 2025.</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$50,000,000 of our Common Stock to B. Riley Principal Capital II, only 20,242,805 Purchase Shares (in addition to the 83,353 Commitment Shares, for which we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have not and will not receive any cash consideration) are being registered under the Securities Act for resale by B. Riley Principal Capital II under the registration statement that includes this prospectus. If we were to issue and sell all of such 20,242,805 Purchase Shares to B. Riley Principal Capital II (without taking into account the 19.99% Exchange Cap limitation) at an assumed purchase price per share of $2.91, representing the closing sale price of our Common Stock on Nasdaq on July 14, 2025, we would only receive approximately $59,000,000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in the future need to register under the Securities Act additional shares of our Common Stock for resale by B. Riley Principal Capital II which, together with the 20,242,805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$50,000,000 maximum aggregate purchase commitment available to us under the Purchase Agreement.</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we elect to issue and sell to B. Riley Principal Capital II more than the 20,326,158 BRPC Shares being registered under the Securities Act for resale by B. Riley Principal Capital II under the registration statement that includes this prospectus (83,353 of which shares represent the Commitment Shares that we issued to B. Riley Principal Capital II, together with our payment of the $200,000 Cash Commitment Fee to B. Riley Principal Capital II, upon execution of the Purchase Agreement on July 14, 2025,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unless the average price for all shares of our 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number of BRPC Shares ultimately offered for resale by B. Riley Principal Capital II through this prospectus is dependent upon the number of shares of Common Stock, if any, we elect to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B. Riley Principal Capital II from our sale of BRPC Shares (which are being registered for resale by B. Riley Principal Capital II under the registration statement that includes this prospectus) to B. Riley Principal Capital II as Purchase Shares under the Purchase Agreement at varying purchase prices: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8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 the Sale of</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4"/>
          </w:tcPr>
          <w:p>
            <w:pPr>
              <w:jc w:val="center"/>
              <w:ind w:left="194"/>
              <w:spacing w:after="0" w:line="149" w:lineRule="exact"/>
              <w:rPr>
                <w:sz w:val="20"/>
                <w:szCs w:val="20"/>
                <w:color w:val="auto"/>
              </w:rPr>
            </w:pPr>
            <w:r>
              <w:rPr>
                <w:rFonts w:ascii="Times New Roman" w:cs="Times New Roman" w:eastAsia="Times New Roman" w:hAnsi="Times New Roman"/>
                <w:sz w:val="14"/>
                <w:szCs w:val="14"/>
                <w:b w:val="1"/>
                <w:bCs w:val="1"/>
                <w:color w:val="auto"/>
              </w:rPr>
              <w:t>Purchase Shares</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Giving</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B. Riley</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 to the</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to</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Capital II</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 Riley</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Assumed Average Purchase Price Per Share</w:t>
            </w:r>
          </w:p>
        </w:tc>
        <w:tc>
          <w:tcPr>
            <w:tcW w:w="20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 if</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2700" w:type="dxa"/>
            <w:vAlign w:val="bottom"/>
            <w:tcBorders>
              <w:bottom w:val="single" w:sz="8" w:color="auto"/>
            </w:tcBorders>
            <w:vMerge w:val="continue"/>
          </w:tcPr>
          <w:p>
            <w:pPr>
              <w:spacing w:after="0"/>
              <w:rPr>
                <w:sz w:val="15"/>
                <w:szCs w:val="15"/>
                <w:color w:val="auto"/>
              </w:rPr>
            </w:pPr>
          </w:p>
        </w:tc>
        <w:tc>
          <w:tcPr>
            <w:tcW w:w="3040" w:type="dxa"/>
            <w:vAlign w:val="bottom"/>
            <w:gridSpan w:val="2"/>
          </w:tcPr>
          <w:p>
            <w:pPr>
              <w:jc w:val="center"/>
              <w:ind w:left="1948"/>
              <w:spacing w:after="0" w:line="160" w:lineRule="exact"/>
              <w:rPr>
                <w:sz w:val="20"/>
                <w:szCs w:val="20"/>
                <w:color w:val="auto"/>
              </w:rPr>
            </w:pPr>
            <w:r>
              <w:rPr>
                <w:rFonts w:ascii="Times New Roman" w:cs="Times New Roman" w:eastAsia="Times New Roman" w:hAnsi="Times New Roman"/>
                <w:sz w:val="14"/>
                <w:szCs w:val="14"/>
                <w:b w:val="1"/>
                <w:bCs w:val="1"/>
                <w:color w:val="auto"/>
              </w:rPr>
              <w:t>Full Purchase</w:t>
            </w:r>
            <w:r>
              <w:rPr>
                <w:rFonts w:ascii="Times New Roman" w:cs="Times New Roman" w:eastAsia="Times New Roman" w:hAnsi="Times New Roman"/>
                <w:sz w:val="10"/>
                <w:szCs w:val="10"/>
                <w:b w:val="1"/>
                <w:bCs w:val="1"/>
                <w:color w:val="auto"/>
              </w:rPr>
              <w:t>(1)</w:t>
            </w:r>
          </w:p>
        </w:tc>
        <w:tc>
          <w:tcPr>
            <w:tcW w:w="7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Capital II</w:t>
            </w:r>
            <w:r>
              <w:rPr>
                <w:rFonts w:ascii="Times New Roman" w:cs="Times New Roman" w:eastAsia="Times New Roman" w:hAnsi="Times New Roman"/>
                <w:sz w:val="10"/>
                <w:szCs w:val="10"/>
                <w:b w:val="1"/>
                <w:bCs w:val="1"/>
                <w:color w:val="auto"/>
              </w:rPr>
              <w:t>(2)</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Borders>
              <w:top w:val="single" w:sz="8" w:color="CCEEFF"/>
            </w:tcBorders>
            <w:shd w:val="clear" w:color="auto" w:fill="CCEEFF"/>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77"/>
              </w:rPr>
              <w:t> </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(3)</w:t>
            </w:r>
          </w:p>
        </w:tc>
        <w:tc>
          <w:tcPr>
            <w:tcW w:w="2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77"/>
              </w:rPr>
              <w:t> </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77"/>
              </w:rPr>
              <w:t> </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77"/>
              </w:rPr>
              <w:t> </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line="25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83,353 Commitment Shares that we issued, together with our payment of the Cash Commitment Fee, to B. Riley Principal Capital II upon our execution of the Purchase Agreement on July 14, 2025, as consideration for its commitment to purchase shares of Common Stock at our direction upon the terms and subject to the conditions set forth in the Purchase Agreement. We have not and will not receive any cash consideration in exchange for issuing the Commitment Shares to B. Riley Principal Capital II. Although the Purchase Agreement provides that we may sell up to $50,000,000 of our Common Stock to B. Riley Principal Capital II, we are only registering 20,326,158 shares under the registration statement that includes this prospectus, consisting of the 83,353 Commitment Shares (for which we have not and will not receive any cash consideration and 20,242,805 Purchase Shares, which may or may not cover all of the shares of Common Stock we ultimately sell to B. Riley Principal Capital II under the Purchase Agreement. We will not issue more than an aggregate of 20,326,158 shares of our Common Stock (i.e.,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(in which case the Exchange Cap limitation will not apply to issuances and sales of Common Stock pursuant to the Purchase Agreement). The number of shares to be issued as set forth in this column (i) does not give effect to the Exchange Cap and (ii) is without regard for the Beneficial Ownership Limitation.</w:t>
      </w:r>
    </w:p>
    <w:p>
      <w:pPr>
        <w:spacing w:after="0" w:line="102"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101,765,775 shares of Common Stock outstanding as of July 14, 2025 (which, for these purposes, includes the 83,353 Commitment Shares we issued to B. Riley Principal Capital II on July 15, 2025), adjusted to include the issuance of the number of Purchase Shares set forth in the adjacent column that we would have sold to B. Riley Principal Capital II, assuming the average purchase price in the first column. The numerator is based on the number of Purchase Shares issuable under the Purchase Agreement (which are included in this prospectus) at the corresponding assumed average purchase price set forth in the first column.</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Nasdaq on July 14, 2025.</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the sale of BRPC Shares by the Selling Stockholder.</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receive up to $50,000,000 aggregate gross proceeds under the Purchase Agreement from any sales we make to B. Riley Principal Capital II pursuant to the Purchase Agreement. The net proceeds from sales, if any, under the Purchase Agreement, will depend on the frequency and prices at which we sell our Common Stock to B. Riley Principal Capital II after the date of this prospectus. See the section titled “</w:t>
      </w:r>
      <w:r>
        <w:rPr>
          <w:rFonts w:ascii="Times New Roman" w:cs="Times New Roman" w:eastAsia="Times New Roman" w:hAnsi="Times New Roman"/>
          <w:sz w:val="18"/>
          <w:szCs w:val="18"/>
          <w:i w:val="1"/>
          <w:iCs w:val="1"/>
          <w:color w:val="auto"/>
        </w:rPr>
        <w:t>The Committed Equity Facility</w:t>
      </w:r>
      <w:r>
        <w:rPr>
          <w:rFonts w:ascii="Times New Roman" w:cs="Times New Roman" w:eastAsia="Times New Roman" w:hAnsi="Times New Roman"/>
          <w:sz w:val="18"/>
          <w:szCs w:val="18"/>
          <w:color w:val="auto"/>
        </w:rPr>
        <w:t>” in this prospectus for more information.</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All of the Common Stock offered by Cantor Fitzgerald pursuant to this prospectus will be sold by Cantor Fitzgerald for its respective account. We will not receive any proceeds from the sale of shares of Common Stock by Cantor Fitzgerald.</w:t>
      </w:r>
    </w:p>
    <w:p>
      <w:pPr>
        <w:spacing w:after="0" w:line="16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We expect to use any proceeds that we receive under the Purchase Agreement to accelerate commercialization of the South Asia smart infrastructure contract previously announced on June 30, 2025 and investment in its next-generation chip, as well as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may be sold by the Selling Securityholders under this prospectus.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20"/>
          </w:cols>
          <w:pgMar w:left="320" w:top="482" w:right="10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82"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“BZAI”. Prior to the consummation of the Business Combination, the Class A common stock was listed on Nasdaq under the symbol “BRKH”. As of July 14, 2025, there were 323 holders of record of our Common Stock and the closing sale price of our Common Stock was $2.91 per share. The actual number of stockholders of our Common Stock is greater than the number of record holders and includes holders of our Common Stock whose shares of Common Stock are held in street name by brokers and other nominees.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82"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three months ended March 31, 2025 and 2024 as well as our audited consolidated financial statements for the years ended December 31, 2024 and 2023.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total addressable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pipeline continues to expand, driven by strong and accelerating market interest in Edge AI, and ongoing engagement with high-quality prospective customers across key sectors, including, but not limited to, Smart Cities, defense, and the automotive industry.</w:t>
      </w:r>
    </w:p>
    <w:p>
      <w:pPr>
        <w:spacing w:after="0" w:line="67" w:lineRule="exact"/>
        <w:rPr>
          <w:sz w:val="20"/>
          <w:szCs w:val="20"/>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technology agreement with KAIST to produce new edge AI computing applications across biomedical, neuromorphic, photovoltaics, thermoelectrics and green hydrogen.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alwaysAI to revolutionize real-time insights with AI Edge Computing and advanced computer vision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VSBLTY to develop new AI-enabled hybrid technology for large-scale global safety and security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Turbo Federal to procure contracts to accelerate AI solutions for the U.S. Department of Defense.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 and Reverse Recapitalization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we consummated the transactions (the “Merger”) contemplated by the Agreement and Plan of Merger dated December 22, 2023 (as amended on April 22, 2024, October 24, 2024 and November 21, 2024) with BurTech Acquisition Corp (“BurTech”), BurTech Merger Sub, Inc (“Merger Sub”), Blaize, Inc. (“Legacy Blaize”), and solely for the limited purposes of the transaction, Burkhan Capital LLC (“Burkhan”), a Delaware limited liability company and affiliate of BurTech, On the Closing Date, Merger Sub merged with and into Legacy Blaize, with Legacy Blaize surviving the Business Combination as a wholly owned subsidiary of the Company.</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of Legacy Blaize were automatically converted into shares of Company common stock.</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restricted stock unit (“RSU”) was converted into an RSU of the Company, upon substantially the same terms and conditions as in effect with respect to the corresponding Legacy Blaize RSU, and the right to receive a number of earnout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BurTech LP, LLC (“BurTech LP”) issued a secured promissory note and pledge agreement (the “Shareholder Note”) to BurTech in the principal amount of $8,753,744 in exchange for 750,000 shares of Company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On the Closing Date, in connection with the consummation of the Business Combination and as contemplated by the Merger Agreement, we entered into lock-up agreements (the “Lock-up Agreements”) with (i) certain of Blaize’s directors and officers, (ii) certain stockholders of Blaize and</w:t>
      </w:r>
    </w:p>
    <w:p>
      <w:pPr>
        <w:spacing w:after="0" w:line="1" w:lineRule="exact"/>
        <w:rPr>
          <w:sz w:val="20"/>
          <w:szCs w:val="20"/>
          <w:color w:val="auto"/>
        </w:rPr>
      </w:pPr>
    </w:p>
    <w:p>
      <w:pPr>
        <w:ind w:left="120" w:hanging="4"/>
        <w:spacing w:after="0" w:line="253" w:lineRule="auto"/>
        <w:tabs>
          <w:tab w:leader="none" w:pos="4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Burkhan, in each case, restricting the transfer of Company common stock and any shares of Company common stock issuable upon the exercise or settlement, as applicable, of stock options or restricted stock units held immediately after the Merger. The restrictions under the Lock-up Agreements began at Closing and end on the earlier of (x) the date that is 180 days after the Closing Date,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agreements (each, a “Non-Redemption Agreement” and collectively, the “Non-Redemption Agreements”) with one or more unaffiliated stockholders of BurTech (each, an “Investor”) who agreed not to redeem (or validly rescind any redemption requests on) their shares of BurTech Class A common stock, par value $0.0001 per share of the Company (“Non-Redeemed Shares”). On the Closing Date, such Class A common stock shares were exchanged for shares of the Company’s common stock and placed into an escrow account. In exchange for the foregoing commitments not to redeem the Non-Redeemed Shares, the Company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Merger.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From December 31, 2024 and through January 13, 2025, BurTech and certain other subscribers (collectively, the “Subscribers”) entered into subscription agreements under which BurTech agreed to issue and sell to the Subscribers, immediately before the Closing Date, 1,529,500 shares of BurTech’s Class A common stock, par value $0.0001 per share (“PIPE Shares”) at a purchase price of $10.00 per share for an aggregate purchase price of $15,295,000, in a private placement. Such PIPE shares that were outstanding immediately prior to the Merger became shares of Company common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Arrangement</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our closing share price on 20 trading days out of 30 consecutive trading days equals or exceeds defined per share thresholds in each tranche as follows:</w:t>
      </w:r>
    </w:p>
    <w:p>
      <w:pPr>
        <w:spacing w:after="0" w:line="85" w:lineRule="exact"/>
        <w:rPr>
          <w:sz w:val="20"/>
          <w:szCs w:val="20"/>
          <w:color w:val="auto"/>
        </w:rPr>
      </w:pPr>
    </w:p>
    <w:p>
      <w:pPr>
        <w:ind w:left="5540" w:right="1660" w:hanging="4884"/>
        <w:spacing w:after="0" w:line="454" w:lineRule="auto"/>
        <w:tabs>
          <w:tab w:leader="none" w:pos="10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$12.50 per share, 3,750,000 Earnout Shares will be issued; and 62</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$15.00 per share, an additional 3,750,000 Earnout Shares will be issued;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$17.50 per share, an additional 3,750,000 Earnout Shares will be issued;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$20.00 per share, an additional 3,750,000 Earnout Shares will be issued.</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Employees entitled to receive Earnout Shares with respect to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Additionally, Burkhan has the right to receive up to an aggregate amount of 2,600,000 shares of Blaize Class A Common Stock, 650,000 following the occurrence of each of the Triggering Events stated above (the “Burkhan Earnout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March 31, 2025, a total of 40 POCs have been initiated or are in progress with a potential customer.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March 31, 2025, Blaize has a total of 34 Partners.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11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March 31, 2025, a total of 21 Design Wins have been confirmed with a Partner or customer.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this involves providing customized design services to our customers, tailored to their specific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personnel-related expenses for our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Loss on purchase commitments consists of contractual obligations to procure inventory from our third-party contract manufacturer and other suppliers that are in excess of expected demand and where the value of these purchase commitments may not be recoverable.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costs primarily consist of legal fees, consultant fees and other direct costs incurred to explore prior potential merger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2025 compared to the three months ended March 31, 2024</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tables set forth Blaize’s condensed consolidated statements of operations data for the three months ended March 31, 2025 and 2024, respectively, as well as changes between periods. The period-to-period comparison of financial results is not necessarily indicative of future results.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60" w:type="dxa"/>
            <w:vAlign w:val="bottom"/>
          </w:tcPr>
          <w:p>
            <w:pPr>
              <w:spacing w:after="0"/>
              <w:rPr>
                <w:sz w:val="15"/>
                <w:szCs w:val="15"/>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vMerge w:val="continue"/>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$549</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$458</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326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Revenue increased 83% to $1.0 million for the three months ended March 31, 2025 compared to approximately $0.5 million for the three months ended March 31, 2024. The increase was primarily due to sales of hardware product of $1.0 million, partially offset by a decrease of $0.5 million due to the end of our multi-year license and development contract with a strategic investor and the completion of a contract during the year ended December 31,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Blaize’s revenue by customer geographical location:</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17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17"/>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5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gridSpan w:val="2"/>
            <w:vMerge w:val="restart"/>
          </w:tcPr>
          <w:p>
            <w:pPr>
              <w:spacing w:after="0"/>
              <w:rPr>
                <w:sz w:val="10"/>
                <w:szCs w:val="10"/>
                <w:color w:val="auto"/>
              </w:rPr>
            </w:pPr>
          </w:p>
        </w:tc>
        <w:tc>
          <w:tcPr>
            <w:tcW w:w="6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20" w:type="dxa"/>
            <w:vAlign w:val="bottom"/>
          </w:tcPr>
          <w:p>
            <w:pPr>
              <w:spacing w:after="0"/>
              <w:rPr>
                <w:sz w:val="10"/>
                <w:szCs w:val="10"/>
                <w:color w:val="auto"/>
              </w:rPr>
            </w:pPr>
          </w:p>
        </w:tc>
        <w:tc>
          <w:tcPr>
            <w:tcW w:w="5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4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gridSpan w:val="2"/>
            <w:vMerge w:val="continue"/>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215</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560" w:type="dxa"/>
            <w:vAlign w:val="bottom"/>
            <w:vMerge w:val="continue"/>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13,118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4,094</w:t>
            </w:r>
          </w:p>
        </w:tc>
        <w:tc>
          <w:tcPr>
            <w:tcW w:w="11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9,024</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3,988</w:t>
            </w:r>
          </w:p>
        </w:tc>
        <w:tc>
          <w:tcPr>
            <w:tcW w:w="11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9,369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11,990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26,644%</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39,028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8,686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30,342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Cost of revenue (excluding depreciation and amortization) for the three months ended March 31, 2025 reflects an increase of $21,000, or 7%, compared to the three months ended March 31, 2024. This increase was primarily driven by $0.3 million related to hardware sales during the three months ended March 31, 2025, which was partially offset by a decrease of $0.2 million related to inventory carrying costs with an outside supplier. Cost of revenue for the three months ended March 31, 2025 also included a $0.6 million benefit relating to the sale of inventory whose carrying amount had been written down to below original cost in a prior period.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2025 increased $9.0 million or 220% compared to the three months ended March 31, 2024. The increase was driven by an increase in personnel costs of $6.9 million as a result of market-based salary adjustments made in the year ended December 31, 2024 which were implemented after the three months ended March 31, 2024 as well as additional stock-based compensation connected to the consummation of the Merger and an increase of $1.8 million in spending associated with our new chip development. We expect research and development to continue to increase to support the development of our next generation product portfolio in future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March 31, 2025 increased $9.4 million or 235% compared to the three months ended March 31, 2024. The increase was primarily due to 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82"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$6.3 million increase in employee related costs associated with the hiring of new Company executives, market-based salary adjustments (as previously described), additional stock-based compensation connected to the consummation of the Merger and the building of our internal sales team. We also incurred additional costs such as a $1.4 million increase in professional services costs incurred in support of the requirements of being a public company and a $1.7 million increase in marketing and other sundry costs relating to activities focused on our sales pipeline.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2025 decreased $62,000 or 25% compared to the three months ended March 31, 2024.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costs increased by $12.0 million as a direct result of the Merger.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00" w:type="dxa"/>
            <w:vAlign w:val="bottom"/>
            <w:gridSpan w:val="2"/>
          </w:tcPr>
          <w:p>
            <w:pPr>
              <w:jc w:val="right"/>
              <w:ind w:right="641"/>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   %</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6"/>
              </w:rPr>
              <w:t>(165,703)</w:t>
            </w:r>
          </w:p>
        </w:tc>
        <w:tc>
          <w:tcPr>
            <w:tcW w:w="8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8"/>
              </w:rPr>
              <w:t>(4,651)</w:t>
            </w:r>
          </w:p>
        </w:tc>
        <w:tc>
          <w:tcPr>
            <w:tcW w:w="132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color w:val="auto"/>
              </w:rPr>
              <w:t>(161,052)</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8"/>
              </w:rPr>
              <w:t>(3,515)</w:t>
            </w:r>
          </w:p>
        </w:tc>
        <w:tc>
          <w:tcPr>
            <w:tcW w:w="1320" w:type="dxa"/>
            <w:vAlign w:val="bottom"/>
            <w:gridSpan w:val="4"/>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(56,830)</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116,518</w:t>
            </w:r>
          </w:p>
        </w:tc>
        <w:tc>
          <w:tcPr>
            <w:tcW w:w="80" w:type="dxa"/>
            <w:vAlign w:val="bottom"/>
          </w:tcPr>
          <w:p>
            <w:pPr>
              <w:spacing w:after="0"/>
              <w:rPr>
                <w:sz w:val="18"/>
                <w:szCs w:val="18"/>
                <w:color w:val="auto"/>
              </w:rPr>
            </w:pPr>
          </w:p>
        </w:tc>
        <w:tc>
          <w:tcPr>
            <w:tcW w:w="7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color w:val="auto"/>
              </w:rPr>
              <w:t>116,518</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(109,578</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(8,444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(101,134</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119" w:lineRule="exact"/>
        <w:rPr>
          <w:sz w:val="20"/>
          <w:szCs w:val="20"/>
          <w:color w:val="auto"/>
        </w:rPr>
      </w:pPr>
    </w:p>
    <w:p>
      <w:pPr>
        <w:jc w:val="both"/>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2025 reflects an increase of $101.1 million, or 1,198%, compared to the three months ended March 31, 2024.</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2025 was primarily comprised of the total net change in fair value of our convertible notes and warrant liabilities of $226.0 million and the change in our earnout liabilities of $116.5 million.</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2024 was primarily comprised of the total net change in fair value of our convertible notes and warrant liabilities of $8.2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50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79"/>
              </w:rPr>
              <w:t>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amounted to approximately $0.2 million for the three months ended March 31, 2025 and 2024, respectively, and our effective tax rate was approximately (0.1)% and (1.4)%, respectively. The effective income tax rate was primarily driven by the valuation allowance which is driven by the deferred tax assets arising from capitalized research and experimental expenditures and the net operating losses.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Net loss was approximately $147.8 million for the three months ended March 31, 2025 compared to a net loss of approximately $16.7 million for the three months ended March 31, 2024. The increase in net loss for the three months ended March 31, 2025 compared to the three months ended March 31, 2024 was primarily attributable to the $226.0 million change in fair value of convertible notes and warrant liabilities and the increase in loss from operations of $29.9 million, partially offset by the $116.5 million change in the fair value of earnout liabilities.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March 31, 2025, we have funded our operations primarily with cash flows from contributions from founders or other investors and other financing activities. We have incurred recurring losses and negative cash flows since our inception, including a net loss of $147.8 million and $16.7 million for the three months ended March 31, 2025 and 2024, respectively. As of March 31, 2025, we had cash and cash equivalents of approximately $45.0 million, and an accumulated deficit of $577.0 million.</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(15,944)</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11,372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$15.9 million during the three months ended March 31, 2025, compared to $7.4 million for the three months ended March 31, 2024. The increase in cash used in operating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activities was primarily due to an increase of $131.0 million in net loss and a decrease of $116.5 million in the fair value of our earnout share liabilities, partially offset by an increase of $217.9 million in the fair value of our convertible notes and warrant liabilities, an increase of $10.7 million in stock-based compensation, and a decrease of $8.5 million in prepaid expenses and other current assets.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2025 and 2024, we used $ 0.7 million and $0.2 million of cash to purchase property and equipment, respectively. The increase of $0.5 million during the three months ended March 31, 2025 was primarily due to the licensing of software.</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was $11.3 million, which primarily consisted of</w:t>
      </w:r>
    </w:p>
    <w:p>
      <w:pPr>
        <w:spacing w:after="0" w:line="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$15.9 million of proceeds from the Merger and PIPE financing, partially offset by the $4.5 million payment of deferred offering costs. This compares to net cash provided by financing activities for the three months ended March 31, 2024 of $11.4 million, which primarily consisted of $11.5 million in proceeds from the issuance of secured convertible notes under the 2023 Note Purchase Agreement.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and December 31, 2024, we had outstanding purchase orders and contractual obligations totaling $0.3 million and</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$0.2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March 31, 2025 and December 31, 2024, the liability balance of our accrued loss on accrued purchase commitments equaled $0.6 million.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 compared to year ended December 31,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Blaize’s consolidated statements of operations data for the years ended December 31, 2024 and 2023, respectively.</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24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3"/>
                <w:szCs w:val="13"/>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$ 1,525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$ 3,840</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$(2,315)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20" w:type="dxa"/>
            <w:vAlign w:val="bottom"/>
          </w:tcPr>
          <w:p>
            <w:pPr>
              <w:spacing w:after="0"/>
              <w:rPr>
                <w:sz w:val="19"/>
                <w:szCs w:val="19"/>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(2,302)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expenses:</w:t>
            </w:r>
          </w:p>
        </w:tc>
        <w:tc>
          <w:tcPr>
            <w:tcW w:w="1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579</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3,656</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(3,077)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25,094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18,115</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6,979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22,413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17,303</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5,110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w:t>
            </w: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(1,154)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4"/>
                <w:szCs w:val="24"/>
                <w:color w:val="auto"/>
              </w:rPr>
            </w:pPr>
          </w:p>
        </w:tc>
        <w:tc>
          <w:tcPr>
            <w:tcW w:w="18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6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49,189</w:t>
            </w: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42,384</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6,805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4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9,107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(35,832)</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(35,832)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(3,145)</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1,903</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(255)</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2,158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(9,532)</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(945)</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4,756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4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(35,147)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(62,147)</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(88,187)</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(26,040)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(598)</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(61,195)</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(87,589)</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(26,394)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Revenue decreased 60% to $1.6 million for the year ended December 31, 2024 compared to approximately $3.9 million for the year ended 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 for the year ended December 31, 2024 reflects a decrease of $3.1 million, or 84%,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compared to the year ended December 31, 2023. This decrease was primarily driven by a $2.9 million decrease in charges for excess inventory and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$0.4 million decrease in direct labor costs commensurate with the decrease in engineering services revenue, partially offset by a $0.1 million increase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costs for inventory carrying costs with an outside supplier and a $0.1 reduction in other miscellaneous costs.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did not record a loss on purchase commitments for the year ended December 31, 2024 as compared to $1.2 million for the year ended December 31, 2023 as a result of not having any additional purchase commitments requiring a loss on purchase commitment accrual.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years ended December 31, 2024 and 2023 amounted to a net expense of $14.5 million and $49.7 million, respectively, for a decrease of net expense period over period of $35.1 million.</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 ended December 31, 2024 was primarily comprised of the total net change in fair value of our convertible notes and warrant liabilities of $15.7 million, additional expenses of $0.7 million, offset by other income from investments of $1.9 million.</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pacing w:after="0" w:line="158" w:lineRule="exact"/>
        <w:rPr>
          <w:sz w:val="20"/>
          <w:szCs w:val="20"/>
          <w:color w:val="auto"/>
        </w:rPr>
      </w:pPr>
    </w:p>
    <w:p>
      <w:pPr>
        <w:jc w:val="both"/>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w:t>
      </w:r>
    </w:p>
    <w:p>
      <w:pPr>
        <w:spacing w:after="0" w:line="1"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the Pay-to-Play equity financing charge and the valuation allowance which is driven by the deferred tax assets arising from capitalized research and experimental expenditures and the net operating losses.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Blaize’s consolidated financial statements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December 31, 2024, we have funded our operations primarily with cash flows from contributions from founders or other investors and other financing activities. We have incurred recurring losses and negative cash flows since its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w:t>
      </w:r>
    </w:p>
    <w:p>
      <w:pPr>
        <w:spacing w:after="0" w:line="180" w:lineRule="exact"/>
        <w:rPr>
          <w:sz w:val="20"/>
          <w:szCs w:val="20"/>
          <w:color w:val="auto"/>
        </w:rPr>
      </w:pPr>
    </w:p>
    <w:p>
      <w:pPr>
        <w:jc w:val="both"/>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While we are currently taking actions to source cash through a combination of the issuances of additional debt financing and public or private equity offerings or other means, we cannot be assured that we will be able to enter into any such contracts or raise capital on terms acceptable to the Company.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consolidated financial statements were available to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a party to the following debt financing agreements during the years ended December 31,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 Under the July 2023 Note Purchase Agreement (as amended and restated, the “2023-2024 Convertible Notes”)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July 2023, we entered into a Note Purchase Agreement, as amended on August 1, 2023 and as amended and restated on April 22, 2024 (the “2023 NPA”). During the nine months ended September 30, 2024, we issued approximately a total of $110.7 million in convertible notes under the 2023 NPA, of which $11.5 million in convertible notes under the 2023 NPA to the Sponsor. During the year ended December 31, 2023, we issued approximately $12.3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2023-2024 Convertible Notes provides that the notes may be converted as follows:</w:t>
      </w:r>
    </w:p>
    <w:p>
      <w:pPr>
        <w:spacing w:after="0" w:line="131" w:lineRule="exact"/>
        <w:rPr>
          <w:sz w:val="20"/>
          <w:szCs w:val="20"/>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therein), Maturity Conversion (as defined therein), SPAC Conversion (as defined therein) or repayment has not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occurred wherein the Next Equity Financing, defined as the next sale of Company equity securities or other securities issued in connection with Senior Indebtedness, following the date of the 2023-2024 Convertible Notes for the purpose of raising capital.</w:t>
      </w:r>
    </w:p>
    <w:p>
      <w:pPr>
        <w:spacing w:after="0" w:line="67" w:lineRule="exact"/>
        <w:rPr>
          <w:sz w:val="20"/>
          <w:szCs w:val="20"/>
          <w:color w:val="auto"/>
        </w:rPr>
      </w:pPr>
    </w:p>
    <w:p>
      <w:pPr>
        <w:ind w:left="1080" w:right="12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w:t>
      </w:r>
    </w:p>
    <w:p>
      <w:pPr>
        <w:spacing w:after="0" w:line="92"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Blaize’s existing certificate of incorporation), the 2023-</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Convertible Notes shall be repaid as follows at the closing of the Corporate Transaction:</w:t>
      </w:r>
    </w:p>
    <w:p>
      <w:pPr>
        <w:spacing w:after="0" w:line="112"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2023-2024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following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note after July 3, 2023, in respect of any such Corporate Transaction, an amount equal to the then accrued but unpaid interest plus one and a half (1.5) times the then outstanding principal.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82"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9" w:lineRule="auto"/>
        <w:rPr>
          <w:sz w:val="20"/>
          <w:szCs w:val="20"/>
          <w:color w:val="auto"/>
        </w:rPr>
      </w:pPr>
      <w:r>
        <w:rPr>
          <w:rFonts w:ascii="Times New Roman" w:cs="Times New Roman" w:eastAsia="Times New Roman" w:hAnsi="Times New Roman"/>
          <w:sz w:val="17"/>
          <w:szCs w:val="17"/>
          <w:color w:val="auto"/>
        </w:rPr>
        <w:t>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w:t>
      </w:r>
    </w:p>
    <w:p>
      <w:pPr>
        <w:spacing w:after="0" w:line="3" w:lineRule="exact"/>
        <w:rPr>
          <w:sz w:val="20"/>
          <w:szCs w:val="20"/>
          <w:color w:val="auto"/>
        </w:rPr>
      </w:pPr>
    </w:p>
    <w:p>
      <w:pPr>
        <w:ind w:left="120" w:hanging="4"/>
        <w:spacing w:after="0" w:line="260" w:lineRule="auto"/>
        <w:tabs>
          <w:tab w:leader="none" w:pos="3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a per share price equal to the value of the consideration payable to the holder of each share of common stock of the Company. The Exercise price is defined as follows: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amended in April 2022 from 10 years to 5 years from the original date of issuance.</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2023-2024 Convertible Notes, the outstanding notes were converted, at the option of the holders, to Common Stock upon the consummation of the Merger.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Notes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P2P NPA provides that the P2P Notes may be converted as follows:</w:t>
      </w:r>
    </w:p>
    <w:p>
      <w:pPr>
        <w:spacing w:after="0" w:line="131" w:lineRule="exact"/>
        <w:rPr>
          <w:sz w:val="20"/>
          <w:szCs w:val="20"/>
          <w:color w:val="auto"/>
        </w:rPr>
      </w:pPr>
    </w:p>
    <w:p>
      <w:pPr>
        <w:ind w:left="1080" w:right="14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9" w:lineRule="auto"/>
        <w:tabs>
          <w:tab w:leader="none" w:pos="10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w:t>
      </w:r>
    </w:p>
    <w:p>
      <w:pPr>
        <w:spacing w:after="0" w:line="15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(ii) the date of Contribution being either prior to November 30, 2022 (the “Initial Commitment Date”) or February 24, 2023 (“Final Closing date”).</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15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pro-rata portion.</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P2P notes, the outstanding P2P Notes were converted, at the option of the holders, to common stock upon the execution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a party to the following equity financing agreements during the years ended December 31, 2023 and 2022:</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 D-1 and D-2 redeemable convertible preferred stock</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September 2022, with the conversion of $32.0 million in existing Series D-2 Notes and incremental cash proceeds of $5.6 million, we issued a total of 7,561,820 Series D-2 redeemable convertible preferred stock.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we amended our authorized capital stock to increase the total shares to 246,530,097, allocating 149,880,000 for common stock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96,650,097 to preferred stock. The authorized shares of Seed Preferred, Series A, Series B, Series C and Series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pacing w:after="0" w:line="19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Shadow Preferred stock</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 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82"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which has been accounted for as a Pay-to-Play financing charge in the consolidated statements of operations.</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w:t>
      </w:r>
    </w:p>
    <w:p>
      <w:pPr>
        <w:spacing w:after="0" w:line="4" w:lineRule="exact"/>
        <w:rPr>
          <w:sz w:val="20"/>
          <w:szCs w:val="20"/>
          <w:color w:val="auto"/>
        </w:rPr>
      </w:pPr>
    </w:p>
    <w:p>
      <w:pPr>
        <w:ind w:left="120" w:right="20" w:hanging="4"/>
        <w:spacing w:after="0" w:line="251" w:lineRule="auto"/>
        <w:tabs>
          <w:tab w:leader="none" w:pos="4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 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w:t>
      </w:r>
    </w:p>
    <w:p>
      <w:pPr>
        <w:spacing w:after="0" w:line="19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December 31, 2023, we had outstanding purchase orders and contractual obligations totaling $0.2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million, respectively, to procure inventory. The majority of our outstanding inventory purchase orders and preauthorized commitments to procure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strategic components based on our expected demand are placed with our primary third-party contract manufacturer and a semiconductor supplier.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an obligation to purchase inventories that have been purchased by the contract manufacturer when components have not been consumed within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defined in the terms of our agreement. While we expect such purchased components to be used in future production of our finished goods,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components are considered in our reserve estimate for excess and obsolete inventory. Furthermore, we accrue for losses on commitments for the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 on non-cancelable and non- returnable components from this contract manufacturer at the time that circumstances, such as changes in demand,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indicated that the value of the components many not be recoverable, the loss is probable and management has the ability to reasonably estimate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of the loss. As of December 31, 2024, the liability balance of our accrued loss on accrued purchase commitments equaled $0.6 million.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the liability balance of our accrued losses on accrued purchase commitments equaled $3.6 million. The accrued losses on accrued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commitments as of December 31, 2024 and 2023 are included in the purchase orders and contractual obligations amount.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82"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years ended December 31, 2024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(53,532)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(27,955)</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101,709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26,475</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 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w:t>
      </w:r>
    </w:p>
    <w:p>
      <w:pPr>
        <w:spacing w:after="0" w:line="3"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used $ 0.9 million and $0.2 million of cash to purchase property and equipment, respectively. The increase of $0.7 million during the year ended December 31, 2024 was primarily due to the licensing of software.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Currently we do not engage in off-balance sheet financing arrangements.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w:t>
      </w:r>
    </w:p>
    <w:p>
      <w:pPr>
        <w:spacing w:after="0" w:line="3" w:lineRule="exact"/>
        <w:rPr>
          <w:sz w:val="20"/>
          <w:szCs w:val="20"/>
          <w:color w:val="auto"/>
        </w:rPr>
      </w:pPr>
    </w:p>
    <w:p>
      <w:pPr>
        <w:ind w:left="120" w:right="100" w:hanging="4"/>
        <w:spacing w:after="0" w:line="260" w:lineRule="auto"/>
        <w:tabs>
          <w:tab w:leader="none" w:pos="3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non-convertible debt securities during the previous three-years.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21.8% and less than 1% of our revenue for the years ended December 31,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18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consolidated financial results. For the year ended December 31, 2024, the loss on foreign exchange transactions was $0.2 million. For the year ended December 31, 2023, the gain on foreign exchange transactions was not material.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maintain cash in checking and savings accounts. We investment securities in U.S. government treasury securities, U.S. government money market funds, and mutual funds. We do not enter into investments for trading or speculative purposes and have not used any derivative financial instruments to manage our interest rate risk exposure.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our total accounts receivable. As of December 31, 2023, one customer, a related party, accounted for approximately 98% of our total accounts receivable.</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our revenue. For the year ended December 31, 2024, two customers, both related parties, accounted for approximately 77% and 21% of our revenue. For the year ended December 31, 2023, one customer, a related party, accounted for nearly 100% of our revenue.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of America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derives revenue from product sales, license and development arrangements, joint marketing arrangements and cloud services. The Company recognizes revenue under ASC 606, Revenue from Contracts with Customers,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we satisfy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0"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cash and cash equivalents balances, inclusive of funds held in escrow, in excess of domestic and international insurance limits of approximately $71.9 million and $49.3 million, respectively.</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March 31, 2025 and December 31, 2024, restricted cash of $0.3 million was included within other assets on the condensed consolidated balance sheets.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Funds Held in Escrow</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Embedded Derivative Evaluation</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Convertible Notes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 — Debt with Conversion and Other Options (Subtopic 470-20), Derivatives and Hedging — 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 (Subtopic 815-40) and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its convertible notes at fair value at each period end pursuant to ASC 825, Financial Instruments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Warrant Liabilities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Shares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outstanding equity award holders (including stock options and RSUs) are entitled to receive up to 15,000,000 shares of the Company’s Class A common stock (the “Earnout Shares”). Earnout Shares issued to eligible Legacy Blaize equity holders (including holders of stock options and restricted stock units (“RSUs”)) are considered a compensatory award and are accounted for under ASC 718, Share-Based Compensation. Further these awards have been determined to be equity classified and accordingly will not be remeasured at each reporting date.</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Earnout Shares issued to Burkhan and all other equity holders not within the scope of ASC 718 in connection with consummation of the Merger, were evaluated by management under ASC 480, Distinguishing Liabilities from Equity. The Company determined that the Earnout Shares are freestanding and not liability classified under ASC 480. Subsequently, management evaluated whether the Earnout Shares represented a derivative instrument pursuant to ASC 815, Derivatives and Hedging.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Redeemable Convertible Preferred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w:t>
      </w:r>
    </w:p>
    <w:p>
      <w:pPr>
        <w:spacing w:after="0" w:line="27" w:lineRule="exact"/>
        <w:rPr>
          <w:sz w:val="20"/>
          <w:szCs w:val="20"/>
          <w:color w:val="auto"/>
        </w:rPr>
      </w:pPr>
    </w:p>
    <w:p>
      <w:pPr>
        <w:ind w:left="120" w:right="200" w:hanging="4"/>
        <w:spacing w:after="0" w:line="260" w:lineRule="auto"/>
        <w:tabs>
          <w:tab w:leader="none" w:pos="4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Shadow B Shadow Preferred Stock, (iv) Series C Shadow Preferred Stock, (v) Series D Shadow Preferred Stock, (vi) Series D Exchange Shadow Preferred Stock, (vii) Series D-1</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82"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77" w:lineRule="auto"/>
        <w:rPr>
          <w:sz w:val="20"/>
          <w:szCs w:val="20"/>
          <w:color w:val="auto"/>
        </w:rPr>
      </w:pPr>
      <w:r>
        <w:rPr>
          <w:rFonts w:ascii="Times New Roman" w:cs="Times New Roman" w:eastAsia="Times New Roman" w:hAnsi="Times New Roman"/>
          <w:sz w:val="17"/>
          <w:szCs w:val="17"/>
          <w:color w:val="auto"/>
        </w:rPr>
        <w:t>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68"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All shares of redeemable convertible preferred stock which were converted into shares of common stock were retroactively adjusted using the exchange ratio and reclassified into permanent equity as a result of the Merger.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common stock subject to possible redemption in accordance with the guidance in ASC Topic 480 Distinguishing Liabilities from Equity. Certain common stock is held in escrow pursuant to Non-Redemption Agreements and feature certain redemption rights that are considered to be outside of the Company’s control and within the control of the holders. Accordingly, as of March 31, 2025, 2,854,242 shares of common stock are subject to possible redemption, and have been presented at redemption value as temporary equity, outside of the stockholders’ equity (deficit) section of the condensed consolidated balance sheet.</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82"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The Company did not record any stock-based compensation expense associated with the RSUs during the three months ended March 31, 2024, as a liquidity event had not occurred during that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improves reportable segment disclosure requirements, primarily through enhanced disclosures about significant segment expenses. We adopted this standard during the year ended December 31, 2024. The adoption resulted in expanded disclosures for the Company’s single reportable segment, but did not have a material impact on our consolidated financial statements.</w:t>
      </w:r>
    </w:p>
    <w:p>
      <w:pPr>
        <w:spacing w:after="0" w:line="180"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On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We adopted this standard as of January 1, 2024. The adoption of this standard did not have an impact on our consolidated financial statements.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low-code/no-code software platform that enables AI processing solutions for high-performance computing at the edge and the core. Our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AI accelerated computing solutions, optimized for vision analytics applications at the edge. This is particularly relevant in the mobility and automotive sectors, where we provide solutions for Level 2 (“L2”) and Level 2+ (“L2+”) applications and collaborate with Original Equipment Manufacturer (“OEMs”) to develop advanced Level 4+ (“L4+”) capabilities, as per the Society of Automotive Engineers’ “Levels of Driving Automation.” Our fully automotive-grade compliant chip roadmap supports our customers’ continued evolution and reinforces our commitment to advancing AI-powered autonomy.</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With over a decade of investment in research and development, we have developed groundbreaking technologies that enable applications, such as computer vision and machine learning, to deploy and run faster and more efficiently. Our engineering team has developed a proprietary parallel computing architecture that serves as the foundation for our products, enabling high-performance AI inference with industry-leading efficiency, delivering significant value to our customers.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our next-generation chip, which will introduce enhanced features and capabilities while leveraging the latest advancements in semiconductor processing. Additionally, we plan to offer an intermediate hardware solution for mobility and L2 automotive customers ahead of the launch of our full automotive-grade AI processor.</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With a strong focus on innovation, performance, and strategic partnerships, we believe we are well positioned to enable organizations to process and analyze their data in real time from core to edge, unlocking new business opportunities and gaining a competitive advantage in the evolving AI landscape. Our integrated approach to AI accelerated computing ensures that enterprises can harness the full potential of AI.</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Historically, most processing solutions designed for the edge (“edge applications”) were built around cloud and data center-centric infrastructure.</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such solutions, data is collected at the edge and is sent back to a centralized location where the real AI processing happens. This approach is power-demanding,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 the burden of cloud and centralized infrastructure.</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recent years we have witnessed AI moving from exploration and innovation to deployment phase across most industries. Business leaders and organizations have started to understand the value, benefits and the return on investment of AI, leading to a significant growth in adoption of AI and demand for AI accelerator technologies.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is already engaged in various industries with great potential for the widespread adoption of AI such as automotive, defense, enterprise and more. The adoption of AI in these industries is growing at a healthy rate and is poised to continue to do so in the long term, supported by strong fundamentals such as the adoption of autonomous solutions and generative AI, decentralization of data and AI for data privacy and data ownership and the drive for sustainability. We are well positioned to immediately access the burgeoning AI accelerator market today with our software and solutions, in addition to our rich roadmap, which we believe will allow us to continue our Serviceable Addressable Market (“SAM”).</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expect the AI landscape to continue evolving at a rapid pace. Key trends that will impact the future of our industries include adoption of generative AI, large language models (“LLMs”), small language models (“SLMs”), vision transformers and multi-modality. The industry will continue to seek alternatives to incumbent architectures such as the graphic processing unit (“GPU”) and the central processing unit (“CPU”), prioritizing performance, total cost of ownership and ease of use. These characteristics are just as relevant and necessary for data center inference applications as they are for edge AI vision analytics. As the Blaize chip roadmap is enhanced, the inherent advantages of the Graph Streaming Processor (“GSP”) architecture and ease of programmability enable Blaize to remain relevant to market and customer evolution.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AI market is subject to rapid technological changes, evolving industry standards, customer needs and preferences and developing regulations in the United States of America (“U.S.”)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target markets are large, growing and sustained by strong fundamentals. The drivers for this growth are mainly attributed to an adoption drive across industries for autonomous solutions, traditional and generative AI applications, with the trend moving towards decentralization of data, data privacy and ownership, and the global appetite for sustainability.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Blaize’s product roadmap focuses on creating optimized solutions that can fulfill customer demands for AI applications at the edge. The main target markets include: enterprise, commercial, industrial, and automotive. These markets require low-power systems with highly optimized total cost of ownership, agility and flexibility on development and deployment, and a reliable supply chain. We believe our technology and targeted marketing strategy are designed to deliver products that meet and exceed those requirements.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Blaize has created an innovative type of AI computing accelerator, the GSP. This processor has been designed from the ground up for computer vision and machine learning applications. It is fully programmable, making it flexible and adaptable for the foreseeable future.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As the demands of edge AI inference continue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82"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increase at a rapid pace, and customer data is evolving and changing frequently, our GSP has key advantages in enabling customer confidence.</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Blaize’s hardware products are compute cards that incorporate our GSP and come in a comprehensive set of commonly used form factors.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us that meet the demands of a wide range of customer use cases.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support industry standard Application Programming Interfaces (“APIs”) and frameworks, enabling customers to execute current models and develop new applications on our hardware. We also provide a comprehensive software suite, Blaize AI Studio (“AI Studio”). This is an intuitive and visual non-code environment intended to simplify the creation and deployment of AI models, with the goal of empowering developers and data scientists to build and optimize AI applications more efficiently. Our AI Studio features a robust set of tools and libraries, and is designed to streamline the development lifecycle, allowing organizations to bring AI-powered solutions to market more quickly.</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Collaborating with system integrators, software vendors, and hardware manufacturers, we are continuously expanding our technology ecosystem to ensure seamless integration and interoperability with existing infrastructure and AI frameworks. This approach enables organizations to leverage their existing investments while adopting our innovative AI capabilities.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current generation of our products are primarily focused on video analytics applications and AI inference at the edge. Our current technology can address the autonomous systems market for drones, robotics and automotives, including AI accelerators for cockpit, in-cabin and infotainment applications.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current hardware products place us in a strong position into the rapidly expanding AI accelerator market today. We have worked with many customers in testing and technical evaluations across industries, such as enterprise, defense and automotive. In addition to hardware sales, we believe we are well positioned for growth in our software sales and services through our comprehensive, pre-integrated software stack, vertically integrated solutions, AI Studio development platform, and analytics framework and toolkit.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 Target Markets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product targets two of AI’s highest-impact verticals that require AI accelerated computing at the edge: short cycle industrial and long cycle automotive.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Short Cycle Industrial</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can provide optimal solutions to the various needs of enterprise, commercial, industrial and defense customers, while many other current solutions in the market are fragmented, with multiple vendor platforms, leaving customers with the associated cost and complexity of making the pieces work together.</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uniquely positioned to provide value to the market due to the following:</w:t>
      </w:r>
    </w:p>
    <w:p>
      <w:pPr>
        <w:spacing w:after="0" w:line="131" w:lineRule="exact"/>
        <w:rPr>
          <w:sz w:val="20"/>
          <w:szCs w:val="20"/>
          <w:color w:val="auto"/>
        </w:rPr>
      </w:pPr>
    </w:p>
    <w:p>
      <w:pPr>
        <w:ind w:left="1080" w:right="1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programmable hardware and AI Studio software platform enables customers to fully and easily integrate their solutions and deploy to market faster and more efficiently.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products allows customers to quickly deploy, manage, and extract contextual value from their analytics to meet their needs. We enable our customers to easily update their models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when new data becomes available, without having to resort to scarce and expensive data science skilled resources.</w:t>
      </w:r>
    </w:p>
    <w:p>
      <w:pPr>
        <w:spacing w:after="0" w:line="131" w:lineRule="exact"/>
        <w:rPr>
          <w:sz w:val="20"/>
          <w:szCs w:val="20"/>
          <w:color w:val="auto"/>
        </w:rPr>
      </w:pPr>
    </w:p>
    <w:p>
      <w:pPr>
        <w:ind w:left="1080" w:right="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dynamic hardware and software solutions enable proactive maintenance, ongoing optimization and enhanced security in tailored applications, such as in full-field asset tracking and monitoring functions related to security and monitoring.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Long Cycle Automotive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Blaize’s GSP provides an efficient way to run standard and customized neural networks in automobiles and other transportation vehicles. We expect to use our GSP-based platforms to replace power-consuming GPU and Field Programmable Gate Arrays chips, improving system efficiency advantage and a single scalable architecture across various use cases. In addition, we provide full programmability for a range of platforms, dynamic workloads, and updates. By combining low latency with low power consumption, our GSP is designed to efficiently process AI workloads at the automotive edge, either as an embedded or accelerator solution.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consider our technology to be uniquely positioned to win in this market. The automotive value chain is quickly evolving with profits coming from the ability of automotive OEMs and Tier-1 suppliers to offer software upgrades and new features in the field. Our technology can bring considerable advantages in these applications due to the programmability of the hardware, the support for industry standards and the overall advantage in total cost of ownership.</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technology roadmap is robust and expected to meet the ever-growing complexity and size of models for current and future demands of autonomous driving.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Product Roadmap</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and exceed those requirements.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believe the scalable and programmable nature of our product architecture positions us well to provide advantageous AI solutions for the rapidly changing demands of AI applications and allows us to differentiate our products from established and emerging competitive alternatives that focus on raw performance for specific and narrow workloads.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existing products will enable Blaize to capture market share for video analytics applications in verticals such as retail, defense and healthcare by embedding in devices such as surveillance and security cameras, edge servers (including edge data centers), drones, machine vision (including industrial automation) and robotics. As these markets are established, we believe we will be able to expand into adjacent verticals through updated hardware and software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elevating brand, product and value proposition awareness across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40"/>
          </w:cols>
          <w:pgMar w:left="320" w:top="482" w:right="5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312" w:lineRule="auto"/>
        <w:rPr>
          <w:sz w:val="20"/>
          <w:szCs w:val="20"/>
          <w:color w:val="auto"/>
        </w:rPr>
      </w:pPr>
      <w:r>
        <w:rPr>
          <w:rFonts w:ascii="Times New Roman" w:cs="Times New Roman" w:eastAsia="Times New Roman" w:hAnsi="Times New Roman"/>
          <w:sz w:val="17"/>
          <w:szCs w:val="17"/>
          <w:color w:val="auto"/>
        </w:rPr>
        <w:t>the broader industry, with prospects in selected target verticals. This includes participation at trade events, demonstrations of Blaize technology, collaborations and co-promotions with ecosystem partners, social campaigns, competitive positioning and other marketing activities.</w:t>
      </w:r>
    </w:p>
    <w:p>
      <w:pPr>
        <w:spacing w:after="0" w:line="32"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Our go-to-market (“GTM”) strategy focuses on creating a partnership ecosystem to develop and define a portfolio of end-to-end, market ready solutions powered by our products that addresses enterprise customer requirements in the enterprise, commercial, industrial and defense verticals.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focus our marketing and sales efforts on the following areas:</w:t>
      </w:r>
    </w:p>
    <w:p>
      <w:pPr>
        <w:spacing w:after="0" w:line="127"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powered by Blaize </w:t>
      </w:r>
      <w:r>
        <w:rPr>
          <w:rFonts w:ascii="Times New Roman" w:cs="Times New Roman" w:eastAsia="Times New Roman" w:hAnsi="Times New Roman"/>
          <w:sz w:val="18"/>
          <w:szCs w:val="18"/>
          <w:color w:val="auto"/>
        </w:rPr>
        <w:t>- we build, qualify, and quantify market ready hardware solutions with a large number of OEMs;</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unique full stack approach </w:t>
      </w:r>
      <w:r>
        <w:rPr>
          <w:rFonts w:ascii="Times New Roman" w:cs="Times New Roman" w:eastAsia="Times New Roman" w:hAnsi="Times New Roman"/>
          <w:sz w:val="18"/>
          <w:szCs w:val="18"/>
          <w:color w:val="auto"/>
        </w:rPr>
        <w:t>- we are well positioned to deliver a fully integrated software and hardware solutions which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w:t>
      </w:r>
    </w:p>
    <w:p>
      <w:pPr>
        <w:spacing w:after="0" w:line="81"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Applications powered by Blaize </w:t>
      </w:r>
      <w:r>
        <w:rPr>
          <w:rFonts w:ascii="Times New Roman" w:cs="Times New Roman" w:eastAsia="Times New Roman" w:hAnsi="Times New Roman"/>
          <w:sz w:val="18"/>
          <w:szCs w:val="18"/>
          <w:color w:val="auto"/>
        </w:rPr>
        <w:t>- our team concentrates on qualifying with application partners that deliver customer-facing software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our focused verticals;</w:t>
      </w:r>
    </w:p>
    <w:p>
      <w:pPr>
        <w:spacing w:after="0" w:line="60" w:lineRule="exact"/>
        <w:rPr>
          <w:rFonts w:ascii="Times New Roman" w:cs="Times New Roman" w:eastAsia="Times New Roman" w:hAnsi="Times New Roman"/>
          <w:sz w:val="18"/>
          <w:szCs w:val="18"/>
          <w:color w:val="auto"/>
        </w:rPr>
      </w:pPr>
    </w:p>
    <w:p>
      <w:pPr>
        <w:ind w:left="1080" w:right="46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Ecosystem channel delivery </w:t>
      </w:r>
      <w:r>
        <w:rPr>
          <w:rFonts w:ascii="Times New Roman" w:cs="Times New Roman" w:eastAsia="Times New Roman" w:hAnsi="Times New Roman"/>
          <w:sz w:val="18"/>
          <w:szCs w:val="18"/>
          <w:color w:val="auto"/>
        </w:rPr>
        <w:t>- we contract with cloud, distribution, integration, and value-add resellers already supporting our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and</w:t>
      </w:r>
    </w:p>
    <w:p>
      <w:pPr>
        <w:spacing w:after="0" w:line="60" w:lineRule="exact"/>
        <w:rPr>
          <w:rFonts w:ascii="Times New Roman" w:cs="Times New Roman" w:eastAsia="Times New Roman" w:hAnsi="Times New Roman"/>
          <w:sz w:val="18"/>
          <w:szCs w:val="18"/>
          <w:color w:val="auto"/>
        </w:rPr>
      </w:pPr>
    </w:p>
    <w:p>
      <w:pPr>
        <w:ind w:left="1080" w:right="40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adoption </w:t>
      </w:r>
      <w:r>
        <w:rPr>
          <w:rFonts w:ascii="Times New Roman" w:cs="Times New Roman" w:eastAsia="Times New Roman" w:hAnsi="Times New Roman"/>
          <w:sz w:val="18"/>
          <w:szCs w:val="18"/>
          <w:color w:val="auto"/>
        </w:rPr>
        <w:t>- we promote market ready solutions powered by Blaize and present use cases that meet our customers’ varying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and deployment requirements.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 and Prospective Customers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working with multiple customers across various industries globally, including in North America, Japan, Korea, EU and the GCC (Gulf Corporation Countries) Region. We have a multi-million dollar purchase order with a defense entity to provide a host of complete solutions that require low latency, low power and high performance compute in the field, where our technology advantages excel. These solutions can be easily and rapidly offered to other defense entities.</w:t>
      </w:r>
    </w:p>
    <w:p>
      <w:pPr>
        <w:spacing w:after="0" w:line="18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the automotive sector, our programable hardware technology has been vetted and endorsed through a long-standing partnership with DENSO, one of the world’s largest Tier 1 supplier to Toyota, Honda, GM, and others. Additionally, in 2023 and 2024, we teamed up with Mercedes-Benz and their partner vendors to evaluate their requirements for an advanced L4 platform, intended to be in production by the end of this decade. We believe these collaborations demonstrate a high level of confidence in our architecture and our readiness to provide automotive-grade silicon to the industry.</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past twelve months, Blaize entered into a Purchase Order Contract Agreement dated May 1, 2024 with a UAE private company (the “POCA Counterparty”) that provides defense solutions (the “POCA”) and is currently negotiating an addendum to the Purchase Order Contract Agreement. The POCA provides solutions to government entities in the UAE. Under the POCA, Blaize will provide numerous solutions to the POCA Counterparty that require low latency, low power and high performance compute in the field. Specifically, the POCA Counterparty, as the Technical Service Provider licensed by the DED AbuDhabi, Government of United Arab Emirates (“TSP”), and Blaize, as the supplier of equipment, software and/or managed services to TSP for the purpose of installation, provision, operations and/or maintenance of TSP’s networks (in such capacity, the “Vendor”), agreed that the Vendor will supply equipment and services to TSP’s clients for consideration of up to $105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POCA establish a timeline for each of the projects, including deadlines for the deliverables that TSP will require, beginning in the third quarter of 2024 through the fourth quarter of 2025. The POCA will continue to be in full force and effect unless terminated earlier by TSP.</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Performance of the parties’ obligations under the POCA have been delayed and, as of March 31, 2025, Blaize has not shipped any products nor received any payments from the POCA Counterparty. Under the terms of the POCA, Blaize must receive advance payment by the POCA Counterparty before the shipment of any product.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Though no revenues have been realized under the terms of the POCA to date, Blaize is expecting to initiate work on field trials once the customer has identified the specific use case and provides access to their data.</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further believe that the solutions that Blaize is currently developing for TSP and TSP’s clients demonstrate Blaize’s capability to create a full-stack solution for the defense industry, which we believe can be marketed for other defense solutions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strengths will help us maintain our unique product solutions and continue our growth trajectory moving forward:</w:t>
      </w:r>
    </w:p>
    <w:p>
      <w:pPr>
        <w:spacing w:after="0" w:line="127" w:lineRule="exact"/>
        <w:rPr>
          <w:sz w:val="20"/>
          <w:szCs w:val="20"/>
          <w:color w:val="auto"/>
        </w:rPr>
      </w:pPr>
    </w:p>
    <w:p>
      <w:pPr>
        <w:ind w:left="1080" w:right="20" w:hanging="424"/>
        <w:spacing w:after="0" w:line="25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Revolutionary Architecture</w:t>
      </w:r>
      <w:r>
        <w:rPr>
          <w:rFonts w:ascii="Times New Roman" w:cs="Times New Roman" w:eastAsia="Times New Roman" w:hAnsi="Times New Roman"/>
          <w:sz w:val="18"/>
          <w:szCs w:val="18"/>
          <w:color w:val="auto"/>
        </w:rPr>
        <w:t>. We believe our innovative full-stack solution, incorporating and bundling silicon, hardware, and software,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edge, 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w:t>
      </w:r>
    </w:p>
    <w:p>
      <w:pPr>
        <w:spacing w:after="0" w:line="87"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Efficient and Programmable Graph Streaming Processor</w:t>
      </w:r>
      <w:r>
        <w:rPr>
          <w:rFonts w:ascii="Times New Roman" w:cs="Times New Roman" w:eastAsia="Times New Roman" w:hAnsi="Times New Roman"/>
          <w:sz w:val="17"/>
          <w:szCs w:val="17"/>
          <w:color w:val="auto"/>
        </w:rPr>
        <w:t>. 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w:t>
      </w:r>
    </w:p>
    <w:p>
      <w:pPr>
        <w:spacing w:after="0" w:line="4"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fully programmable.</w:t>
      </w:r>
    </w:p>
    <w:p>
      <w:pPr>
        <w:spacing w:after="0" w:line="108" w:lineRule="exact"/>
        <w:rPr>
          <w:rFonts w:ascii="Times New Roman" w:cs="Times New Roman" w:eastAsia="Times New Roman" w:hAnsi="Times New Roman"/>
          <w:sz w:val="17"/>
          <w:szCs w:val="17"/>
          <w:color w:val="auto"/>
        </w:rPr>
      </w:pPr>
    </w:p>
    <w:p>
      <w:pPr>
        <w:ind w:left="1080" w:hanging="424"/>
        <w:spacing w:after="0" w:line="26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Task-Level Parallelism through Highly Efficient Streaming of Neural Network Graphs</w:t>
      </w:r>
      <w:r>
        <w:rPr>
          <w:rFonts w:ascii="Times New Roman" w:cs="Times New Roman" w:eastAsia="Times New Roman" w:hAnsi="Times New Roman"/>
          <w:sz w:val="18"/>
          <w:szCs w:val="18"/>
          <w:color w:val="auto"/>
        </w:rPr>
        <w:t>. Neural network processing lends itself well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 different levels of parallelism: instruction-level, data-level, thread level, and task-level. Our GSP architecture is the only one in the industry to provide all four levels of parallelism:</w:t>
      </w:r>
    </w:p>
    <w:p>
      <w:pPr>
        <w:spacing w:after="0" w:line="80" w:lineRule="exact"/>
        <w:rPr>
          <w:sz w:val="20"/>
          <w:szCs w:val="20"/>
          <w:color w:val="auto"/>
        </w:rPr>
      </w:pPr>
    </w:p>
    <w:p>
      <w:pPr>
        <w:ind w:left="1540" w:right="360" w:hanging="331"/>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GSPs offer instruction-level parallelism by scheduling instructions as soon as their dependencies have been met. Each processor executes its instructions independently of any other processor.</w:t>
      </w:r>
    </w:p>
    <w:p>
      <w:pPr>
        <w:spacing w:after="0" w:line="67"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GSPs offer thread parallelism, with multiple hardware threads per processor. Within a single clock cycle, our processor can change context either by switching threads or by dispatching a new thread.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40"/>
        <w:spacing w:after="0" w:line="282" w:lineRule="auto"/>
        <w:rPr>
          <w:sz w:val="20"/>
          <w:szCs w:val="20"/>
          <w:color w:val="auto"/>
        </w:rPr>
      </w:pPr>
      <w:r>
        <w:rPr>
          <w:rFonts w:ascii="Times New Roman" w:cs="Times New Roman" w:eastAsia="Times New Roman" w:hAnsi="Times New Roman"/>
          <w:sz w:val="18"/>
          <w:szCs w:val="18"/>
          <w:color w:val="auto"/>
        </w:rPr>
        <w:t>GSPs offer data parallelism through special instructions that can operate directly on unaligned blocks of data in a register file. These instructions include 2D block instructions, such as block move and block add, as well as reduction instructions, such as dot product.</w:t>
      </w:r>
    </w:p>
    <w:p>
      <w:pPr>
        <w:spacing w:after="0" w:line="67" w:lineRule="exact"/>
        <w:rPr>
          <w:sz w:val="20"/>
          <w:szCs w:val="20"/>
          <w:color w:val="auto"/>
        </w:rPr>
      </w:pPr>
    </w:p>
    <w:p>
      <w:pPr>
        <w:jc w:val="both"/>
        <w:ind w:left="1540" w:right="40" w:hanging="331"/>
        <w:spacing w:after="0" w:line="261"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Fully Programmable Architecture with Efficient End-to-end Applications</w:t>
      </w:r>
      <w:r>
        <w:rPr>
          <w:rFonts w:ascii="Times New Roman" w:cs="Times New Roman" w:eastAsia="Times New Roman" w:hAnsi="Times New Roman"/>
          <w:sz w:val="18"/>
          <w:szCs w:val="18"/>
          <w:color w:val="auto"/>
        </w:rPr>
        <w:t>. AI developers today face three major challenges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deploying AI applications in the real-world:</w:t>
      </w:r>
    </w:p>
    <w:p>
      <w:pPr>
        <w:spacing w:after="0" w:line="60" w:lineRule="exact"/>
        <w:rPr>
          <w:rFonts w:ascii="Times New Roman" w:cs="Times New Roman" w:eastAsia="Times New Roman" w:hAnsi="Times New Roman"/>
          <w:sz w:val="18"/>
          <w:szCs w:val="18"/>
          <w:color w:val="auto"/>
        </w:rPr>
      </w:pPr>
    </w:p>
    <w:p>
      <w:pPr>
        <w:ind w:left="2080" w:right="36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Neural network functions are usually part of an overall application; therefore, developers need to be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easily and efficiently integrate both the neural network and non-neural network functions;</w:t>
      </w:r>
    </w:p>
    <w:p>
      <w:pPr>
        <w:spacing w:after="0" w:line="60" w:lineRule="exact"/>
        <w:rPr>
          <w:rFonts w:ascii="Times New Roman" w:cs="Times New Roman" w:eastAsia="Times New Roman" w:hAnsi="Times New Roman"/>
          <w:sz w:val="18"/>
          <w:szCs w:val="18"/>
          <w:color w:val="auto"/>
        </w:rPr>
      </w:pPr>
    </w:p>
    <w:p>
      <w:pPr>
        <w:ind w:left="2080" w:right="4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entire AI application must run efficiently on the hardware deployed, with high performance, low latency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power; and</w:t>
      </w:r>
    </w:p>
    <w:p>
      <w:pPr>
        <w:spacing w:after="0" w:line="60" w:lineRule="exact"/>
        <w:rPr>
          <w:rFonts w:ascii="Times New Roman" w:cs="Times New Roman" w:eastAsia="Times New Roman" w:hAnsi="Times New Roman"/>
          <w:sz w:val="18"/>
          <w:szCs w:val="18"/>
          <w:color w:val="auto"/>
        </w:rPr>
      </w:pPr>
    </w:p>
    <w:p>
      <w:pPr>
        <w:ind w:left="208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It is crucial to be able to update applications and neural networks as more data is collected in the field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neural network innovations rapidly evolve.</w:t>
      </w:r>
    </w:p>
    <w:p>
      <w:pPr>
        <w:spacing w:after="0" w:line="5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We believe our GSP solves these three major challenges in the following ways:</w:t>
      </w:r>
    </w:p>
    <w:p>
      <w:pPr>
        <w:spacing w:after="0" w:line="248" w:lineRule="exact"/>
        <w:rPr>
          <w:sz w:val="20"/>
          <w:szCs w:val="20"/>
          <w:color w:val="auto"/>
        </w:rPr>
      </w:pPr>
    </w:p>
    <w:p>
      <w:pPr>
        <w:ind w:left="2080" w:right="120" w:hanging="533"/>
        <w:spacing w:after="0" w:line="268"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The GSP architecture is fully programmable, which enables developers to build end-to-end AI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 non-neural network functions (such as Image Signal Processing) and neural network functions that are built in any Machine Learning framework, and execute these on the same hardware.</w:t>
      </w:r>
    </w:p>
    <w:p>
      <w:pPr>
        <w:spacing w:after="0" w:line="76" w:lineRule="exact"/>
        <w:rPr>
          <w:rFonts w:ascii="Times New Roman" w:cs="Times New Roman" w:eastAsia="Times New Roman" w:hAnsi="Times New Roman"/>
          <w:sz w:val="18"/>
          <w:szCs w:val="18"/>
          <w:color w:val="auto"/>
        </w:rPr>
      </w:pPr>
    </w:p>
    <w:p>
      <w:pPr>
        <w:ind w:left="2080" w:right="160" w:hanging="533"/>
        <w:spacing w:after="0" w:line="286"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fully integrated Picasso software development platform and graph framework take care of translating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end-to-end AI applications into graphs that run efficiently and performantly on the underlying hardware.</w:t>
      </w:r>
    </w:p>
    <w:p>
      <w:pPr>
        <w:spacing w:after="0" w:line="60" w:lineRule="exact"/>
        <w:rPr>
          <w:rFonts w:ascii="Times New Roman" w:cs="Times New Roman" w:eastAsia="Times New Roman" w:hAnsi="Times New Roman"/>
          <w:sz w:val="18"/>
          <w:szCs w:val="18"/>
          <w:color w:val="auto"/>
        </w:rPr>
      </w:pPr>
    </w:p>
    <w:p>
      <w:pPr>
        <w:ind w:left="2080" w:right="700" w:hanging="533"/>
        <w:spacing w:after="0" w:line="286"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As the neural network and workflow evolves, and as new data is collected, the AI models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re-trained and re-deployed with ease and speed, using the integrated Picasso toolkit.</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Capex and De-Risked Business Model</w:t>
      </w:r>
      <w:r>
        <w:rPr>
          <w:rFonts w:ascii="Times New Roman" w:cs="Times New Roman" w:eastAsia="Times New Roman" w:hAnsi="Times New Roman"/>
          <w:sz w:val="18"/>
          <w:szCs w:val="18"/>
          <w:color w:val="auto"/>
        </w:rPr>
        <w:t>. While we design and sell our hardware and semiconductor chips, we do not manufacture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 wafers or chips used in our products. Instead, we outsource the fabrication of these products to a manufacturing plant.</w:t>
      </w:r>
    </w:p>
    <w:p>
      <w:pPr>
        <w:spacing w:after="0" w:line="60" w:lineRule="exact"/>
        <w:rPr>
          <w:rFonts w:ascii="Times New Roman" w:cs="Times New Roman" w:eastAsia="Times New Roman" w:hAnsi="Times New Roman"/>
          <w:sz w:val="18"/>
          <w:szCs w:val="18"/>
          <w:color w:val="auto"/>
        </w:rPr>
      </w:pPr>
    </w:p>
    <w:p>
      <w:pPr>
        <w:ind w:left="1080" w:right="200" w:hanging="424"/>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Efficiency</w:t>
      </w:r>
      <w:r>
        <w:rPr>
          <w:rFonts w:ascii="Times New Roman" w:cs="Times New Roman" w:eastAsia="Times New Roman" w:hAnsi="Times New Roman"/>
          <w:sz w:val="18"/>
          <w:szCs w:val="18"/>
          <w:color w:val="auto"/>
        </w:rPr>
        <w:t>. As a fabless manufacturing company, we avoid potentially high capital investments that would be required to build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Flexibility and Scalability</w:t>
      </w:r>
      <w:r>
        <w:rPr>
          <w:rFonts w:ascii="Times New Roman" w:cs="Times New Roman" w:eastAsia="Times New Roman" w:hAnsi="Times New Roman"/>
          <w:sz w:val="18"/>
          <w:szCs w:val="18"/>
          <w:color w:val="auto"/>
        </w:rPr>
        <w:t>. We can scale production quickly without having to invest in additional manufacturing facilities.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respond to market demand fluctuations by leveraging the capacity and capabilities of external foundries. We believe this flexibility allows us to adapt to market conditions and rapidly bring new products to market.</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Technological Expertise</w:t>
      </w:r>
      <w:r>
        <w:rPr>
          <w:rFonts w:ascii="Times New Roman" w:cs="Times New Roman" w:eastAsia="Times New Roman" w:hAnsi="Times New Roman"/>
          <w:sz w:val="18"/>
          <w:szCs w:val="18"/>
          <w:color w:val="auto"/>
        </w:rPr>
        <w:t>. We have a relentless focus to concentrate all efforts on research, development, and innovation, without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burdened by the complexities of semiconductor manufacturing. Our teams of experts are solely focused on designing advanced chips and pushing technological boundaries. We believe this specialization has enabled our development of more cutting-edge products and faster time-to-market.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to Advanced Processes</w:t>
      </w:r>
      <w:r>
        <w:rPr>
          <w:rFonts w:ascii="Times New Roman" w:cs="Times New Roman" w:eastAsia="Times New Roman" w:hAnsi="Times New Roman"/>
          <w:sz w:val="18"/>
          <w:szCs w:val="18"/>
          <w:color w:val="auto"/>
        </w:rPr>
        <w:t>. 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Supply Chain</w:t>
      </w:r>
      <w:r>
        <w:rPr>
          <w:rFonts w:ascii="Times New Roman" w:cs="Times New Roman" w:eastAsia="Times New Roman" w:hAnsi="Times New Roman"/>
          <w:sz w:val="18"/>
          <w:szCs w:val="18"/>
          <w:color w:val="auto"/>
        </w:rPr>
        <w:t>. Our fabless approach gives us the ability to tap into a global network of foundries, enabling our selection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suitable manufacturing partner based on the specific requirements. We believe this global supply chain, in turn, also offers geographic diversification, reducing the risk of disruptions caused by regional issues, such as natural disasters or geopolitical factors.</w:t>
      </w:r>
    </w:p>
    <w:p>
      <w:pPr>
        <w:spacing w:after="0" w:line="76"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Focus on Differentiation</w:t>
      </w:r>
      <w:r>
        <w:rPr>
          <w:rFonts w:ascii="Times New Roman" w:cs="Times New Roman" w:eastAsia="Times New Roman" w:hAnsi="Times New Roman"/>
          <w:sz w:val="18"/>
          <w:szCs w:val="18"/>
          <w:color w:val="auto"/>
        </w:rPr>
        <w:t>. With manufacturing outsourced, we have the capacity to heavily focus on developing unique features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(“IP”). We are investing in specialized design teams, software development, and system integration to create products that stand out in the market and provide a competitive advantage.</w:t>
      </w:r>
    </w:p>
    <w:p>
      <w:pPr>
        <w:spacing w:after="0" w:line="76" w:lineRule="exact"/>
        <w:rPr>
          <w:rFonts w:ascii="Times New Roman" w:cs="Times New Roman" w:eastAsia="Times New Roman" w:hAnsi="Times New Roman"/>
          <w:sz w:val="18"/>
          <w:szCs w:val="18"/>
          <w:color w:val="auto"/>
        </w:rPr>
      </w:pPr>
    </w:p>
    <w:p>
      <w:pPr>
        <w:ind w:left="1080" w:right="2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Time-to-Market</w:t>
      </w:r>
      <w:r>
        <w:rPr>
          <w:rFonts w:ascii="Times New Roman" w:cs="Times New Roman" w:eastAsia="Times New Roman" w:hAnsi="Times New Roman"/>
          <w:sz w:val="18"/>
          <w:szCs w:val="18"/>
          <w:color w:val="auto"/>
        </w:rPr>
        <w:t>. We believe the fabless manufacturing model allows us to expedite our product development cycles.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partnering with external foundries, we parallelize design and fabrication processes, reducing time-consuming steps and accelerating the overall time-to-market.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addressable TAM.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outsource all of our manufacturing and leverage partnerships with several global manufacturing and assembly providers.</w:t>
      </w:r>
    </w:p>
    <w:p>
      <w:pPr>
        <w:spacing w:after="0" w:line="225"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 Foundry and our Taiwanese packaging partners. The raw materials and components used include silicon, polymers, copper, aluminum, other metal alloys, and plastics, which are generally available throughout the world but largely provided by companies in China.</w:t>
      </w:r>
    </w:p>
    <w:p>
      <w:pPr>
        <w:spacing w:after="0" w:line="16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our competitors vary depending on the target market segment.</w:t>
      </w:r>
    </w:p>
    <w:p>
      <w:pPr>
        <w:spacing w:after="0" w:line="127" w:lineRule="exact"/>
        <w:rPr>
          <w:sz w:val="20"/>
          <w:szCs w:val="20"/>
          <w:color w:val="auto"/>
        </w:rPr>
      </w:pPr>
    </w:p>
    <w:p>
      <w:pPr>
        <w:ind w:left="1080" w:right="140" w:hanging="424"/>
        <w:spacing w:after="0" w:line="26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 and Edge</w:t>
      </w:r>
      <w:r>
        <w:rPr>
          <w:rFonts w:ascii="Times New Roman" w:cs="Times New Roman" w:eastAsia="Times New Roman" w:hAnsi="Times New Roman"/>
          <w:sz w:val="18"/>
          <w:szCs w:val="18"/>
          <w:color w:val="auto"/>
        </w:rPr>
        <w:t>. We believe our main competitors come from producers of graphics processing units (“GPUs”), such as NVIDIA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(“NVIDIA”), and GPU-derived application-specific-standard products (“ASSPs”). As we continue to grow, we predict additional competition will come from in-CPU acceleration provided by established vendors, including Intel and AMD.</w:t>
      </w:r>
    </w:p>
    <w:p>
      <w:pPr>
        <w:spacing w:after="0" w:line="76"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Surveillance and Security</w:t>
      </w:r>
      <w:r>
        <w:rPr>
          <w:rFonts w:ascii="Times New Roman" w:cs="Times New Roman" w:eastAsia="Times New Roman" w:hAnsi="Times New Roman"/>
          <w:sz w:val="18"/>
          <w:szCs w:val="18"/>
          <w:color w:val="auto"/>
        </w:rPr>
        <w:t>. We consider companies with in-house application-specific integrated circuits (“ASICs”) that are either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Machine Vision</w:t>
      </w:r>
      <w:r>
        <w:rPr>
          <w:rFonts w:ascii="Times New Roman" w:cs="Times New Roman" w:eastAsia="Times New Roman" w:hAnsi="Times New Roman"/>
          <w:sz w:val="18"/>
          <w:szCs w:val="18"/>
          <w:color w:val="auto"/>
        </w:rPr>
        <w:t>. We compete with industrial autonomation, quality control, and other machine vision utilization industries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w:t>
      </w:r>
    </w:p>
    <w:p>
      <w:pPr>
        <w:spacing w:after="0" w:line="81"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Drones, Robotics and Other Embedded Applications</w:t>
      </w:r>
      <w:r>
        <w:rPr>
          <w:rFonts w:ascii="Times New Roman" w:cs="Times New Roman" w:eastAsia="Times New Roman" w:hAnsi="Times New Roman"/>
          <w:sz w:val="18"/>
          <w:szCs w:val="18"/>
          <w:color w:val="auto"/>
        </w:rPr>
        <w:t>. We believe competition in this category is primarily from in-house designs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 built ASICs (either fully proprietary or based on third-party technologies from vendors, such as Ambarella). Further, we believe that merchant options provided by NVIDIA and Qualcomm and FPGA solutions from Xilinx and Altera will also represent competitors in this category, albeit in a smaller and more fragmented fashion.</w:t>
      </w:r>
    </w:p>
    <w:p>
      <w:pPr>
        <w:spacing w:after="0" w:line="81" w:lineRule="exact"/>
        <w:rPr>
          <w:rFonts w:ascii="Times New Roman" w:cs="Times New Roman" w:eastAsia="Times New Roman" w:hAnsi="Times New Roman"/>
          <w:sz w:val="18"/>
          <w:szCs w:val="18"/>
          <w:color w:val="auto"/>
        </w:rPr>
      </w:pPr>
    </w:p>
    <w:p>
      <w:pPr>
        <w:ind w:left="1080" w:right="520" w:hanging="424"/>
        <w:spacing w:after="0" w:line="26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Automotive</w:t>
      </w:r>
      <w:r>
        <w:rPr>
          <w:rFonts w:ascii="Times New Roman" w:cs="Times New Roman" w:eastAsia="Times New Roman" w:hAnsi="Times New Roman"/>
          <w:sz w:val="18"/>
          <w:szCs w:val="18"/>
          <w:color w:val="auto"/>
        </w:rPr>
        <w:t>. We believe competition in this category comes from programmable AI-based computer vision developed in-house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OEMs and by solutions merchants, such as NVIDIA, Qualcomm, Mobileye Global Inc., and emerging start-ups, such as Tenstorrent Inc.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All states have adopted laws requiring notice to consumers of certain security breaches involving their personal information. In the event of a security breach, these laws may subject us to incident response, notice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remediation costs. Failure to safeguard data adequately or to destroy data (including personal information) securely could subject us to regulatory investigations, enforcement actions, and litigation under federal or state data privacy, data security, unfair practices, consumer protection, or other laws. The scope and interpretation of these laws could change, and the associated burdens and compliance costs could increase in the future.</w:t>
      </w:r>
    </w:p>
    <w:p>
      <w:pPr>
        <w:spacing w:after="0" w:line="176"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Privacy and security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personal information are constantly evolving. Such laws and regulations could restrict our ability to store and process personal information (in particular, our ability to use personal information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17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 bodies and agencies have introduced, or are currently considering, AI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example, in the U.S.,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This new Executive Order also requires the development of a new AI action plan within 180 days that must be “free from ideological bias or engineered social agendas.” While this action could indicate a less interventionist approach to AI than the prior administration, it is not clear how this new Executive Order will be implemented or whether it will affect rules issued by other agencies following the principles set forth in the 2023 AI Order.</w:t>
      </w:r>
    </w:p>
    <w:p>
      <w:pPr>
        <w:spacing w:after="0" w:line="190"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Legislation related to AI Technologies has also been introduced at the federal level and is advancing at the state level. For example, Colorado recently passed an AI Act, which regulates the development, deployment, and use of AI systems and the California Privacy Protection Agency is currently in the process of finalizing regulations under the California Consumer Privacy Act regarding the use of automated decision-making.</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failure to comply with these privacy, security and AI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harm our reputation, result in the imposition of monetary liability or demanding injunctive relief, divert management’s time and attention, increase our costs of doing business, and materially adversely affect our reputation.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Anti-Corruption, Sanctions and CFIUS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which restrict improper payments to persons in the public or private sector. Many countries have laws prohibiting these types of payments within the respective country. Historically, technology companies have been the target of FCPA and other anti-corruption investigations and penalties.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the Committee on Foreign Investment in the U.S.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ML at the edge sectors.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acquire or in-license patents to the extent we believe such patents may be useful or relevant to our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82"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Jefferies LLC v. Blaize Holdings, Inc. (formerly known as BurTech Acquisition Corp.)</w:t>
      </w:r>
    </w:p>
    <w:p>
      <w:pPr>
        <w:spacing w:after="0" w:line="11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On September 9, 2024, BurTech entered into an Advisory Services Engagement Letter with Jefferies to serve as its exclusive capital markets advisor in connection with the contemplated transaction involving Legacy Blaize (i.e. the Business Combination) (the “Jefferies Engagement Letter”).</w:t>
      </w:r>
    </w:p>
    <w:p>
      <w:pPr>
        <w:spacing w:after="0" w:line="14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January 1, 2025, we employed a total of approximately 232 people globally, including 56 people on a full-time basis in the United States and 220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strength.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El Dorado Hills, California where we lease approximately 1,753 square feet of office space pursuant to a lease that expires on December 14, 2025. Our El Dorado Hills premises contains administrative functions of the company. We also lease approximately 4,192 square feet of office space pursuant to a lease that expires on September 1, 2026. Our San Jose premises contains engineering and research and development functions of the company.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lease approximately 35,000 square feet of office space in Hyderabad, India pursuant to leases that expire on September 30, 2028. Our India premises contains engineering, research and development, and administrative functions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expired on July 15, 2025, which contains engineering and R&amp;D functions for Blaize. The Company is currently negotiating a lease extension for the 1,500 square foot office space lease in the United Kingdom and expects to sign a short-term renewal.</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office and other space is adequate for our current needs and, should we need additional space, we believe we will be able to obtain additional space on commercially reasonable terms.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320" w:top="482" w:right="5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certain information, as of March 31, 2025, concerning the persons who serve as our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Borders>
              <w:bottom w:val="single" w:sz="8" w:color="CCEEFF"/>
            </w:tcBorders>
          </w:tcPr>
          <w:p>
            <w:pPr>
              <w:spacing w:after="0"/>
              <w:rPr>
                <w:sz w:val="16"/>
                <w:szCs w:val="16"/>
                <w:color w:val="auto"/>
              </w:rPr>
            </w:pPr>
          </w:p>
        </w:tc>
        <w:tc>
          <w:tcPr>
            <w:tcW w:w="50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Lane M. Bess</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69</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and Director</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Lane M. Bess, Director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Lane Bess, 63,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Tony Cannestra, Director</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Tony Cannestra, 59,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Edward (Ed) H. Frank, Director</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w:t>
      </w:r>
    </w:p>
    <w:p>
      <w:pPr>
        <w:spacing w:after="0" w:line="164"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Jüergen Hambrecht, Director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82"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George de Urioste, Director</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Director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structure our corporate governance in a manner we believe closely aligns our interests with those of our stockholders. Notable features of this corporate governance include:</w:t>
      </w:r>
    </w:p>
    <w:p>
      <w:pPr>
        <w:spacing w:after="0" w:line="67" w:lineRule="exact"/>
        <w:rPr>
          <w:sz w:val="20"/>
          <w:szCs w:val="20"/>
          <w:color w:val="auto"/>
        </w:rPr>
      </w:pPr>
    </w:p>
    <w:p>
      <w:pPr>
        <w:ind w:left="1080" w:right="1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qualifies as an “audit committee financial expert” as defined by the SEC;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and will continue to implement a range of other corporate governance best practices, including implementing a robust director education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the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w:t>
      </w:r>
    </w:p>
    <w:p>
      <w:pPr>
        <w:spacing w:after="0" w:line="187"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Lane M. Bess serves as our Chairman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Board directs the management of our business and affairs, as provided by Delaware law, and conducts its business through meetings of the Board and standing committees. The standing committees of our Board include an audit committee of the Board (the “Audit Committee”) and a compensation committee of the Board (the “Compensation Committee”), each of which operates under a charter that has been approved by our board of directors. Such charters are available on our website at https://ir.blaize.com/corporate-governance/documents-charters. The reference to our website address does not constitute incorporation by reference of the information contained at or available through our website. We have included our website address as an inactive textual reference only.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primarily concerned with the effectiveness of our audits by our internal audit staff and by our independent auditors and is responsible for, among other things:</w:t>
      </w:r>
    </w:p>
    <w:p>
      <w:pPr>
        <w:spacing w:after="0" w:line="67" w:lineRule="exact"/>
        <w:rPr>
          <w:sz w:val="20"/>
          <w:szCs w:val="20"/>
          <w:color w:val="auto"/>
        </w:rPr>
      </w:pPr>
    </w:p>
    <w:p>
      <w:pPr>
        <w:ind w:left="1080" w:right="7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compensation, retention, oversight and qualifications of our independent auditors and determining whether to retain our existing independent auditors or engage new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our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auditors on our engagement team as required by law;</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auditors and management;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82"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any earnings announcements, disclosures and other financial information and guidance;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retention and investigation of complaints received by us regarding financial controls, accounting, auditing or other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67"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45"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spacing w:after="0" w:line="85"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legal and regulatory compliance and any material current, pending or threatened legal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consists of George de Urioste, Edward Frank and Tony Cannestra, with George de Urioste serving as chair. Rule 10A-3 of the Exchange Act and Nasdaq rules require that our Audit Committee must be composed entirely of independent members. Our Board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has determined that George de Urioste qualifies as an “audit committee financial expert,” as such term is defined in Item 407(d)(5) of Regulation S-K. Our Board adopted a written charter for the Audit Committee, which is available on our corporate website at www.blaize.com. The information on any of our websites is deemed not to be incorporated in this prospectus or to be part of this prospectus.</w:t>
      </w:r>
    </w:p>
    <w:p>
      <w:pPr>
        <w:spacing w:after="0" w:line="192"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Audit Committee meets with our independent auditors at least quarterly to discuss the results of the annual audit or interim periodic reviews and to review the financial statements; appoints the independent auditors to be retained; oversees the independence of the independent accountants; evaluates the independent auditors’ performance; approves fees paid to independent auditors and receives and considers the independent auditors’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82"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comments as to controls, adequacy of staff and management performance and procedures in connection with audit and financial controls. The Audit Committee did not meet during fiscal year 2024 as it was formed upon the closing of the Business Combination on January 13,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is primarily concerned with overall compensation strategy and policies and is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our overall compensation strategy and policies;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compensation and other terms of employment of our executive officers and other members of senior management, in the Compensation Committee’s discretion;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our non-employee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plans;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appropriate insurance coverage for our directors and officers;</w:t>
      </w:r>
    </w:p>
    <w:p>
      <w:pPr>
        <w:spacing w:after="0" w:line="12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in our periodic reports or proxy statements to be filed with the SEC, to the extent such caption is included in any such report or proxy statement;</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for employee compensation as related to risk management and risk-taking incentives to determine if such compensation policies and practices are reasonably likely to have a material adverse effect on 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our directors and executive officers, if and as determined to be necessary or appropriate;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on compensation-related proposals to be considered at our annual meeting of stockholders;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discussing with management our human capital management practices with respect to its employees and, where applicable, independent contractors;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modifying, as needed, clawback policies allowing us to recoup improper compensation paid to employees;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consists of Edward Frank, George de Urioste and Tony Cannestra, with Edward Frank serving as chair. Our Board has affirmatively determined that Edward Frank, George de Urioste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and Tony Cannestra each meet the definition of “independent director” for purposes of serving on the Compensation Committee under Nasdaq rules, and are “non-employee directors” as defined in Rule 16b-3 of the Exchange Act. Our Board adopted a written charter for the Compensation Committee, which is available on our corporate website at www.blaize.com The information on any of our websites is deemed not to be incorporated in this prospectus or to be part of this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Nomination of Directors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our Board in Risk Oversight/Risk Committee</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adopted a written code of business conduct and ethics that applies to our directors, officers and employees. A copy of the code is posted on our corporate website at www.blaize.com/investors/. Information contained on or accessible through our website is not a part of this prospectus, and the inclusion of our website 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5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w:t>
      </w:r>
    </w:p>
    <w:p>
      <w:pPr>
        <w:spacing w:after="0" w:line="183" w:lineRule="exact"/>
        <w:rPr>
          <w:sz w:val="20"/>
          <w:szCs w:val="20"/>
          <w:color w:val="auto"/>
        </w:rPr>
      </w:pPr>
    </w:p>
    <w:p>
      <w:pPr>
        <w:ind w:left="120" w:right="110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Blaize’s directors, officers, or employees for which indemnification is sought.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BLAIZE’S 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section, unless otherwise noted, “the company,” “we,” “us,” “our” and similar terms refer to Blaize prior to the Closing.</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Blaize’s executive officers who are named in the “Summary Compensation Table” below. In 2024, Blaize’s “named executive officers” and their positions were as follows:</w:t>
      </w:r>
    </w:p>
    <w:p>
      <w:pPr>
        <w:spacing w:after="0" w:line="67"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 Cook, Chief Software Architect;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Fernandez-Gomez, Vice President of Platform Engineering.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named executive officers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6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6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2"/>
                <w:szCs w:val="12"/>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ind w:right="216"/>
              <w:spacing w:after="0" w:line="12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2"/>
                <w:szCs w:val="12"/>
                <w:color w:val="auto"/>
              </w:rPr>
            </w:pPr>
          </w:p>
        </w:tc>
        <w:tc>
          <w:tcPr>
            <w:tcW w:w="780" w:type="dxa"/>
            <w:vAlign w:val="bottom"/>
          </w:tcPr>
          <w:p>
            <w:pPr>
              <w:jc w:val="right"/>
              <w:ind w:right="153"/>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595,833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3,798,428</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4,394,285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1,337,142</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1,637,167</w:t>
            </w:r>
          </w:p>
        </w:tc>
        <w:tc>
          <w:tcPr>
            <w:tcW w:w="0" w:type="dxa"/>
            <w:vAlign w:val="bottom"/>
          </w:tcPr>
          <w:p>
            <w:pPr>
              <w:spacing w:after="0"/>
              <w:rPr>
                <w:sz w:val="1"/>
                <w:szCs w:val="1"/>
                <w:color w:val="auto"/>
              </w:rPr>
            </w:pPr>
          </w:p>
        </w:tc>
      </w:tr>
      <w:tr>
        <w:trPr>
          <w:trHeight w:val="196"/>
        </w:trPr>
        <w:tc>
          <w:tcPr>
            <w:tcW w:w="53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Val Cook</w:t>
            </w:r>
          </w:p>
        </w:tc>
        <w:tc>
          <w:tcPr>
            <w:tcW w:w="880" w:type="dxa"/>
            <w:vAlign w:val="bottom"/>
            <w:gridSpan w:val="3"/>
          </w:tcPr>
          <w:p>
            <w:pPr>
              <w:ind w:left="2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397,570</w:t>
            </w:r>
          </w:p>
        </w:tc>
        <w:tc>
          <w:tcPr>
            <w:tcW w:w="60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781,714</w:t>
            </w:r>
          </w:p>
        </w:tc>
        <w:tc>
          <w:tcPr>
            <w:tcW w:w="11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1,179,308</w:t>
            </w:r>
          </w:p>
        </w:tc>
        <w:tc>
          <w:tcPr>
            <w:tcW w:w="0" w:type="dxa"/>
            <w:vAlign w:val="bottom"/>
          </w:tcPr>
          <w:p>
            <w:pPr>
              <w:spacing w:after="0"/>
              <w:rPr>
                <w:sz w:val="1"/>
                <w:szCs w:val="1"/>
                <w:color w:val="auto"/>
              </w:rPr>
            </w:pPr>
          </w:p>
        </w:tc>
      </w:tr>
      <w:tr>
        <w:trPr>
          <w:trHeight w:val="23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Software Architect</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225,000</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476,724</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701,749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447,917</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730,817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1,178,758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Vice President of Platform Engineering</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55"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dollar value of life insurance premiums paid by Blaize with respect to each named executive officer during 2024.</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21" w:lineRule="exact"/>
        <w:rPr>
          <w:sz w:val="20"/>
          <w:szCs w:val="20"/>
          <w:color w:val="auto"/>
        </w:rPr>
      </w:pPr>
    </w:p>
    <w:p>
      <w:pPr>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w:t>
      </w:r>
    </w:p>
    <w:p>
      <w:pPr>
        <w:spacing w:after="0" w:line="2"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Mr. Fernandez-Gomez: $450,000. The Summary Compensation Table above shows the actual base salaries paid to each named executive officer in fiscal year 2024.</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options granted to the named executive officers in 2024 vest and become exercisable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cs="Times New Roman" w:eastAsia="Times New Roman" w:hAnsi="Times New Roman"/>
          <w:sz w:val="18"/>
          <w:szCs w:val="18"/>
          <w:i w:val="1"/>
          <w:iCs w:val="1"/>
          <w:color w:val="auto"/>
        </w:rPr>
        <w:t>Offer Letters</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our company.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82" w:right="5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80" w:type="dxa"/>
            <w:vAlign w:val="bottom"/>
            <w:gridSpan w:val="2"/>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2"/>
          </w:tcPr>
          <w:p>
            <w:pPr>
              <w:jc w:val="center"/>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80" w:type="dxa"/>
            <w:vAlign w:val="bottom"/>
            <w:gridSpan w:val="2"/>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1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80" w:type="dxa"/>
            <w:vAlign w:val="bottom"/>
            <w:gridSpan w:val="2"/>
          </w:tcPr>
          <w:p>
            <w:pPr>
              <w:jc w:val="right"/>
              <w:ind w:right="373"/>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10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1280" w:type="dxa"/>
            <w:vAlign w:val="bottom"/>
            <w:gridSpan w:val="4"/>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3/15/2017</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1/1/2017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147,000</w:t>
            </w:r>
          </w:p>
        </w:tc>
        <w:tc>
          <w:tcPr>
            <w:tcW w:w="4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2"/>
              </w:rPr>
              <w:t>(1)</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3/14/2027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11/12/2018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9/1/2018</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226,305</w:t>
            </w:r>
            <w:r>
              <w:rPr>
                <w:rFonts w:ascii="Times New Roman" w:cs="Times New Roman" w:eastAsia="Times New Roman" w:hAnsi="Times New Roman"/>
                <w:sz w:val="25"/>
                <w:szCs w:val="25"/>
                <w:color w:val="auto"/>
                <w:vertAlign w:val="superscript"/>
              </w:rPr>
              <w:t>(1)</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2,197,372</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3,124,027</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10/24/2024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7,379,065</w:t>
            </w:r>
            <w:r>
              <w:rPr>
                <w:rFonts w:ascii="Times New Roman" w:cs="Times New Roman" w:eastAsia="Times New Roman" w:hAnsi="Times New Roman"/>
                <w:sz w:val="25"/>
                <w:szCs w:val="25"/>
                <w:color w:val="auto"/>
                <w:vertAlign w:val="superscript"/>
              </w:rPr>
              <w:t>(3)</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198"/>
        </w:trPr>
        <w:tc>
          <w:tcPr>
            <w:tcW w:w="2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Val Cook</w:t>
            </w:r>
          </w:p>
        </w:tc>
        <w:tc>
          <w:tcPr>
            <w:tcW w:w="220" w:type="dxa"/>
            <w:vAlign w:val="bottom"/>
          </w:tcPr>
          <w:p>
            <w:pPr>
              <w:spacing w:after="0"/>
              <w:rPr>
                <w:sz w:val="17"/>
                <w:szCs w:val="17"/>
                <w:color w:val="auto"/>
              </w:rPr>
            </w:pPr>
          </w:p>
        </w:tc>
        <w:tc>
          <w:tcPr>
            <w:tcW w:w="106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3/15/2017</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1/1/2017</w:t>
            </w:r>
          </w:p>
        </w:tc>
        <w:tc>
          <w:tcPr>
            <w:tcW w:w="1180" w:type="dxa"/>
            <w:vAlign w:val="bottom"/>
            <w:gridSpan w:val="2"/>
          </w:tcPr>
          <w:p>
            <w:pPr>
              <w:jc w:val="right"/>
              <w:ind w:right="173"/>
              <w:spacing w:after="0" w:line="198" w:lineRule="exact"/>
              <w:rPr>
                <w:sz w:val="20"/>
                <w:szCs w:val="20"/>
                <w:color w:val="auto"/>
              </w:rPr>
            </w:pPr>
            <w:r>
              <w:rPr>
                <w:rFonts w:ascii="Times New Roman" w:cs="Times New Roman" w:eastAsia="Times New Roman" w:hAnsi="Times New Roman"/>
                <w:sz w:val="16"/>
                <w:szCs w:val="16"/>
                <w:color w:val="auto"/>
              </w:rPr>
              <w:t>40,038</w:t>
            </w:r>
            <w:r>
              <w:rPr>
                <w:rFonts w:ascii="Times New Roman" w:cs="Times New Roman" w:eastAsia="Times New Roman" w:hAnsi="Times New Roman"/>
                <w:sz w:val="22"/>
                <w:szCs w:val="22"/>
                <w:color w:val="auto"/>
                <w:vertAlign w:val="superscript"/>
              </w:rPr>
              <w:t>(1)</w:t>
            </w:r>
          </w:p>
        </w:tc>
        <w:tc>
          <w:tcPr>
            <w:tcW w:w="126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3/14/2027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11/12/2018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9/1/2018</w:t>
            </w:r>
          </w:p>
        </w:tc>
        <w:tc>
          <w:tcPr>
            <w:tcW w:w="11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113,152</w:t>
            </w:r>
            <w:r>
              <w:rPr>
                <w:rFonts w:ascii="Times New Roman" w:cs="Times New Roman" w:eastAsia="Times New Roman" w:hAnsi="Times New Roman"/>
                <w:sz w:val="25"/>
                <w:szCs w:val="25"/>
                <w:color w:val="auto"/>
                <w:vertAlign w:val="superscript"/>
              </w:rPr>
              <w:t>(1)</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794,866</w:t>
            </w:r>
            <w:r>
              <w:rPr>
                <w:rFonts w:ascii="Times New Roman" w:cs="Times New Roman" w:eastAsia="Times New Roman" w:hAnsi="Times New Roman"/>
                <w:sz w:val="25"/>
                <w:szCs w:val="25"/>
                <w:color w:val="auto"/>
                <w:vertAlign w:val="superscript"/>
              </w:rPr>
              <w:t>(2)</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1,112,814</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10/24/2024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240"/>
              <w:spacing w:after="0" w:line="235" w:lineRule="exact"/>
              <w:rPr>
                <w:sz w:val="20"/>
                <w:szCs w:val="20"/>
                <w:color w:val="auto"/>
              </w:rPr>
            </w:pPr>
            <w:r>
              <w:rPr>
                <w:rFonts w:ascii="Times New Roman" w:cs="Times New Roman" w:eastAsia="Times New Roman" w:hAnsi="Times New Roman"/>
                <w:sz w:val="18"/>
                <w:szCs w:val="18"/>
                <w:color w:val="auto"/>
              </w:rPr>
              <w:t>1,517,044</w:t>
            </w:r>
            <w:r>
              <w:rPr>
                <w:rFonts w:ascii="Times New Roman" w:cs="Times New Roman" w:eastAsia="Times New Roman" w:hAnsi="Times New Roman"/>
                <w:sz w:val="26"/>
                <w:szCs w:val="26"/>
                <w:color w:val="auto"/>
                <w:vertAlign w:val="superscript"/>
              </w:rPr>
              <w:t>(3)</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1/2/2017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7/8/2015</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5,000</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8/27/2018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7/9/2018</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67,935</w:t>
            </w:r>
            <w:r>
              <w:rPr>
                <w:rFonts w:ascii="Times New Roman" w:cs="Times New Roman" w:eastAsia="Times New Roman" w:hAnsi="Times New Roman"/>
                <w:sz w:val="25"/>
                <w:szCs w:val="25"/>
                <w:color w:val="auto"/>
                <w:vertAlign w:val="superscript"/>
              </w:rPr>
              <w:t>(4)</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11/17/2021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1/1/2021</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4,896</w:t>
            </w:r>
            <w:r>
              <w:rPr>
                <w:rFonts w:ascii="Times New Roman" w:cs="Times New Roman" w:eastAsia="Times New Roman" w:hAnsi="Times New Roman"/>
                <w:sz w:val="25"/>
                <w:szCs w:val="25"/>
                <w:color w:val="auto"/>
                <w:vertAlign w:val="superscript"/>
              </w:rPr>
              <w:t>(1)</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11/16/2031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654,484</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916,278</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10/24/2024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1,418,448</w:t>
            </w:r>
            <w:r>
              <w:rPr>
                <w:rFonts w:ascii="Times New Roman" w:cs="Times New Roman" w:eastAsia="Times New Roman" w:hAnsi="Times New Roman"/>
                <w:sz w:val="25"/>
                <w:szCs w:val="25"/>
                <w:color w:val="auto"/>
                <w:vertAlign w:val="superscript"/>
              </w:rPr>
              <w:t>(3)</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with respect to one-forty-eighth (1/48th) of the shares subject to the option on each of the first forty-eight</w:t>
      </w:r>
    </w:p>
    <w:p>
      <w:pPr>
        <w:spacing w:after="0" w:line="27" w:lineRule="exact"/>
        <w:rPr>
          <w:rFonts w:ascii="Times New Roman" w:cs="Times New Roman" w:eastAsia="Times New Roman" w:hAnsi="Times New Roman"/>
          <w:sz w:val="18"/>
          <w:szCs w:val="18"/>
          <w:color w:val="auto"/>
        </w:rPr>
      </w:pPr>
    </w:p>
    <w:p>
      <w:pPr>
        <w:ind w:left="540" w:right="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monthly anniversaries of the vesting commencement date, subject to the applicable executive’s continued service through the applicable vesting date.</w:t>
      </w:r>
    </w:p>
    <w:p>
      <w:pPr>
        <w:ind w:left="5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spacing w:after="0" w:line="1"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Munagala</w:t>
      </w:r>
    </w:p>
    <w:p>
      <w:pPr>
        <w:spacing w:after="0" w:line="119"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We are party to an offer letter, dated June 18, 2018 (as amended, the “Munagala Offer Letter”) with Mr. Munagala, pursuant to which, Mr. Munagala serves as our Chief Executive Officer. Pursuant to the Munagala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82"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18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6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Mr. Munagala’s receipt of any severance payments and benefits is subject to his execution and non-revocation of a general release in favor of Blaize.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Cook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party to an offer letter, dated June 20, 2018 (as amended, the “Cook Offer Letter”) with Mr. Cook, pursuant to which, Mr. Cook serves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Chief Software Architect. Pursuant to the Cook Offer Letter, Mr. Cook is entitled to receive a base salary which, as of January 1, 2024,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 and is eligible to be considered for annual incentive bonuses. The Cook Offer Letter provides that Mr. Cook is also eligible to participate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Blaize-sponsored benefit plans and for paid vacation in accordance with Blaize policy.</w:t>
      </w:r>
    </w:p>
    <w:p>
      <w:pPr>
        <w:spacing w:after="0" w:line="20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Cook’s receipt of any severance payments and benefits is subject to his execution and non-revocation of a general release in favor of Blaize.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Fernandez-Gomez</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BLAIZE’S DIRECTOR COMPENSATION</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non-employee directors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vMerge w:val="restart"/>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940" w:type="dxa"/>
            <w:vAlign w:val="bottom"/>
          </w:tcPr>
          <w:p>
            <w:pPr>
              <w:jc w:val="right"/>
              <w:ind w:right="23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5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318,472</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318,472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242,571</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242,571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89" w:lineRule="auto"/>
        <w:tabs>
          <w:tab w:leader="none" w:pos="5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w:t>
      </w:r>
    </w:p>
    <w:p>
      <w:pPr>
        <w:spacing w:after="0" w:line="158"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held as of December 31, 2024 by each non-employee director who served during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 Fiscal Year</w:t>
            </w:r>
          </w:p>
        </w:tc>
        <w:tc>
          <w:tcPr>
            <w:tcW w:w="0" w:type="dxa"/>
            <w:vAlign w:val="bottom"/>
          </w:tcPr>
          <w:p>
            <w:pPr>
              <w:spacing w:after="0"/>
              <w:rPr>
                <w:sz w:val="1"/>
                <w:szCs w:val="1"/>
                <w:color w:val="auto"/>
              </w:rPr>
            </w:pPr>
          </w:p>
        </w:tc>
      </w:tr>
      <w:tr>
        <w:trPr>
          <w:trHeight w:val="160"/>
        </w:trPr>
        <w:tc>
          <w:tcPr>
            <w:tcW w:w="6600" w:type="dxa"/>
            <w:vAlign w:val="bottom"/>
            <w:gridSpan w:val="2"/>
            <w:vMerge w:val="continue"/>
          </w:tcPr>
          <w:p>
            <w:pPr>
              <w:spacing w:after="0"/>
              <w:rPr>
                <w:sz w:val="13"/>
                <w:szCs w:val="13"/>
                <w:color w:val="auto"/>
              </w:rPr>
            </w:pP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End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82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5"/>
              </w:rPr>
              <w:t>909,535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920,850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909,535</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non-employee directors serving on the Board are entitled to cash compensation in the following amounts:</w:t>
      </w:r>
    </w:p>
    <w:p>
      <w:pPr>
        <w:spacing w:after="0" w:line="67"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$80,000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Non-Executive Chair: $40,000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$24,000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$20,000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82"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Non-Chair Committee Member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$16,000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$14,000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Initial Awards. </w:t>
      </w:r>
      <w:r>
        <w:rPr>
          <w:rFonts w:ascii="Times New Roman" w:cs="Times New Roman" w:eastAsia="Times New Roman" w:hAnsi="Times New Roman"/>
          <w:sz w:val="18"/>
          <w:szCs w:val="18"/>
          <w:color w:val="auto"/>
        </w:rPr>
        <w:t>Under the Director Compensation Program, each non-employee director who is initially elected or appointed to serve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18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Annual Awards. </w:t>
      </w:r>
      <w:r>
        <w:rPr>
          <w:rFonts w:ascii="Times New Roman" w:cs="Times New Roman" w:eastAsia="Times New Roman" w:hAnsi="Times New Roman"/>
          <w:sz w:val="17"/>
          <w:szCs w:val="17"/>
          <w:color w:val="auto"/>
        </w:rPr>
        <w:t>Under the Director Compensation Program, each non-employee director who is serving on the Board as of the date of each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w:t>
      </w:r>
    </w:p>
    <w:p>
      <w:pPr>
        <w:spacing w:after="0" w:line="1" w:lineRule="exact"/>
        <w:rPr>
          <w:sz w:val="20"/>
          <w:szCs w:val="20"/>
          <w:color w:val="auto"/>
        </w:rPr>
      </w:pPr>
    </w:p>
    <w:p>
      <w:pPr>
        <w:ind w:left="120" w:right="320" w:hanging="4"/>
        <w:spacing w:after="0" w:line="260"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one-year anniversary of the applicable grant date and (ii) the date of the next annual meeting following the grant date, subject to the director’s continued service on the Board through the applicable vesting date.</w:t>
      </w:r>
    </w:p>
    <w:p>
      <w:pPr>
        <w:spacing w:after="0" w:line="18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is subject to the annual limits on non-employee director compensation set forth in the Incentive Award Plan (or any successor plan).</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7" w:lineRule="exact"/>
        <w:rPr>
          <w:sz w:val="20"/>
          <w:szCs w:val="20"/>
          <w:color w:val="auto"/>
        </w:rPr>
      </w:pPr>
    </w:p>
    <w:p>
      <w:pPr>
        <w:jc w:val="both"/>
        <w:ind w:left="120" w:right="1080" w:firstLine="440"/>
        <w:spacing w:after="0" w:line="315" w:lineRule="auto"/>
        <w:rPr>
          <w:sz w:val="20"/>
          <w:szCs w:val="20"/>
          <w:color w:val="auto"/>
        </w:rPr>
      </w:pPr>
      <w:r>
        <w:rPr>
          <w:rFonts w:ascii="Times New Roman" w:cs="Times New Roman" w:eastAsia="Times New Roman" w:hAnsi="Times New Roman"/>
          <w:sz w:val="17"/>
          <w:szCs w:val="17"/>
          <w:color w:val="auto"/>
        </w:rPr>
        <w:t>In addition to the compensation arrangements with directors and executive officers described under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 the following is a description of each transaction since January 1, 2022 and each currently proposed transaction in which:</w:t>
      </w:r>
    </w:p>
    <w:p>
      <w:pPr>
        <w:spacing w:after="0" w:line="42"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the Sponsor and BurTech entered into a registration rights agreement (the “Registration Rights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 Registration Rights Agreement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82"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176"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w:t>
      </w:r>
    </w:p>
    <w:p>
      <w:pPr>
        <w:spacing w:after="0" w:line="2"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the date of this prospectus, the forbearance period under the Second Forbearance Agreement has expired and the Sponsor is under default under the Bess 2025 Note.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agreed to pay certain of the Acquiror Transaction Expenses (as defined in the Merger Agreement) set forth in the Sponsor Note.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entry into the Sponsor Note, the Company issued 750,000 shares of Class A Stock (“Sponsor Note Shares”) to the Sponsor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terms of the Sponsor Note (the “Sponsor Note Issuance” and together with the PIPE Investment, the “Private Placements”).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Class A Stock issued in consideration for the Sponsor Note were offered in a private placement under the Securities Act, pursuant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Sponsor Note. The Sponsor is obligated to pay the Acquiror Transaction Expenses set forth in the Sponsor Note within ninety days after the date that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Shares have been registered for resale under the Securities Act. The Sponsor granted a first priority security interest in, and pledged,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 shares of Class A Stock and all additions, accessions and substitutions to the Holder to secure the satisfaction by the Sponsor of all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obligations to the Holder under this Sponsor Note. Additionally, in the event that the Company is required to pay any of the Acquiror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subject to the Sponsor Note, the Sponsor is obligated to reimburse the Company for such payments within 90 days of such payment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82"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with Respect to Review and Approval of Related Person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July 14, 2025 by:</w:t>
      </w:r>
    </w:p>
    <w:p>
      <w:pPr>
        <w:spacing w:after="0" w:line="13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beneficial ownership of our Common Stock is based on 101,682,422 shares of Common Stock issued and outstanding as of July 14,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200" w:type="dxa"/>
            <w:vAlign w:val="bottom"/>
            <w:gridSpan w:val="2"/>
          </w:tcPr>
          <w:p>
            <w:pPr>
              <w:jc w:val="right"/>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2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1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Bess Ventures and Advisory, LLC</w:t>
            </w:r>
            <w:r>
              <w:rPr>
                <w:rFonts w:ascii="Times New Roman" w:cs="Times New Roman" w:eastAsia="Times New Roman" w:hAnsi="Times New Roman"/>
                <w:sz w:val="25"/>
                <w:szCs w:val="25"/>
                <w:color w:val="auto"/>
                <w:vertAlign w:val="superscript"/>
              </w:rPr>
              <w:t>(1)</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9,521,985</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Funds affiliated with Rizvi Traverse CI</w:t>
            </w:r>
          </w:p>
        </w:tc>
        <w:tc>
          <w:tcPr>
            <w:tcW w:w="1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Manager, LLC</w:t>
            </w:r>
            <w:r>
              <w:rPr>
                <w:rFonts w:ascii="Times New Roman" w:cs="Times New Roman" w:eastAsia="Times New Roman" w:hAnsi="Times New Roman"/>
                <w:sz w:val="26"/>
                <w:szCs w:val="26"/>
                <w:color w:val="auto"/>
                <w:vertAlign w:val="superscript"/>
              </w:rPr>
              <w:t>(2)</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7,439,433</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Ava Investors SA</w:t>
            </w:r>
            <w:r>
              <w:rPr>
                <w:rFonts w:ascii="Times New Roman" w:cs="Times New Roman" w:eastAsia="Times New Roman" w:hAnsi="Times New Roman"/>
                <w:sz w:val="25"/>
                <w:szCs w:val="25"/>
                <w:color w:val="auto"/>
                <w:vertAlign w:val="superscript"/>
              </w:rPr>
              <w:t>(3)</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17,716,892</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(4)</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9,913,874</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DENSO</w:t>
            </w:r>
            <w:r>
              <w:rPr>
                <w:rFonts w:ascii="Times New Roman" w:cs="Times New Roman" w:eastAsia="Times New Roman" w:hAnsi="Times New Roman"/>
                <w:sz w:val="25"/>
                <w:szCs w:val="25"/>
                <w:color w:val="auto"/>
                <w:vertAlign w:val="superscript"/>
              </w:rPr>
              <w:t>(5)</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9,195,111</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Anderson Investments Pte. Ltd.</w:t>
            </w:r>
            <w:r>
              <w:rPr>
                <w:rFonts w:ascii="Times New Roman" w:cs="Times New Roman" w:eastAsia="Times New Roman" w:hAnsi="Times New Roman"/>
                <w:sz w:val="25"/>
                <w:szCs w:val="25"/>
                <w:color w:val="auto"/>
                <w:vertAlign w:val="superscript"/>
              </w:rPr>
              <w:t>(6)</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6,353,023</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Lane M. Bess</w:t>
            </w:r>
            <w:r>
              <w:rPr>
                <w:rFonts w:ascii="Times New Roman" w:cs="Times New Roman" w:eastAsia="Times New Roman" w:hAnsi="Times New Roman"/>
                <w:sz w:val="25"/>
                <w:szCs w:val="25"/>
                <w:color w:val="auto"/>
                <w:vertAlign w:val="superscript"/>
              </w:rPr>
              <w:t>(1)</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9,521,985</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Tony Cannestra</w:t>
            </w:r>
            <w:r>
              <w:rPr>
                <w:rFonts w:ascii="Times New Roman" w:cs="Times New Roman" w:eastAsia="Times New Roman" w:hAnsi="Times New Roman"/>
                <w:sz w:val="25"/>
                <w:szCs w:val="25"/>
                <w:color w:val="auto"/>
                <w:vertAlign w:val="superscript"/>
              </w:rPr>
              <w:t>(7)</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571,963</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Frank</w:t>
            </w:r>
            <w:r>
              <w:rPr>
                <w:rFonts w:ascii="Times New Roman" w:cs="Times New Roman" w:eastAsia="Times New Roman" w:hAnsi="Times New Roman"/>
                <w:sz w:val="25"/>
                <w:szCs w:val="25"/>
                <w:color w:val="auto"/>
                <w:vertAlign w:val="superscript"/>
              </w:rPr>
              <w:t>(8)</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563,139</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Juergen Hambrecht</w:t>
            </w:r>
            <w:r>
              <w:rPr>
                <w:rFonts w:ascii="Times New Roman" w:cs="Times New Roman" w:eastAsia="Times New Roman" w:hAnsi="Times New Roman"/>
                <w:sz w:val="25"/>
                <w:szCs w:val="25"/>
                <w:color w:val="auto"/>
                <w:vertAlign w:val="superscript"/>
              </w:rPr>
              <w:t>(9)</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563,139</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Dinakar Munagala</w:t>
            </w:r>
            <w:r>
              <w:rPr>
                <w:rFonts w:ascii="Times New Roman" w:cs="Times New Roman" w:eastAsia="Times New Roman" w:hAnsi="Times New Roman"/>
                <w:sz w:val="25"/>
                <w:szCs w:val="25"/>
                <w:color w:val="auto"/>
                <w:vertAlign w:val="superscript"/>
              </w:rPr>
              <w:t>(10)</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3,136,518</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Harminder Sehmi</w:t>
            </w:r>
            <w:r>
              <w:rPr>
                <w:rFonts w:ascii="Times New Roman" w:cs="Times New Roman" w:eastAsia="Times New Roman" w:hAnsi="Times New Roman"/>
                <w:sz w:val="25"/>
                <w:szCs w:val="25"/>
                <w:color w:val="auto"/>
                <w:vertAlign w:val="superscript"/>
              </w:rPr>
              <w:t>(11)</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459,572</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22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22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 as a</w:t>
            </w:r>
          </w:p>
        </w:tc>
        <w:tc>
          <w:tcPr>
            <w:tcW w:w="1280" w:type="dxa"/>
            <w:vAlign w:val="bottom"/>
            <w:tcBorders>
              <w:top w:val="single" w:sz="8" w:color="auto"/>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group (8 individuals)</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14,816,316</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20" w:hanging="424"/>
        <w:spacing w:after="0" w:line="250"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8,946,783 shares of Common Stock held by Bess Ventures, (b) 389,968 shares of Common Stock held by the Trust and (c) 185,234 shares of Common Stock underlying options exercisable within 60 days of March 31, 2025. Lane M. Bess is the (i) managing member and owner of Bess Ventures and (ii) the Investment Fiduciary of the Trust. Lane M. Bess may be deemed to be the beneficial owner of the shares of Blaize capital stock beneficially owned by Bess Ventures and the Trust. The address of Bess Ventures is c/o</w:t>
      </w:r>
    </w:p>
    <w:p>
      <w:pPr>
        <w:spacing w:after="0" w:line="1" w:lineRule="exact"/>
        <w:rPr>
          <w:rFonts w:ascii="Times New Roman" w:cs="Times New Roman" w:eastAsia="Times New Roman" w:hAnsi="Times New Roman"/>
          <w:sz w:val="18"/>
          <w:szCs w:val="18"/>
          <w:color w:val="auto"/>
        </w:rPr>
      </w:pPr>
    </w:p>
    <w:p>
      <w:pPr>
        <w:ind w:left="5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Lane M. Bess, 1928 Sunset Harbor Drive, Miami Beach, FL 33139. The address of the Trust is 255 Alhambra Circle, Ste 333, Coral Gables, FL 33134.</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3"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9,913,874 shares of Common Stock held by BurTech LP LLC and its affiliates (“BurTech LP”). BurTech LP LLC Shahal Khan, Patrick Orlando and Roman Livson are the managing members of our sponsor. By virtue of this relationship, Messrs. Khan, Orlando and Livson may be deemed to share beneficial ownership of the securities held of record by BurTech LP. Messrs. Khan, Orlando and Livson disclaim any beneficial ownership except to the extent of their pecuniary interest in such securities. The address of BurTech LP is 1300 Pennsylvania Ave NW, Suite 700, Washington, DC 20004.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4"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6,353,023 shares of Common Stock held by Anderson Investments Pte. Ltd. (“Anderson”). Anderson is a direct wholly owned subsidiary of Thomson Capital Pte. Ltd. (“Thomson”), which in turn is a direct wholly owned subsidiary of Tembusu Capital Pte. Ltd. (“Tembusu”), which in turn is a direct wholly owned subsidiary of Temasek Holdings (Private) Limited (“Temasek”) and may be deemed to share voting and investment power over the shares held by Anderson Investments Pte. Ltd.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82"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571,963 shares of Common Stock underlying options exercisable within 60 days of July 14, 2025.</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563,139 shares of Common Stock underlying options exercisable within 60 days of July 14,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563,139 shares of Common Stock underlying options exercisable within 60 days of July 14, 2025.</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551,422 shares of Common Stock held directly by Dinakar Munagala and (b) 2,585,096 shares of Common Stock underlying options exercisable within 60 days of July 14, 2025.</w:t>
      </w: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459,572 shares of Common Stock underlying options exercisable within 60 days of July 14, 2025.</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660"/>
          </w:cols>
          <w:pgMar w:left="320" w:top="482" w:right="9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sale by B. Riley Principal Capital II of up to 20,326,158 BRPC Shares that have been and may be issued by us to B. Riley Principal Capital II under the Purchase Agreement. For additional information regarding BRPC Shares included in this prospectus, see the section titled “</w:t>
      </w:r>
      <w:r>
        <w:rPr>
          <w:rFonts w:ascii="Times New Roman" w:cs="Times New Roman" w:eastAsia="Times New Roman" w:hAnsi="Times New Roman"/>
          <w:sz w:val="18"/>
          <w:szCs w:val="18"/>
          <w:i w:val="1"/>
          <w:iCs w:val="1"/>
          <w:color w:val="auto"/>
        </w:rPr>
        <w:t>The Committed Equity Facility</w:t>
      </w:r>
      <w:r>
        <w:rPr>
          <w:rFonts w:ascii="Times New Roman" w:cs="Times New Roman" w:eastAsia="Times New Roman" w:hAnsi="Times New Roman"/>
          <w:sz w:val="18"/>
          <w:szCs w:val="18"/>
          <w:color w:val="auto"/>
        </w:rPr>
        <w:t>” above. We are registering the shares of our Common Stock included in this prospectus pursuant to the provisions of the Registration Rights Agreement we entered into with B. Riley Principal Capital II on July 14, 2025 in order to permit the Selling Stockholder to offer BRPC Shares included in this prospectus for resale from time to time. Except for the transactions contemplated by the Purchase Agreement and the Registration Rights Agreement and as set forth in the section titled “</w:t>
      </w:r>
      <w:r>
        <w:rPr>
          <w:rFonts w:ascii="Times New Roman" w:cs="Times New Roman" w:eastAsia="Times New Roman" w:hAnsi="Times New Roman"/>
          <w:sz w:val="18"/>
          <w:szCs w:val="18"/>
          <w:i w:val="1"/>
          <w:iCs w:val="1"/>
          <w:color w:val="auto"/>
        </w:rPr>
        <w:t>Plan of Distribution (Conflict of Interest) – Offer and Resale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by the Selling Stockholder</w:t>
      </w:r>
      <w:r>
        <w:rPr>
          <w:rFonts w:ascii="Times New Roman" w:cs="Times New Roman" w:eastAsia="Times New Roman" w:hAnsi="Times New Roman"/>
          <w:sz w:val="18"/>
          <w:szCs w:val="18"/>
          <w:color w:val="auto"/>
        </w:rPr>
        <w:t>” in this prospectus, B. Riley Principal Capital II has not had any material relationship with us within the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years. As used in this prospectus, the term “Selling Stockholder” means B. Riley Principal Capital II, LLC.</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Stockholder and BRPC Shares that may be resold by the Selling Stockholder from time to time under this prospectus. This table is prepared based on information supplied to us by the Selling Stockholder, and reflects holdings as of July 14, 2025. The number of shares in the column “Maximum Number of Shares of Common Stock to be Offered Pursuant to this Prospectus” represents all of BRPC Shares being offered for resale by the Selling Stockholder under this prospectus. The Selling Stockholder may sell some, all or none of BRPC Shares being offered for resale in this offering. We do not know how long the Selling Stockholder will hold the shares before selling them and, except as set forth in the section titled “</w:t>
      </w:r>
      <w:r>
        <w:rPr>
          <w:rFonts w:ascii="Times New Roman" w:cs="Times New Roman" w:eastAsia="Times New Roman" w:hAnsi="Times New Roman"/>
          <w:sz w:val="18"/>
          <w:szCs w:val="18"/>
          <w:i w:val="1"/>
          <w:iCs w:val="1"/>
          <w:color w:val="auto"/>
        </w:rPr>
        <w:t>Plan of Distribution (Conflict of Interest) – Offer and Resale of Common Stock by the Selling Stockholder</w:t>
      </w:r>
      <w:r>
        <w:rPr>
          <w:rFonts w:ascii="Times New Roman" w:cs="Times New Roman" w:eastAsia="Times New Roman" w:hAnsi="Times New Roman"/>
          <w:sz w:val="18"/>
          <w:szCs w:val="18"/>
          <w:color w:val="auto"/>
        </w:rPr>
        <w:t>” in this prospectus, we are not aware of any existing arrangements between the Selling Stockholder and any other stockholder, broker, dealer, underwriter or agent relating to the sale or distribution of BRPC Shares being offered for resale by this prospectus.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our Common Stock with respect to which the Selling Stockholder has sole or shared voting and investment power. The percentage of shares of our Common Stock beneficially owned by the Selling Stockholder prior to the offering shown in the table below is based on an aggregate of 101,682,422 shares of our Common Stock outstanding on July 14, 2025. Because the purchase price to be paid by the Selling Stockholder for shares of our Common Stock, if any, that we may elect to sell to the Selling Stockholder in one or more Market Open Purchases and/or one or more Intraday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BRPC Shares being offered for resale pursuant to this prospectus.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4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6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Offered</w:t>
            </w:r>
          </w:p>
        </w:tc>
        <w:tc>
          <w:tcPr>
            <w:tcW w:w="16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22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6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7"/>
        </w:trPr>
        <w:tc>
          <w:tcPr>
            <w:tcW w:w="5280" w:type="dxa"/>
            <w:vAlign w:val="bottom"/>
            <w:gridSpan w:val="2"/>
            <w:vMerge w:val="continue"/>
          </w:tcPr>
          <w:p>
            <w:pPr>
              <w:spacing w:after="0"/>
              <w:rPr>
                <w:sz w:val="14"/>
                <w:szCs w:val="14"/>
                <w:color w:val="auto"/>
              </w:rPr>
            </w:pPr>
          </w:p>
        </w:tc>
        <w:tc>
          <w:tcPr>
            <w:tcW w:w="2240" w:type="dxa"/>
            <w:vAlign w:val="bottom"/>
            <w:gridSpan w:val="4"/>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Prior to Offering</w:t>
            </w:r>
          </w:p>
        </w:tc>
        <w:tc>
          <w:tcPr>
            <w:tcW w:w="18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166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8"/>
        </w:trPr>
        <w:tc>
          <w:tcPr>
            <w:tcW w:w="176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(2)</w:t>
            </w:r>
          </w:p>
        </w:tc>
        <w:tc>
          <w:tcPr>
            <w:tcW w:w="5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 Riley Principal Capital II, LLC</w:t>
            </w:r>
            <w:r>
              <w:rPr>
                <w:rFonts w:ascii="Times New Roman" w:cs="Times New Roman" w:eastAsia="Times New Roman" w:hAnsi="Times New Roman"/>
                <w:sz w:val="24"/>
                <w:szCs w:val="24"/>
                <w:color w:val="auto"/>
                <w:vertAlign w:val="superscript"/>
              </w:rPr>
              <w:t>(4)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83,353</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20,326,158</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1.0% of the outstanding shares of our Common Stock.</w:t>
      </w:r>
    </w:p>
    <w:p>
      <w:pPr>
        <w:spacing w:after="0" w:line="27" w:lineRule="exact"/>
        <w:rPr>
          <w:sz w:val="20"/>
          <w:szCs w:val="20"/>
          <w:color w:val="auto"/>
        </w:rPr>
      </w:pPr>
    </w:p>
    <w:p>
      <w:pPr>
        <w:ind w:left="540" w:right="320" w:hanging="424"/>
        <w:spacing w:after="0" w:line="253"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83,353 shares of our Common Stock we issued to B. Riley Principal Capital II on July 14, 2025 as Commitment Shares in consideration for entering into the Purchase Agreement with us. In accordance with Rule 13d-3(d) under the Exchange Act, we have excluded from the number of shares beneficially owned prior to the offering all of the shares of Common Stock that B. Riley Principal Capital II may be required to purchase under the Purchase Agreement, because the issuance of such shares is solely at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82"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our discretion and is subject to conditions contained in the Purchase Agreement, the satisfaction of which are entirely outside of B. Riley Principal Capital II’s control, including the registration statement that includes this prospectus becoming and remaining effective. Furthermore, the Market Open Purchases and the Intraday Purchases of our Common Stock under the Purchase Agreement are subject to certain agreed upon maximum amount limitations set forth in the Purchase Agreement. Also, the Purchase Agreement prohibits us from issuing and selling any shares of our Common Stock to B. Riley Principal Capital II to the extent such shares, when aggregated with all other shares of our Common Stock then beneficially owned by B. Riley Principal Capital II, would cause B. Riley Principal Capital II’s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B. Riley Principal Capital II under the Purchase Agreement equals or exceeds $2.91 per share, such that the Exchange Cap limitation would not apply under applicable Nasdaq rules. Neither the Beneficial Ownership Limitation nor the Exchange Cap (to the extent applicable under Nasdaq) may be amended or waived under the Purchase Agreement.</w:t>
      </w:r>
    </w:p>
    <w:p>
      <w:pPr>
        <w:spacing w:after="0" w:line="4"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101,682,422 shares of our Common Stock outstanding as of July 14,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BRPC Shares being offered for resale pursuant to this prospectus.</w:t>
      </w:r>
    </w:p>
    <w:p>
      <w:pPr>
        <w:spacing w:after="0" w:line="9" w:lineRule="exact"/>
        <w:rPr>
          <w:rFonts w:ascii="Times New Roman" w:cs="Times New Roman" w:eastAsia="Times New Roman" w:hAnsi="Times New Roman"/>
          <w:sz w:val="18"/>
          <w:szCs w:val="18"/>
          <w:color w:val="auto"/>
        </w:rPr>
      </w:pPr>
    </w:p>
    <w:p>
      <w:pPr>
        <w:ind w:left="540" w:right="80" w:hanging="424"/>
        <w:spacing w:after="0" w:line="251"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B. Riley Principal Capital II, LLC (“BRPC II”) is 11100 Santa Monica Blvd., Suite 800, Los Angeles, California 90025. BRPC II’s principal business is that of a private investor. BRPC II is a wholly owned subsidiary of B. Riley Securities Holdings, LLC (“BRSH”). As a result, BRSH may be deemed to indirectly beneficially own securities held of record by BRPC II. BRSH expressly disclaims beneficial ownership of securities held of record by BRPC II, except to the extent of its pecuniary interest therein. All voting and investment decisions with respect to securities held of record by BRPC II are made by majority vote of an investment policy committee of BRPC II composed of three individuals, each of whom is not involved in the management of BRSH and at least two of whom are not affiliates or associated persons of B. Riley Securities, Inc. (“BRS”), a registered broker-dealer and member of the Financial Industry Regulatory Authority, Inc. (“FINRA”), and a wholly owned subsidiary of BRSH. We have been advised that neither BRSH nor BRPC II is a FINRA member or an independent broker-dealer. Because each of BRPC II and BRS is a wholly owned subsidiary of BRSH, BRPC II is deemed to be an affiliate of BRS. BRS will act as an executing broker that will effectuate resales of BRPC Shares that may be acquired by BRPC II from us pursuant to the Purchase Agreement to the public in this offering. See “</w:t>
      </w:r>
      <w:r>
        <w:rPr>
          <w:rFonts w:ascii="Times New Roman" w:cs="Times New Roman" w:eastAsia="Times New Roman" w:hAnsi="Times New Roman"/>
          <w:sz w:val="18"/>
          <w:szCs w:val="18"/>
          <w:i w:val="1"/>
          <w:iCs w:val="1"/>
          <w:color w:val="auto"/>
        </w:rPr>
        <w:t>Plan of Distribution (Conflict of Interest)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Offer and Resale of Common Stock by the Selling Stockholder</w:t>
      </w:r>
      <w:r>
        <w:rPr>
          <w:rFonts w:ascii="Times New Roman" w:cs="Times New Roman" w:eastAsia="Times New Roman" w:hAnsi="Times New Roman"/>
          <w:sz w:val="18"/>
          <w:szCs w:val="18"/>
          <w:color w:val="auto"/>
        </w:rPr>
        <w:t>” for more information about the relationship between BRPC II and BRS.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Cantor Fitzgerald</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also relates in part to the offer and sale by Cantor Fitzgerald of an aggregate of up to 769,231 shares of our Common Stock. We are registering the shares of our Common Stock included in this prospectus pursuant to the provisions of the Engagement Letter in order to permit Cantor Fitzgerald to offer the shares included in this prospectus for resale from time to time. Except for the transactions contemplated by the Engagement Letter and as set forth in this section and in the section titled “</w:t>
      </w:r>
      <w:r>
        <w:rPr>
          <w:rFonts w:ascii="Times New Roman" w:cs="Times New Roman" w:eastAsia="Times New Roman" w:hAnsi="Times New Roman"/>
          <w:sz w:val="18"/>
          <w:szCs w:val="18"/>
          <w:i w:val="1"/>
          <w:iCs w:val="1"/>
          <w:color w:val="auto"/>
        </w:rPr>
        <w:t>Plan of Distribution (Conflict of Interest) – Offer and Resale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by Cantor Fitzgerald</w:t>
      </w:r>
      <w:r>
        <w:rPr>
          <w:rFonts w:ascii="Times New Roman" w:cs="Times New Roman" w:eastAsia="Times New Roman" w:hAnsi="Times New Roman"/>
          <w:sz w:val="18"/>
          <w:szCs w:val="18"/>
          <w:color w:val="auto"/>
        </w:rPr>
        <w:t>” in this prospectus, Cantor Fitzgerald has not had any material relationship with us within the past three years.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Cantor Fitzgerald may from time to time offer and sell any or all of the Common Stock set forth below pursuant to this prospectus. In this prospectus, the term “Cantor Fitzgerald” includes (i) the entity identified in the table below (as such table may be amended from time to time by means of an amendment to the registration statement of which this prospectus forms a part or by a supplement to this prospectus) and (ii) any donees, pledgees, transferees or other successors-in-interest (as a gift, pledge, partnership distribution or other non-sale related transfer) that acquire any of the securities covered by this prospectus after the date of this prospectus from Cantor Fitzgerald.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Cantor Fitzgerald’s name for which we are registering Common Stock for resale to the public, and the aggregate principal amount that Cantor Fitzgerald may offer pursuant to this prospectus. In accordance with SEC rules, the entity below is shown as having beneficial ownership over the securities it owns or has the right to acquire within 60 days, as well as securities for which it has the right to vote or dispose of such securities. Also in accordance with SEC rules, for purposes of calculating percentages of beneficial ownership, Common Stock, which a person has the right to acquire within 60 days of the date of this prospectus, are included both in that person’s beneficial ownership as well as in the total number of Common Stock issued used to calculate that person’s percentage ownership but not for purposes of calculating the percentage for other persons.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Cantor Fitzgerald will in fact sell any or all of such securities. In addition, Cantor Fitzgerald may sell, transfer or otherwise dispose of, at any time and from time to time, the Common Stock in transactions exempt from the registration requirements of the Securities Act after the date of this prospectus, subject to applicable law.</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Cantor Fitzgerald is not a party to, and has no involvement in, the committed equity facility entered into between the Company and B. Riley Principal Capital II. The 769,231 shares of Common Stock being registered for resale by Cantor Fitzgerald under this registration statement are entirely unrelated to the committed equity facility with B. Riley Principal Capital II and were acquired independently of that arrangement. No proceeds from the equity facility will be used in connection with Cantor Fitzgerald and Cantor Fitzgerald has no rights or obligations under the Purchase Agreement or Registration Rights Agreement with B. Riley.</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Cantor Fitzgerald’s information for each additional Cantor Fitzgerald successor-in-interest, if any, will be set forth by prospectus supplement to the extent required prior to the time of any offer or sale of such Cantor Fitzgerald successor-in-interest’s securities pursuant to this prospectus. Any prospectus supplement may add, update, substitute, or change the information contained in this prospectus, including the identity of each Cantor Fitzgerald successor-in-interest and the number of securities registered on its behalf. Cantor Fitzgerald may sell all, some or none of such securities in this offering. See “</w:t>
      </w:r>
      <w:r>
        <w:rPr>
          <w:rFonts w:ascii="Times New Roman" w:cs="Times New Roman" w:eastAsia="Times New Roman" w:hAnsi="Times New Roman"/>
          <w:sz w:val="18"/>
          <w:szCs w:val="18"/>
          <w:i w:val="1"/>
          <w:iCs w:val="1"/>
          <w:color w:val="auto"/>
        </w:rPr>
        <w:t>Plan of Distribution (Conflict of Interest) – Offer and Sale of Class A Common Stock by Cantor Fitzgerald.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in the table below is based upon information provided by Cantor Fitzgerald.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44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9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7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9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4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9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Offered</w:t>
            </w:r>
          </w:p>
        </w:tc>
        <w:tc>
          <w:tcPr>
            <w:tcW w:w="17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2940" w:type="dxa"/>
            <w:vAlign w:val="bottom"/>
          </w:tcPr>
          <w:p>
            <w:pPr>
              <w:spacing w:after="0"/>
              <w:rPr>
                <w:sz w:val="12"/>
                <w:szCs w:val="12"/>
                <w:color w:val="auto"/>
              </w:rPr>
            </w:pPr>
          </w:p>
        </w:tc>
        <w:tc>
          <w:tcPr>
            <w:tcW w:w="244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9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7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7"/>
        </w:trPr>
        <w:tc>
          <w:tcPr>
            <w:tcW w:w="192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2440" w:type="dxa"/>
            <w:vAlign w:val="bottom"/>
            <w:gridSpan w:val="4"/>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Prior to Offering</w:t>
            </w:r>
          </w:p>
        </w:tc>
        <w:tc>
          <w:tcPr>
            <w:tcW w:w="19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1780" w:type="dxa"/>
            <w:vAlign w:val="bottom"/>
            <w:gridSpan w:val="4"/>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8"/>
        </w:trPr>
        <w:tc>
          <w:tcPr>
            <w:tcW w:w="1920" w:type="dxa"/>
            <w:vAlign w:val="bottom"/>
            <w:tcBorders>
              <w:top w:val="single" w:sz="8" w:color="auto"/>
            </w:tcBorders>
          </w:tcPr>
          <w:p>
            <w:pPr>
              <w:spacing w:after="0"/>
              <w:rPr>
                <w:sz w:val="12"/>
                <w:szCs w:val="12"/>
                <w:color w:val="auto"/>
              </w:rPr>
            </w:pPr>
          </w:p>
        </w:tc>
        <w:tc>
          <w:tcPr>
            <w:tcW w:w="294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(2)</w:t>
            </w:r>
          </w:p>
        </w:tc>
        <w:tc>
          <w:tcPr>
            <w:tcW w:w="6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Borders>
              <w:top w:val="single" w:sz="8" w:color="auto"/>
            </w:tcBorders>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w:t>
            </w:r>
          </w:p>
        </w:tc>
        <w:tc>
          <w:tcPr>
            <w:tcW w:w="2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769,231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920" w:type="dxa"/>
            <w:vAlign w:val="bottom"/>
          </w:tcPr>
          <w:p>
            <w:pPr>
              <w:spacing w:after="0"/>
              <w:rPr>
                <w:sz w:val="24"/>
                <w:szCs w:val="24"/>
                <w:color w:val="auto"/>
              </w:rPr>
            </w:pPr>
          </w:p>
        </w:tc>
        <w:tc>
          <w:tcPr>
            <w:tcW w:w="4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122</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No sinking fund provisions are applicable to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the Proposed Bylaws and except as otherwise provided by the Proposed Charter, at all meetings of stockholders called for the election of directors at which a quorum is present, a plurality of the votes properly cast is sufficient to elect such directors to the Board.</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one or more series of our preferred stock, any director may be removed from office only for cause and only by the affirmative vote of the holders of not less than sixty-six and two-thirds percent (662/3%) of the outstanding capital stock of Blaize then entitled to vote generally in the election of directors.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Voting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82"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192" w:lineRule="exact"/>
        <w:rPr>
          <w:sz w:val="20"/>
          <w:szCs w:val="20"/>
          <w:color w:val="auto"/>
        </w:rPr>
      </w:pPr>
    </w:p>
    <w:p>
      <w:pPr>
        <w:jc w:val="both"/>
        <w:ind w:left="120" w:right="220" w:firstLine="440"/>
        <w:spacing w:after="0" w:line="270" w:lineRule="auto"/>
        <w:rPr>
          <w:sz w:val="20"/>
          <w:szCs w:val="20"/>
          <w:color w:val="auto"/>
        </w:rPr>
      </w:pPr>
      <w:r>
        <w:rPr>
          <w:rFonts w:ascii="Times New Roman" w:cs="Times New Roman" w:eastAsia="Times New Roman" w:hAnsi="Times New Roman"/>
          <w:sz w:val="17"/>
          <w:szCs w:val="17"/>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Proposed Charter and the Proposed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Additional shares that may be issued in the future may be used for a variety of corporate purposes, including future public offerings, to raise additional capital or to facilitate acquisitions.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w:t>
      </w:r>
    </w:p>
    <w:p>
      <w:pPr>
        <w:spacing w:after="0" w:line="81" w:lineRule="exact"/>
        <w:rPr>
          <w:sz w:val="20"/>
          <w:szCs w:val="20"/>
          <w:color w:val="auto"/>
        </w:rPr>
      </w:pPr>
    </w:p>
    <w:p>
      <w:pPr>
        <w:ind w:left="1080" w:right="48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management of Blaize, the size of our Board, the election and removal of directors to our Board, the filling of vacancies, preferred stockholder election rights, and bylaw amendments;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82"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5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actions of stockholders of Blaize, advance notice of business to be brought by stockholders and special meetings of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limited liability of directors or officers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indemnification of the current and former officers, directors, employees and agents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exclusive forums for certain 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amending our certificate of incorporation.</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(662/3%) of the voting power of all of the then-outstanding shares of the capital stock of Blaize entitled to vote thereon, voting together as a single class.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of Certain Actions</w:t>
      </w:r>
    </w:p>
    <w:p>
      <w:pPr>
        <w:spacing w:after="0" w:line="121"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w:t>
      </w:r>
    </w:p>
    <w:p>
      <w:pPr>
        <w:spacing w:after="0" w:line="3" w:lineRule="exact"/>
        <w:rPr>
          <w:sz w:val="20"/>
          <w:szCs w:val="20"/>
          <w:color w:val="auto"/>
        </w:rPr>
      </w:pPr>
    </w:p>
    <w:p>
      <w:pPr>
        <w:ind w:left="120" w:right="240" w:hanging="4"/>
        <w:spacing w:after="0" w:line="253" w:lineRule="auto"/>
        <w:tabs>
          <w:tab w:leader="none" w:pos="4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82"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Each whole Public Warrant entitles the registered holder to purchase one share of Common Stock at a price of $11.50 per share, subject to adjustment as discussed below, at any time commencing 30 days after Closing. Pursuant to the warrant agreement, a Public Warrant holder may exercise its Public Warrants only for a whole number of shares of Common Stock. This means that only a whole Public Warrant may be exercised at any given time by a Public Warrant holder. No fractional Public Warrants will be issued upon separation of the BurTech Units and only whole Public Warrants will trade. The Public Warrants will expire five years after the Closing, at 5:00 p.m., New York City time, or earlier upon redemption or liquidation.</w:t>
      </w:r>
    </w:p>
    <w:p>
      <w:pPr>
        <w:spacing w:after="0" w:line="1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call the Public Warrants for redemption for cash:</w:t>
      </w:r>
    </w:p>
    <w:p>
      <w:pPr>
        <w:spacing w:after="0" w:line="13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Public Warrants become exercisable (the “30-day redemption period”) to each Public Warrant holder;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Public Warrant exercise price. If the foregoing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80"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w:t>
      </w:r>
    </w:p>
    <w:p>
      <w:pPr>
        <w:spacing w:after="0" w:line="188"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stock split or reclassification of shares of Common Stock or other similar event, then, on the effective date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82"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62" w:lineRule="exact"/>
        <w:rPr>
          <w:sz w:val="20"/>
          <w:szCs w:val="20"/>
          <w:color w:val="auto"/>
        </w:rPr>
      </w:pPr>
    </w:p>
    <w:p>
      <w:pPr>
        <w:ind w:left="120" w:right="480" w:firstLine="440"/>
        <w:spacing w:after="0" w:line="276" w:lineRule="auto"/>
        <w:rPr>
          <w:sz w:val="20"/>
          <w:szCs w:val="20"/>
          <w:color w:val="auto"/>
        </w:rPr>
      </w:pPr>
      <w:r>
        <w:rPr>
          <w:rFonts w:ascii="Times New Roman" w:cs="Times New Roman" w:eastAsia="Times New Roman" w:hAnsi="Times New Roman"/>
          <w:sz w:val="17"/>
          <w:szCs w:val="17"/>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w:t>
      </w:r>
    </w:p>
    <w:p>
      <w:pPr>
        <w:spacing w:after="0" w:line="1" w:lineRule="exact"/>
        <w:rPr>
          <w:sz w:val="20"/>
          <w:szCs w:val="20"/>
          <w:color w:val="auto"/>
        </w:rPr>
      </w:pPr>
    </w:p>
    <w:p>
      <w:pPr>
        <w:ind w:left="120" w:right="220" w:hanging="4"/>
        <w:spacing w:after="0" w:line="260" w:lineRule="auto"/>
        <w:tabs>
          <w:tab w:leader="none" w:pos="3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8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BurTech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BurTech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“Redemption of Public Warrants when the price per share of Common Stock equals or exceeds $18.00” will be adjusted (to the nearest cent) to be equal to 180% of the higher of the Market Value and the Newly Issued Price.</w:t>
      </w:r>
    </w:p>
    <w:p>
      <w:pPr>
        <w:spacing w:after="0" w:line="194"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Common Stock issuable upon exercise of the Private Placement Warrants) will not be transferable, assignable or salable until 30 days after the Closing (except pursuant to limited exceptions to BurTech’s officers and directors and other persons or entities affiliated with the initial purchasers of the Private Placement Warrants). In addition, holders of our Private Placement Warrants are entitled to certain registration rights, which rights are described above under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the Sponsor or an affiliate of the Sponsor or certain of BurTech’s officers and directors may, but are not obligated to, loan us funds as may be required on a non-interest basis. Up to $1,500,000 of such loans may be convertible into units of the post business combination entity at a price of $10.00 per unit at the option of the lender. Such units would be identical to the Private Placement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the Public Warrants and Private Placement Warrants is Continental Stock Transfer &amp; Trust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Symbols and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and Warrants are listed on the Nasdaq Global Market under the symbol “BZAI” and “BZAIW,” respectively.</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40"/>
          </w:cols>
          <w:pgMar w:left="320" w:top="482" w:right="5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shares of our Common Stock or Warrants for at least six months would be entitled to sell their securities provided that (i) such person is not deemed to have been an affiliate of Blaize at the time of, or at any time during the three months preceding, a sale and (ii) Blaize is subject to the Exchange Act periodic reporting requirements for at least three months before the sale and have filed all required reports under Section 13 or 15(d) of the Exchange Act during the 12 months (or such shorter period as Blaize was required to file reports) preceding the sale.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Warrants for at least six months but who are affiliates of Blaize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during the four calendar weeks preceding the filing of a notice on Form 144 with respect to the sale.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Sales by affiliates of Blaize under Rule 144 are also limited by manner of sale provisions and notice requirements and to the availability of current public information about Blaize.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are no longer a shell company, and so, once the conditions set forth in the exceptions listed above are satisfied, Rule 144 will become available for the resale of the above noted restricted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82"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PLAN OF DISTRIBUTION (CONFLICT OF INTEREST)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and Resale of Common Stock by the Selling Stockholder</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BRPC Shares offered by this prospectus are being offered by the Selling Stockholder, B. Riley Principal Capital II,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BRPC Shares offered by this prospectus could be effected in one or more of the following methods:</w:t>
      </w:r>
    </w:p>
    <w:p>
      <w:pPr>
        <w:spacing w:after="0" w:line="70"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Riley Principal Capital II is an “underwriter” within the meaning of Section 2(a)(11) of the Securities Act.</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 Riley Principal Capital II has informed us that it presently anticipates using, but is not required to use, B. Riley Securities, Inc. (“BRS”), a registered broker-dealer and FINRA member and an affiliate of B. Riley Principal Capital II, as a broker to effectuate resales, if any, of BRPC Shares that it may acquire from us pursuant to the Purchase Agreement, and that it may also engage one or more other registered broker-dealers to effectuate resales, if any, of BRPC Shares that it may acquire from us. Such resales will be made at prices and at terms then prevailing or at prices related to the then current market price. Each such registered broker-dealer will be an underwriter within the meaning of Section 2(a)(11) of the Securities Act. B. Riley Principal Capital II has informed us that each such broker-dealer it engages to effectuate resales of BRPC Shares on its behalf, excluding BRS, may receive commissions from B. Riley Principal Capital II for executing such resales for B. Riley Principal Capital II and, if so, such commissions will not exceed customary brokerage commissions.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 Riley Principal Capital II is an affiliate of BRS, a registered broker-dealer and FINRA member, which will act as an executing broker that will effectuate resales of BRPC Shares that may be acquired by B. Riley Principal Capital II from us pursuant to the Purchase Agreement to the public in this offering. Because B. Riley Principal Capital II will receive all the net proceeds from such resales of BRPC Shares made to the public through BRS, BRS is deemed to have a “conflict of interest” within the meaning of FINRA Rule 5121. Consequently, this offering will be conducted in compliance with the provisions of FINRA Rule 5121. In accordance with FINRA Rule 5121, BRS is not permitted to sell shares of BRPC Shares in this offering to an account over which it exercises discretionary authority without the prior specific written approval of the account holder.</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the Selling Stockholder and any other stockholder, broker, dealer, underwriter or agent relating to the sale or distribution of BRPC Shares offered by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BRPC Shares sold by the Selling Stockholder through this prospectus. The compensation paid to any such particular broker-dealer by any such purchasers of BRPC Shares sold by the Selling Stockholder may be less than or in excess of customary commissions. Neither we nor the Selling Stockholder can presently estimate the amount of compensation that any agent will receive from any purchasers of BRPC Shares sold by the Selling Stockholder.</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BRPC Shares covered by this prospectus by the Selling Stockholder.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consideration for its irrevocable commitment to purchase our Common Stock at our direction under the Purchase Agreement, we agreed to</w:t>
      </w:r>
    </w:p>
    <w:p>
      <w:pPr>
        <w:spacing w:after="0" w:line="27" w:lineRule="exact"/>
        <w:rPr>
          <w:sz w:val="20"/>
          <w:szCs w:val="20"/>
          <w:color w:val="auto"/>
        </w:rPr>
      </w:pPr>
    </w:p>
    <w:p>
      <w:pPr>
        <w:ind w:left="120" w:right="80" w:hanging="4"/>
        <w:spacing w:after="0" w:line="251" w:lineRule="auto"/>
        <w:tabs>
          <w:tab w:leader="none" w:pos="3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B. Riley Principal Capital II the Cash Commitment Fee of $200,000, which is equal to 0.4% of B. Riley Principal Capital II’s $50,000,000 total aggregate dollar amount purchase commitment under the Purchase Agreement, and (ii) issue to B. Riley Principal Capital II 83,353 shares of our Common Stock as Commitment Shares, which Commitment Shares have a total aggregate dollar value equal to $250,000, or 0.5% of B. Riley Principal Capital II’s $50,000,000 total aggregate dollar amount purchase commitment under the Purchase Agreement (assuming a purchase price of $2.9993 per Commitment Share, representing the VWAP for the five consecutive days immediately prior to signing of the Purchase Agreement, rounded to the nearest whole, in each case upon our execution of the Purchase Agreement and the Registration Rights Agreement. In accordance with FINRA Rule 5110, the Cash Commitment Fee we paid to B. Riley Principal Capital II and the 83,353 Commitment Shares we issued to B. Riley Principal Capital II upon our execution of the Purchase Agreement are deemed to be underwriting compensation in connection with sales of BRPC Shares by B. Riley Principal Capital II to the public.</w:t>
      </w:r>
    </w:p>
    <w:p>
      <w:pPr>
        <w:spacing w:after="0" w:line="19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the Initial Legal Fee Reimbursement Amount of $125,000 upon our execution of the Purchase Agreement and Registration Rights Agreement and the Additional Investor Legal Fee Reimbursement Amount of up to $5,000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BRPC Shares by B. Riley Principal Capital II to the public. Moreover, in accordance with FINRA Rule 5110, the 3.0% fixed discount to current market prices of our Common Stock reflected in the purchase prices payable by B. Riley Principal Capital II for our Common Stock that we may require it to purchase from us from time to time in one or more Market Open Purchases and/or one or more Intraday Purchases under the Purchase Agreement is deemed to be underwriting compensation in connection with sales of BRPC Shares by B. Riley Principal Capital II to the public.</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also have agreed to indemnify B. Riley Principal Capital II and certain other persons against certain liabilities in connection with the offering of BRPC Shares offered hereby, including liabilities arising under the Securities Act or, if such indemnity is unavailable, to contribute amounts required to be paid in respect of such liabilities. B. Riley Principal Capital II has agreed to indemnify us against liabilities under the Securities Act that may arise from certain written information furnished to us by B. Riley Principal Capital II specifically for use in this prospectus or, if such indemnity is unavailable, to contribute amounts required to be paid in respect of such liabilities. Insofar as indemnification for liabilities arising under the Securities Act may be permitted to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82"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directors, officers, and controlling persons, we have been advised that in the opinion of the SEC this indemnification is against public policy as expressed in the Securities Act and is therefore, unenforceable.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enter into or effect, directly or indirectly, any of the foregoing transactions either for B. Riley Principal Capital II’s own principal account or for the principal account of any such entity managed or controlled by B. Riley Principal Capital II.</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offering will terminate on the date that all BRPC Shares offered by this prospectus have been sold by the Selling Stockholder.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currently listed on Nasdaq under the symbol “BZAI”.</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 Riley Principal Capital II and/or one or more of its affiliates, including BRS, has provided, currently provides and/or from time to time in the future may provide various investment banking and other financial services for us and/or one or more of our affiliates that are unrelated to the transactions contemplated by the Purchase Agreement and the offering of BRPC Shares for resale by B. Riley Principal Capital II to which this prospectus relates, for which investment banking and other financial services they have received and may continue to receive customary fees, commissions and other compensation from us, aside from any discounts, fees and other compensation that B. Riley Principal Capital II has received and may receive in connection with the transactions contemplated by the Purchase Agreement, including (i) the $200,000 Cash Commitment Fee we paid to B. Riley Principal Capital II and the 83,353 Commitment Shares we issued to B. Riley Principal Capital II as consideration for its irrevocable commitment to purchase shares of our Common Stock from us at our direction under the Purchase Agreement, (ii) the 3.0% fixed discount to current market prices of our Common Stock reflected in the purchase prices payable by B. Riley Principal Capital II for our Common Stock that we may require it to purchase from us from time to time in one or more Open Market Purchases and/or one or more Intraday Purchases under the Purchase Agreement, and (iii) our reimbursement of B. Riley Principal Capital II’s legal fees up to $185,000 in the aggregate ($125,000 upon execution of the Purchase Agreement and $5,000 per fiscal quarter for the maximum three year term of the Purchase Agreement) in connection with the transactions contemplated by the Purchase Agreement and the Registration Rights Agreement.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total underwriting compensation to be received by all participating FINRA members, in the aggregate, in connection with this offering, as determined under FINRA Rule 5110, will not exceed 8.0% of the maximum aggregate offering price of all BRPC Shares that may be resold by B. Riley Principal Capital II to the public through this prospectus. Accordingly, the total amount of any specific item of underwriting compensation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82"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and Resale of Common Stock by Cantor Fitzgerald</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This prospectus also related in part to the offer and sale of up to 769,231 shares of our Common Stock by Cantor Fitzgerald (including its donees, pledgees, transferees and other successors-in-interest) named in this prospectus.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by Cantor Fitzgerald of the Common Stock being registered for sale hereunder. We will bear all costs, expenses and fees in connection with the registration of the Common Stock offered by this prospectus, including, without limitation, all registration and filing fees, fees and expenses of our counsel and fees and expenses of our independent registered public accountants. Cantor Fitzgerald will bear all incremental selling expenses, including commissions, brokerage fees and other similar selling expenses.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Cantor Fitzgerald may offer and sell, from time to time, some or all of the Common Stock to which this prospectus relates in part. As used herein, “Cantor Fitzgerald” includes donees, pledgees, transferees or other successors-in-interest (as a gift, pledge, partnership distribution or other non-sale related transfer) selling shares of Common Stock received after the date of this prospectus from Cantor Fitzgerald. We have registered the shares of Common Stock to which this prospectus relates in part for offer and sale so that those shares may be freely sold to the public by Cantor Fitzgerald. Registration of the shares of Common Stock to which this prospectus relates in part does not mean, however, that those shares necessarily will be offered or resold by Cantor Fitzgerald.</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Sales of the Common Stock offered hereby may be effected by Cantor Fitzgerald from time to time in one or more types of transactions (which may include block transactions), including but not limited to, in negotiated transactions, through put or call options transactions relating to the securities offered hereby, through short sales of the securities offered hereby, or a combination of such methods of sale. Such transactions may or may not involve brokers or dealers. In effecting sales, brokers or dealers engaged by Cantor Fitzgerald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or transactions in which the broker-dealer solicits purchasers. Such broker-dealers may receive compensation in the form of discounts, concessions or commissions from Cantor Fitzgerald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Cantor Fitzgerald has not advised us that they have entered into any agreements, understandings or arrangements with any broker-dealers regarding the sale of the Common Stock to which this prospectus relates in part.</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Cantor Fitzgerald may elect to make a pro rata in-kind distribution of Common Stock to its members, partners or shareholders pursuant to the registration statement of which this prospectus is a part by delivering a prospectus with a plan of distribution. Such members, partners or shareholders would thereby receive freely tradeable shares of Common Stock pursuant to the distribution through a registration statement. To the extent a distributee is an affiliate of ours (or to the extent otherwise required by law), we may file a prospectus supplement in order to permit the distributees to use the prospectus to resell the shares of Common Stock acquired in the distribution.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80"/>
          </w:cols>
          <w:pgMar w:left="320" w:top="482"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Cantor Fitzgerald will sell all or any of the Common Stock offered by this prospectus. In addition, any shares that qualify for sale pursuant to Rule 144 may be sold under Rule 144 of the Securities Act, if available, or in other transactions exempt from registration, rather than pursuant to this prospectus.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Cantor Fitzgerald may enter into hedging transactions with broker-dealers or other financial institutions. In connection with such transactions, broker-dealers or other financial institutions may engage in short sales of shares of Common Stock offered hereby in the course of hedging positions they assume with Cantor Fitzgerald. Cantor Fitzgerald may also enter into options or other transactions with broker-dealers or other financial institutions which require the delivery to such broker-dealers or other financial institutions of the shares offered by this prospectus, which shares such broker-dealer or other financial institution may resell pursuant to this prospectus (as amended or supplemented to reflect such transaction).</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Cantor Fitzgerald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Cantor Fitzgerald or borrowed from Cantor Fitzgerald or others to settle those sales or to close out any related open borrowings of stock, and may use securities received from Cantor Fitzgerald in settlement of those derivatives to close out any related open borrowings of securities. The third party in such sale transactions will be an underwriter and will be identified in the applicable prospectus supplement (or a post-effective amendment). In addition, Cantor Fitzgerald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Cantor Fitzgerald is not a party to, and has no involvement in, the committed equity facility entered into between the Company and B. Riley Principal Capital II. The 769,231 shares of Common Stock being registered for resale by Cantor Fitzgerald under this registration statement are entirely unrelated to the committed equity facility with B. Riley Principal Capital II and were acquired independently of that arrangement. No proceeds from the equity facility will be used in connection with Cantor Fitzgerald and Cantor Fitzgerald has no rights or obligations under the Purchase Agreement or Registration Rights Agreement with B. Riley.</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82"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Latham &amp; Watkins LLP, Houston, Texas.</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139"/>
          </w:cols>
          <w:pgMar w:left="320" w:top="482"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Blaize, Inc. and Subsidiaries as of December 31, 2024 and 2023, and for each of the years in the two-year period ended December 31, 2024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http:// www.sec.gov</w:t>
      </w:r>
      <w:r>
        <w:rPr>
          <w:rFonts w:ascii="Times New Roman" w:cs="Times New Roman" w:eastAsia="Times New Roman" w:hAnsi="Times New Roman"/>
          <w:sz w:val="18"/>
          <w:szCs w:val="18"/>
          <w:color w:val="auto"/>
        </w:rPr>
        <w:t>. Those filings are also available to the public on, or accessible through, our website under the heading “Investors Relations” at www.blaize.com. The information on our web site, however, is not, and should not be deemed to be, a part of this prospectus.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60"/>
          </w:cols>
          <w:pgMar w:left="320" w:top="482" w:right="5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BLAIZE HOLDINGS, INC. FINANCIAL STATEMENTS</w:t>
            </w: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560" w:type="dxa"/>
            <w:vAlign w:val="bottom"/>
            <w:gridSpan w:val="1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Blaize Holdings,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5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 (unaudited)</w:t>
            </w:r>
          </w:p>
        </w:tc>
        <w:tc>
          <w:tcPr>
            <w:tcW w:w="4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2025 and 2024 (unaudited)</w:t>
            </w:r>
          </w:p>
        </w:tc>
        <w:tc>
          <w:tcPr>
            <w:tcW w:w="2040" w:type="dxa"/>
            <w:vAlign w:val="bottom"/>
            <w:gridSpan w:val="4"/>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96"/>
        </w:trPr>
        <w:tc>
          <w:tcPr>
            <w:tcW w:w="9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(Deficit) for the Three Months ended March 31, 2025 and 2024 (unaudited)</w:t>
            </w:r>
          </w:p>
        </w:tc>
        <w:tc>
          <w:tcPr>
            <w:tcW w:w="680" w:type="dxa"/>
            <w:vAlign w:val="bottom"/>
            <w:gridSpan w:val="2"/>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 (unaudited)</w:t>
            </w: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85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2000" w:type="dxa"/>
            <w:vAlign w:val="bottom"/>
            <w:gridSpan w:val="3"/>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430"/>
        </w:trPr>
        <w:tc>
          <w:tcPr>
            <w:tcW w:w="51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BLAIZE, INC. FINANCIAL STATEMENTS</w:t>
            </w:r>
          </w:p>
        </w:tc>
        <w:tc>
          <w:tcPr>
            <w:tcW w:w="544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Blaize, Inc. and Subsidiaries: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0"/>
          </w:tcPr>
          <w:p>
            <w:pPr>
              <w:spacing w:after="0"/>
              <w:rPr>
                <w:sz w:val="16"/>
                <w:szCs w:val="16"/>
                <w:color w:val="auto"/>
              </w:rPr>
            </w:pPr>
          </w:p>
        </w:tc>
        <w:tc>
          <w:tcPr>
            <w:tcW w:w="4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w w:val="99"/>
              </w:rPr>
              <w:t>F-38</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and Stockholders’ Deficit for the Years Ended December 31, 2024, and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6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and 2023</w:t>
            </w:r>
          </w:p>
        </w:tc>
        <w:tc>
          <w:tcPr>
            <w:tcW w:w="4080" w:type="dxa"/>
            <w:vAlign w:val="bottom"/>
            <w:gridSpan w:val="6"/>
          </w:tcPr>
          <w:p>
            <w:pPr>
              <w:spacing w:after="0"/>
              <w:rPr>
                <w:sz w:val="17"/>
                <w:szCs w:val="17"/>
                <w:color w:val="auto"/>
              </w:rPr>
            </w:pP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F-42</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F-43</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shares and per share amounts)</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44,967</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50,237</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Funds held in escrow</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33,350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1,008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8,383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8,561</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5,836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14,837</w:t>
            </w:r>
          </w:p>
        </w:tc>
        <w:tc>
          <w:tcPr>
            <w:tcW w:w="0" w:type="dxa"/>
            <w:vAlign w:val="bottom"/>
          </w:tcPr>
          <w:p>
            <w:pPr>
              <w:spacing w:after="0"/>
              <w:rPr>
                <w:sz w:val="1"/>
                <w:szCs w:val="1"/>
                <w:color w:val="auto"/>
              </w:rPr>
            </w:pPr>
          </w:p>
        </w:tc>
      </w:tr>
      <w:tr>
        <w:trPr>
          <w:trHeight w:val="156"/>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93,544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73,690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 assets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2,157</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100,203</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80,516</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common stock subject to possible redemption,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17,115</w:t>
            </w:r>
          </w:p>
        </w:tc>
        <w:tc>
          <w:tcPr>
            <w:tcW w:w="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11,996</w:t>
            </w:r>
          </w:p>
        </w:tc>
        <w:tc>
          <w:tcPr>
            <w:tcW w:w="0" w:type="dxa"/>
            <w:vAlign w:val="bottom"/>
          </w:tcPr>
          <w:p>
            <w:pPr>
              <w:spacing w:after="0"/>
              <w:rPr>
                <w:sz w:val="1"/>
                <w:szCs w:val="1"/>
                <w:color w:val="auto"/>
              </w:rPr>
            </w:pPr>
          </w:p>
        </w:tc>
      </w:tr>
      <w:tr>
        <w:trPr>
          <w:trHeight w:val="149"/>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1,763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1,613</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542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Working capital loan (Note 8)</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Advances from related party (Note 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2,857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Warrant liabilities, current</w:t>
            </w: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14,711</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Convertible notes, current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148,629</w:t>
            </w:r>
          </w:p>
        </w:tc>
        <w:tc>
          <w:tcPr>
            <w:tcW w:w="0" w:type="dxa"/>
            <w:vAlign w:val="bottom"/>
          </w:tcPr>
          <w:p>
            <w:pPr>
              <w:spacing w:after="0"/>
              <w:rPr>
                <w:sz w:val="1"/>
                <w:szCs w:val="1"/>
                <w:color w:val="auto"/>
              </w:rPr>
            </w:pPr>
          </w:p>
        </w:tc>
      </w:tr>
      <w:tr>
        <w:trPr>
          <w:trHeight w:val="155"/>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38,439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188,143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1,050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Earnout share liabilities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9,507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155"/>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50,432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190,979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 (Note 14)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94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Common stock subject to possible redemption, 2,854,242 and zero outstanding at a redemption value of approximately $33,061 and $0 as of</w:t>
            </w: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33,061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March 31, 2025 and December 31, 2024, respectively</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94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Common stock - $0.0001 par value; 600,000,000 and 136,562,809 shares authorized as of March 31, 2025 and December 31, 2024,</w:t>
            </w: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respectively; 98,818,874 and 48,376,052 shares issued and outstanding as of March 31, 2025 and December 31, 2024, respectively</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602,266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318,783</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Shareholder note receivable</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(8,554)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(577,012)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(429,251)</w:t>
            </w:r>
          </w:p>
        </w:tc>
        <w:tc>
          <w:tcPr>
            <w:tcW w:w="0" w:type="dxa"/>
            <w:vAlign w:val="bottom"/>
          </w:tcPr>
          <w:p>
            <w:pPr>
              <w:spacing w:after="0"/>
              <w:rPr>
                <w:sz w:val="1"/>
                <w:szCs w:val="1"/>
                <w:color w:val="auto"/>
              </w:rPr>
            </w:pPr>
          </w:p>
        </w:tc>
      </w:tr>
      <w:tr>
        <w:trPr>
          <w:trHeight w:val="163"/>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stockholders’ equity (deficit)</w:t>
            </w: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16,710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(110,463)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common stock subject to redemption, and stockholders’ equity (deficit)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100,203</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80,516</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82"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shares and per share amounts)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7"/>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vMerge w:val="continue"/>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15)</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3"/>
        </w:trPr>
        <w:tc>
          <w:tcPr>
            <w:tcW w:w="6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(165,703)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(147,761</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91,747,685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13,613,270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8"/>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5"/>
                <w:szCs w:val="15"/>
                <w:color w:val="auto"/>
              </w:rPr>
            </w:pPr>
          </w:p>
        </w:tc>
        <w:tc>
          <w:tcPr>
            <w:tcW w:w="12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 Equity/(Deficit)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6"/>
            <w:vMerge w:val="continue"/>
          </w:tcPr>
          <w:p>
            <w:pPr>
              <w:spacing w:after="0"/>
              <w:rPr>
                <w:sz w:val="9"/>
                <w:szCs w:val="9"/>
                <w:color w:val="auto"/>
              </w:rPr>
            </w:pPr>
          </w:p>
        </w:tc>
        <w:tc>
          <w:tcPr>
            <w:tcW w:w="7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60" w:type="dxa"/>
            <w:vAlign w:val="bottom"/>
            <w:gridSpan w:val="7"/>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Possible</w:t>
            </w: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7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1260" w:type="dxa"/>
            <w:vAlign w:val="bottom"/>
            <w:gridSpan w:val="6"/>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320" w:type="dxa"/>
            <w:vAlign w:val="bottom"/>
            <w:gridSpan w:val="8"/>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1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(Amounts in thousands, except</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40" w:type="dxa"/>
            <w:vAlign w:val="bottom"/>
          </w:tcPr>
          <w:p>
            <w:pPr>
              <w:spacing w:after="0"/>
              <w:rPr>
                <w:sz w:val="2"/>
                <w:szCs w:val="2"/>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4"/>
        </w:trPr>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gridSpan w:val="2"/>
            <w:vMerge w:val="restart"/>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gridSpan w:val="2"/>
            <w:vMerge w:val="restart"/>
          </w:tcPr>
          <w:p>
            <w:pPr>
              <w:spacing w:after="0"/>
              <w:rPr>
                <w:sz w:val="9"/>
                <w:szCs w:val="9"/>
                <w:color w:val="auto"/>
              </w:rPr>
            </w:pPr>
          </w:p>
        </w:tc>
        <w:tc>
          <w:tcPr>
            <w:tcW w:w="5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vMerge w:val="restart"/>
          </w:tcPr>
          <w:p>
            <w:pPr>
              <w:spacing w:after="0"/>
              <w:rPr>
                <w:sz w:val="9"/>
                <w:szCs w:val="9"/>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gridSpan w:val="2"/>
            <w:vMerge w:val="restart"/>
          </w:tcPr>
          <w:p>
            <w:pPr>
              <w:spacing w:after="0"/>
              <w:rPr>
                <w:sz w:val="9"/>
                <w:szCs w:val="9"/>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gridSpan w:val="2"/>
            <w:vMerge w:val="restart"/>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9"/>
                <w:szCs w:val="9"/>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gridSpan w:val="2"/>
            <w:vMerge w:val="continue"/>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CCEEFF"/>
            </w:tcBorders>
            <w:gridSpan w:val="2"/>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860" w:type="dxa"/>
            <w:vAlign w:val="bottom"/>
            <w:tcBorders>
              <w:left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34,712,525</w:t>
            </w:r>
          </w:p>
        </w:tc>
        <w:tc>
          <w:tcPr>
            <w:tcW w:w="40" w:type="dxa"/>
            <w:vAlign w:val="bottom"/>
            <w:shd w:val="clear" w:color="auto" w:fill="CCEEFF"/>
          </w:tcPr>
          <w:p>
            <w:pPr>
              <w:spacing w:after="0"/>
              <w:rPr>
                <w:sz w:val="9"/>
                <w:szCs w:val="9"/>
                <w:color w:val="auto"/>
              </w:rPr>
            </w:pPr>
          </w:p>
        </w:tc>
        <w:tc>
          <w:tcPr>
            <w:tcW w:w="72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$ 173,347</w:t>
            </w:r>
          </w:p>
        </w:tc>
        <w:tc>
          <w:tcPr>
            <w:tcW w:w="6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13,663,527</w:t>
            </w:r>
          </w:p>
        </w:tc>
        <w:tc>
          <w:tcPr>
            <w:tcW w:w="2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96,887</w:t>
            </w:r>
          </w:p>
        </w:tc>
        <w:tc>
          <w:tcPr>
            <w:tcW w:w="140" w:type="dxa"/>
            <w:vAlign w:val="bottom"/>
            <w:tcBorders>
              <w:left w:val="single" w:sz="8" w:color="CCEEFF"/>
            </w:tcBorders>
            <w:shd w:val="clear" w:color="auto" w:fill="CCEEFF"/>
          </w:tcPr>
          <w:p>
            <w:pPr>
              <w:spacing w:after="0"/>
              <w:rPr>
                <w:sz w:val="9"/>
                <w:szCs w:val="9"/>
                <w:color w:val="auto"/>
              </w:rPr>
            </w:pP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left w:val="single" w:sz="8" w:color="CCEEFF"/>
            </w:tcBorders>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145,441</w:t>
            </w:r>
          </w:p>
        </w:tc>
        <w:tc>
          <w:tcPr>
            <w:tcW w:w="4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(429,251)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(283,810)</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left w:val="single" w:sz="8" w:color="CCEEFF"/>
            </w:tcBorders>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4"/>
            <w:vMerge w:val="continue"/>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40" w:type="dxa"/>
            <w:vAlign w:val="bottom"/>
            <w:tcBorders>
              <w:left w:val="single" w:sz="8" w:color="CCEEFF"/>
            </w:tcBorders>
            <w:gridSpan w:val="3"/>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(34,712,525)</w:t>
            </w:r>
          </w:p>
        </w:tc>
        <w:tc>
          <w:tcPr>
            <w:tcW w:w="40" w:type="dxa"/>
            <w:vAlign w:val="bottom"/>
          </w:tcPr>
          <w:p>
            <w:pPr>
              <w:spacing w:after="0"/>
              <w:rPr>
                <w:sz w:val="10"/>
                <w:szCs w:val="10"/>
                <w:color w:val="auto"/>
              </w:rPr>
            </w:pPr>
          </w:p>
        </w:tc>
        <w:tc>
          <w:tcPr>
            <w:tcW w:w="7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(173,347)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5"/>
              </w:rPr>
              <w:t>34,712,525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(96,887)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173,342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173,347</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recapitalization</w:t>
            </w: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Adjusted balance - beginning</w:t>
            </w:r>
          </w:p>
        </w:tc>
        <w:tc>
          <w:tcPr>
            <w:tcW w:w="120" w:type="dxa"/>
            <w:vAlign w:val="bottom"/>
            <w:tcBorders>
              <w:left w:val="single" w:sz="8" w:color="CCEEFF"/>
            </w:tcBorders>
            <w:shd w:val="clear" w:color="auto" w:fill="CCEEFF"/>
          </w:tcPr>
          <w:p>
            <w:pPr>
              <w:spacing w:after="0"/>
              <w:rPr>
                <w:sz w:val="10"/>
                <w:szCs w:val="10"/>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gridSpan w:val="2"/>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CCEEFF"/>
            </w:tcBorders>
            <w:gridSpan w:val="2"/>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1"/>
              </w:rPr>
              <w:t>— </w:t>
            </w:r>
          </w:p>
        </w:tc>
        <w:tc>
          <w:tcPr>
            <w:tcW w:w="6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right w:val="single" w:sz="8" w:color="CCEEFF"/>
            </w:tcBorders>
            <w:vMerge w:val="restart"/>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48,376,052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318,783</w:t>
            </w: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(429,251)</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(110,463)</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period</w:t>
            </w: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8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w:t>
            </w:r>
          </w:p>
        </w:tc>
        <w:tc>
          <w:tcPr>
            <w:tcW w:w="120" w:type="dxa"/>
            <w:vAlign w:val="bottom"/>
          </w:tcPr>
          <w:p>
            <w:pPr>
              <w:spacing w:after="0"/>
              <w:rPr>
                <w:sz w:val="10"/>
                <w:szCs w:val="10"/>
                <w:color w:val="auto"/>
              </w:rPr>
            </w:pPr>
          </w:p>
        </w:tc>
        <w:tc>
          <w:tcPr>
            <w:tcW w:w="7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5"/>
              </w:rPr>
              <w:t>31,433,259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314,331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314,334</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w:t>
            </w: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exercise of warrants</w:t>
            </w:r>
          </w:p>
        </w:tc>
        <w:tc>
          <w:tcPr>
            <w:tcW w:w="120" w:type="dxa"/>
            <w:vAlign w:val="bottom"/>
            <w:tcBorders>
              <w:lef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7,505,657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75,056</w:t>
            </w: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75,057</w:t>
            </w: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 and PIPE financing</w:t>
            </w:r>
          </w:p>
        </w:tc>
        <w:tc>
          <w:tcPr>
            <w:tcW w:w="120" w:type="dxa"/>
            <w:vAlign w:val="bottom"/>
          </w:tcPr>
          <w:p>
            <w:pPr>
              <w:spacing w:after="0"/>
              <w:rPr>
                <w:sz w:val="12"/>
                <w:szCs w:val="12"/>
                <w:color w:val="auto"/>
              </w:rPr>
            </w:pPr>
          </w:p>
        </w:tc>
        <w:tc>
          <w:tcPr>
            <w:tcW w:w="78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2,854,242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33,061</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5"/>
              </w:rPr>
              <w:t>11,408,957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8"/>
              </w:rPr>
              <w:t>(117,411)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(8,754)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(126,164)</w:t>
            </w: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Payment of Shareholder note</w:t>
            </w:r>
          </w:p>
        </w:tc>
        <w:tc>
          <w:tcPr>
            <w:tcW w:w="120" w:type="dxa"/>
            <w:vAlign w:val="bottom"/>
            <w:tcBorders>
              <w:left w:val="single" w:sz="8" w:color="CCEEFF"/>
            </w:tcBorders>
            <w:shd w:val="clear" w:color="auto" w:fill="CCEEFF"/>
          </w:tcPr>
          <w:p>
            <w:pPr>
              <w:spacing w:after="0"/>
              <w:rPr>
                <w:sz w:val="10"/>
                <w:szCs w:val="10"/>
                <w:color w:val="auto"/>
              </w:rPr>
            </w:pPr>
          </w:p>
        </w:tc>
        <w:tc>
          <w:tcPr>
            <w:tcW w:w="78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75"/>
              </w:rPr>
              <w:t>200</w:t>
            </w: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w:t>
            </w:r>
          </w:p>
        </w:tc>
        <w:tc>
          <w:tcPr>
            <w:tcW w:w="120" w:type="dxa"/>
            <w:vAlign w:val="bottom"/>
            <w:tcBorders>
              <w:left w:val="single" w:sz="8" w:color="CCEEFF"/>
            </w:tcBorders>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w:t>
            </w:r>
          </w:p>
        </w:tc>
        <w:tc>
          <w:tcPr>
            <w:tcW w:w="120" w:type="dxa"/>
            <w:vAlign w:val="bottom"/>
          </w:tcPr>
          <w:p>
            <w:pPr>
              <w:spacing w:after="0"/>
              <w:rPr>
                <w:sz w:val="10"/>
                <w:szCs w:val="10"/>
                <w:color w:val="auto"/>
              </w:rPr>
            </w:pPr>
          </w:p>
        </w:tc>
        <w:tc>
          <w:tcPr>
            <w:tcW w:w="7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94,949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advisors</w:t>
            </w: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Borders>
              <w:left w:val="single" w:sz="8" w:color="CCEEFF"/>
            </w:tcBorders>
            <w:shd w:val="clear" w:color="auto" w:fill="CCEEFF"/>
          </w:tcPr>
          <w:p>
            <w:pPr>
              <w:spacing w:after="0"/>
              <w:rPr>
                <w:sz w:val="10"/>
                <w:szCs w:val="10"/>
                <w:color w:val="auto"/>
              </w:rPr>
            </w:pPr>
          </w:p>
        </w:tc>
        <w:tc>
          <w:tcPr>
            <w:tcW w:w="78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tcBorders>
              <w:left w:val="single" w:sz="8" w:color="CCEEFF"/>
            </w:tcBorders>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78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5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CCEEFF"/>
            </w:tcBorders>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1"/>
              </w:rPr>
              <w:t>— </w:t>
            </w:r>
          </w:p>
        </w:tc>
        <w:tc>
          <w:tcPr>
            <w:tcW w:w="6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2"/>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75"/>
              </w:rPr>
              <w:t>— </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(147,761)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(147,761)</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as of March 31,</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gridSpan w:val="2"/>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1"/>
                <w:szCs w:val="11"/>
                <w:color w:val="auto"/>
              </w:rPr>
            </w:pP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80" w:type="dxa"/>
            <w:vAlign w:val="bottom"/>
            <w:gridSpan w:val="2"/>
            <w:vMerge w:val="restart"/>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2,854,242</w:t>
            </w: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$ 33,061</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98,818,874</w:t>
            </w:r>
          </w:p>
        </w:tc>
        <w:tc>
          <w:tcPr>
            <w:tcW w:w="20" w:type="dxa"/>
            <w:vAlign w:val="bottom"/>
          </w:tcPr>
          <w:p>
            <w:pPr>
              <w:spacing w:after="0"/>
              <w:rPr>
                <w:sz w:val="11"/>
                <w:szCs w:val="1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602,266</w:t>
            </w:r>
          </w:p>
        </w:tc>
        <w:tc>
          <w:tcPr>
            <w:tcW w:w="40" w:type="dxa"/>
            <w:vAlign w:val="bottom"/>
          </w:tcPr>
          <w:p>
            <w:pPr>
              <w:spacing w:after="0"/>
              <w:rPr>
                <w:sz w:val="11"/>
                <w:szCs w:val="11"/>
                <w:color w:val="auto"/>
              </w:rPr>
            </w:pPr>
          </w:p>
        </w:tc>
        <w:tc>
          <w:tcPr>
            <w:tcW w:w="20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(8,554)</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(577,012)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16,710</w:t>
            </w:r>
          </w:p>
        </w:tc>
        <w:tc>
          <w:tcPr>
            <w:tcW w:w="0" w:type="dxa"/>
            <w:vAlign w:val="bottom"/>
          </w:tcPr>
          <w:p>
            <w:pPr>
              <w:spacing w:after="0"/>
              <w:rPr>
                <w:sz w:val="1"/>
                <w:szCs w:val="1"/>
                <w:color w:val="auto"/>
              </w:rPr>
            </w:pPr>
          </w:p>
        </w:tc>
      </w:tr>
      <w:tr>
        <w:trPr>
          <w:trHeight w:val="17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8"/>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24"/>
                <w:szCs w:val="24"/>
                <w:color w:val="auto"/>
              </w:rPr>
            </w:pPr>
          </w:p>
        </w:tc>
        <w:tc>
          <w:tcPr>
            <w:tcW w:w="126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26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Possible</w:t>
            </w:r>
          </w:p>
        </w:tc>
        <w:tc>
          <w:tcPr>
            <w:tcW w:w="132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126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32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(Amounts in thousands, except</w:t>
            </w: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00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04"/>
        </w:trPr>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160" w:type="dxa"/>
            <w:vAlign w:val="bottom"/>
            <w:vMerge w:val="restart"/>
          </w:tcPr>
          <w:p>
            <w:pPr>
              <w:spacing w:after="0"/>
              <w:rPr>
                <w:sz w:val="9"/>
                <w:szCs w:val="9"/>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1"/>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shares)</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900" w:type="dxa"/>
            <w:vAlign w:val="bottom"/>
            <w:tcBorders>
              <w:left w:val="single" w:sz="8" w:color="CCEEFF"/>
            </w:tcBorders>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34,712,525</w:t>
            </w:r>
          </w:p>
        </w:tc>
        <w:tc>
          <w:tcPr>
            <w:tcW w:w="780" w:type="dxa"/>
            <w:vAlign w:val="bottom"/>
            <w:tcBorders>
              <w:right w:val="single" w:sz="8" w:color="CCEEFF"/>
            </w:tcBorders>
            <w:gridSpan w:val="5"/>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$ 173,347</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13,613,269</w:t>
            </w:r>
          </w:p>
        </w:tc>
        <w:tc>
          <w:tcPr>
            <w:tcW w:w="2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96,887</w:t>
            </w: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left w:val="single" w:sz="8" w:color="CCEEFF"/>
            </w:tcBorders>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141,496</w:t>
            </w:r>
          </w:p>
        </w:tc>
        <w:tc>
          <w:tcPr>
            <w:tcW w:w="200" w:type="dxa"/>
            <w:vAlign w:val="bottom"/>
            <w:gridSpan w:val="2"/>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(368,056)</w:t>
            </w:r>
          </w:p>
        </w:tc>
        <w:tc>
          <w:tcPr>
            <w:tcW w:w="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(226,560)</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left w:val="single" w:sz="8" w:color="CCEEFF"/>
            </w:tcBorders>
            <w:gridSpan w:val="4"/>
            <w:vMerge w:val="continue"/>
            <w:shd w:val="clear" w:color="auto" w:fill="CCEEFF"/>
          </w:tcPr>
          <w:p>
            <w:pPr>
              <w:spacing w:after="0"/>
              <w:rPr>
                <w:sz w:val="15"/>
                <w:szCs w:val="15"/>
                <w:color w:val="auto"/>
              </w:rPr>
            </w:pPr>
          </w:p>
        </w:tc>
        <w:tc>
          <w:tcPr>
            <w:tcW w:w="780" w:type="dxa"/>
            <w:vAlign w:val="bottom"/>
            <w:tcBorders>
              <w:right w:val="single" w:sz="8" w:color="CCEEFF"/>
            </w:tcBorders>
            <w:gridSpan w:val="5"/>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40" w:type="dxa"/>
            <w:vAlign w:val="bottom"/>
            <w:tcBorders>
              <w:left w:val="single" w:sz="8" w:color="CCEEFF"/>
            </w:tcBorders>
            <w:gridSpan w:val="3"/>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120" w:type="dxa"/>
            <w:vAlign w:val="bottom"/>
            <w:vMerge w:val="restart"/>
          </w:tcPr>
          <w:p>
            <w:pPr>
              <w:spacing w:after="0"/>
              <w:rPr>
                <w:sz w:val="10"/>
                <w:szCs w:val="10"/>
                <w:color w:val="auto"/>
              </w:rPr>
            </w:pPr>
          </w:p>
        </w:tc>
        <w:tc>
          <w:tcPr>
            <w:tcW w:w="900" w:type="dxa"/>
            <w:vAlign w:val="bottom"/>
            <w:gridSpan w:val="4"/>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(34,712,525)</w:t>
            </w:r>
          </w:p>
        </w:tc>
        <w:tc>
          <w:tcPr>
            <w:tcW w:w="80" w:type="dxa"/>
            <w:vAlign w:val="bottom"/>
          </w:tcPr>
          <w:p>
            <w:pPr>
              <w:spacing w:after="0"/>
              <w:rPr>
                <w:sz w:val="10"/>
                <w:szCs w:val="10"/>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(173,347)</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34,712,525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(96,887)</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173,342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173,347</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recapitalization</w:t>
            </w:r>
          </w:p>
        </w:tc>
        <w:tc>
          <w:tcPr>
            <w:tcW w:w="120" w:type="dxa"/>
            <w:vAlign w:val="bottom"/>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97"/>
              </w:rPr>
              <w:t>Adjusted balance - beginning of</w:t>
            </w:r>
          </w:p>
        </w:tc>
        <w:tc>
          <w:tcPr>
            <w:tcW w:w="120" w:type="dxa"/>
            <w:vAlign w:val="bottom"/>
            <w:tcBorders>
              <w:left w:val="single" w:sz="8" w:color="CCEEFF"/>
            </w:tcBorders>
            <w:shd w:val="clear" w:color="auto" w:fill="CCEEFF"/>
          </w:tcPr>
          <w:p>
            <w:pPr>
              <w:spacing w:after="0"/>
              <w:rPr>
                <w:sz w:val="10"/>
                <w:szCs w:val="10"/>
                <w:color w:val="auto"/>
              </w:rPr>
            </w:pPr>
          </w:p>
        </w:tc>
        <w:tc>
          <w:tcPr>
            <w:tcW w:w="740" w:type="dxa"/>
            <w:vAlign w:val="bottom"/>
            <w:gridSpan w:val="2"/>
            <w:vMerge w:val="restart"/>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Borders>
              <w:right w:val="single" w:sz="8" w:color="CCEEFF"/>
            </w:tcBorders>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Borders>
              <w:left w:val="single" w:sz="8" w:color="CCEEFF"/>
              <w:right w:val="single" w:sz="8" w:color="CCEEFF"/>
            </w:tcBorders>
            <w:vMerge w:val="restart"/>
            <w:shd w:val="clear" w:color="auto" w:fill="CCEEFF"/>
          </w:tcPr>
          <w:p>
            <w:pPr>
              <w:spacing w:after="0"/>
              <w:rPr>
                <w:sz w:val="10"/>
                <w:szCs w:val="10"/>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48,325,794</w:t>
            </w:r>
          </w:p>
        </w:tc>
        <w:tc>
          <w:tcPr>
            <w:tcW w:w="2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314,838</w:t>
            </w:r>
          </w:p>
        </w:tc>
        <w:tc>
          <w:tcPr>
            <w:tcW w:w="40" w:type="dxa"/>
            <w:vAlign w:val="bottom"/>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75"/>
              </w:rPr>
              <w:t>— </w:t>
            </w:r>
          </w:p>
        </w:tc>
        <w:tc>
          <w:tcPr>
            <w:tcW w:w="120" w:type="dxa"/>
            <w:vAlign w:val="bottom"/>
            <w:tcBorders>
              <w:left w:val="single" w:sz="8" w:color="CCEEFF"/>
            </w:tcBorders>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(368,056)</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(53,213)</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780" w:type="dxa"/>
            <w:vAlign w:val="bottom"/>
            <w:gridSpan w:val="3"/>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lef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(16,743)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(16,743)</w:t>
            </w:r>
          </w:p>
        </w:tc>
        <w:tc>
          <w:tcPr>
            <w:tcW w:w="0" w:type="dxa"/>
            <w:vAlign w:val="bottom"/>
          </w:tcPr>
          <w:p>
            <w:pPr>
              <w:spacing w:after="0"/>
              <w:rPr>
                <w:sz w:val="1"/>
                <w:szCs w:val="1"/>
                <w:color w:val="auto"/>
              </w:rPr>
            </w:pPr>
          </w:p>
        </w:tc>
      </w:tr>
      <w:tr>
        <w:trPr>
          <w:trHeight w:val="155"/>
        </w:trPr>
        <w:tc>
          <w:tcPr>
            <w:tcW w:w="1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2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center"/>
              <w:ind w:left="4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9"/>
                <w:szCs w:val="9"/>
                <w:b w:val="1"/>
                <w:bCs w:val="1"/>
                <w:color w:val="auto"/>
                <w:w w:val="73"/>
              </w:rPr>
              <w:t>— </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48,325,794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6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315,175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w w:val="75"/>
              </w:rPr>
              <w:t>— </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(384,799</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(69,619)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500" w:type="dxa"/>
            <w:vAlign w:val="bottom"/>
          </w:tcPr>
          <w:p>
            <w:pPr>
              <w:spacing w:after="0"/>
              <w:rPr>
                <w:sz w:val="15"/>
                <w:szCs w:val="15"/>
                <w:color w:val="auto"/>
              </w:rPr>
            </w:pPr>
          </w:p>
        </w:tc>
        <w:tc>
          <w:tcPr>
            <w:tcW w:w="15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vMerge w:val="continue"/>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(147,761)</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(16,743)</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earnout share liabilities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(116,518)</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165,703</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60,345</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3,515</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 related party</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8,504</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3,583</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0" w:type="dxa"/>
            <w:vAlign w:val="bottom"/>
          </w:tcPr>
          <w:p>
            <w:pPr>
              <w:spacing w:after="0"/>
              <w:rPr>
                <w:sz w:val="1"/>
                <w:szCs w:val="1"/>
                <w:color w:val="auto"/>
              </w:rPr>
            </w:pPr>
          </w:p>
        </w:tc>
      </w:tr>
      <w:tr>
        <w:trPr>
          <w:trHeight w:val="149"/>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Advances from related party</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(15,944)</w:t>
            </w: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(7,363)</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(661)</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(177)</w:t>
            </w: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Merger and PIPE financing, net of transaction costs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15,874</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Payment of deferred offering costs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(4,531)</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Proceeds from convertible notes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11,500</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11,343</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(5,262)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3,832</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45,226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7,045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44,967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7,045</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45,226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7,045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disclosures:</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non-cash disclosures: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Property and equipment acquired in accounts payable and accrued expenses and other current liabilities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Capitalized deferred offering costs included in accounts payable and accrued expenses and other current liabilities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warrants with convertible notes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Conversion of convertible notes to common stock</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314,334</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exercise of warrants for common stock</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75,056</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warrants for professional services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common stock for shareholder note receivable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8,754</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Blaize Holdings, Inc. (together with its subsidiaries, the “Company,” “Blaize,” “we,” “our,” “us,” or the “registrant,”) is headquartered in El Dorado Hills, California, and consists of four separate operating entities: Blaize, Inc. (United States of America), Blaize New Computing Technologies India Private Limited (India), Blaize Technologies Philippines, Inc. (Philippines) and Blaize U.K. LTD (England).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Blaize designs and develops low-power, 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March 31, 2025, there has not been an operating agreement executed between the Company and the holder of the 65% interest that would make us the primary beneficiary of this new legal entity. The newly established entity has incurred insignificant expenses since its incorporation.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Nasdaq under the ticker symbols “BZAI” and “BZAIW”, respectively (see Note 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(the “Sponsor”, “BurTech LP”) of BurTech and with the close of the Merger, BurTech LP and its affiliated entities, have remained a significant shareholder in Blaize.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6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March 31, 2025, the Company has funded its operations primarily with cash flows from contributions from founders or other investors and other financing activities. The Company has incurred recurring losses and negative cash flows since its inception, including net losses of $147.8 million and $16.7 million for the three months ended March 31, 2025 and 2024, respectively. As of March 31, 2025, the Company had cash and cash equivalents of approximately $45.0 million, and an accumulated deficit of $577.0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8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2"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cash and cash equivalents balances, inclusive of funds held in escrow, in excess of domestic and international insurance limits of approximately $71.9 million and $49.3 million, respectively.</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 (see Note 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March 31, 2025 and December 31, 2024, restricted cash of $0.3 million was included within other assets on the condensed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Funds Held in Escrow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(see Note 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82"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82"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Merger, Legacy Blaize shareholders and outstanding equity award holders (including stock options and RSUs) are entitled to receive up to 15,000,000 shares of the Company’s Class A common stock (the “Earnout Shares”) (see Note 3). Earnout Shares issued to eligible Legacy Blaize equity holders (including holders of stock options and restricted stock units (“RSUs”)) are considered a compensatory award and are accounted for under ASC 718,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Further these awards have been determined to be equity classified and accordingly will not be remeasured at each reporting date.</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Earnout Shares issued to Burkhan and all other equity holders not within the scope of ASC 718 in connection with consummation of the Merger, were evaluated by management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(see Note 3). The Company determined that the Earnout Shares are freestanding and not liability classified under ASC 480. Subsequently, management evaluated whether the Earnout Shares represented a derivative instrument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w:t>
      </w:r>
    </w:p>
    <w:p>
      <w:pPr>
        <w:spacing w:after="0" w:line="27" w:lineRule="exact"/>
        <w:rPr>
          <w:sz w:val="20"/>
          <w:szCs w:val="20"/>
          <w:color w:val="auto"/>
        </w:rPr>
      </w:pPr>
    </w:p>
    <w:p>
      <w:pPr>
        <w:ind w:left="120" w:hanging="4"/>
        <w:spacing w:after="0" w:line="252" w:lineRule="auto"/>
        <w:tabs>
          <w:tab w:leader="none" w:pos="43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Shadow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which were converted into shares of common stock were retroactively adjusted using the exchange ratio and reclassified into permanent equity as a result of the Merger.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82"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common stock subject to possible redemption in accordance with the guidance in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Certain common stock is held in escrow pursuant to Non-Redemption Agreements and feature certain redemption rights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outside of the Company’s control and within the control of the holders (see Note 3). Accordingly, as of March 31, 2025, 2,854,242 shares of common stock are subject to possible redemption, and have been presented at redemption value as temporary equity, outside of the stockholders’ equity (deficit) section of the condensed consolidated balance sheet.</w:t>
      </w:r>
    </w:p>
    <w:p>
      <w:pPr>
        <w:spacing w:after="0" w:line="18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82"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82"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2"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(see Note 13). The Company did not record any stock-based compensation expense associated with the RSUs during the three months ended March 31, 2024, as a liquidity event had not occurred during that period.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w:t>
      </w:r>
    </w:p>
    <w:p>
      <w:pPr>
        <w:sectPr>
          <w:pgSz w:w="11900" w:h="16838" w:orient="portrait"/>
          <w:cols w:equalWidth="0" w:num="1">
            <w:col w:w="11140"/>
          </w:cols>
          <w:pgMar w:left="320" w:top="482" w:right="439" w:bottom="1440" w:gutter="0" w:footer="0" w:header="0"/>
        </w:sect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Level</w:t>
      </w:r>
      <w:r>
        <w:rPr>
          <w:rFonts w:ascii="Times New Roman" w:cs="Times New Roman" w:eastAsia="Times New Roman" w:hAnsi="Times New Roman"/>
          <w:sz w:val="17"/>
          <w:szCs w:val="17"/>
          <w:color w:val="auto"/>
        </w:rPr>
        <w:t> 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52" w:lineRule="exact"/>
        <w:rPr>
          <w:sz w:val="20"/>
          <w:szCs w:val="20"/>
          <w:color w:val="auto"/>
        </w:rPr>
      </w:pPr>
    </w:p>
    <w:p>
      <w:pPr>
        <w:sectPr>
          <w:pgSz w:w="11900" w:h="16838" w:orient="portrait"/>
          <w:cols w:equalWidth="0" w:num="2">
            <w:col w:w="680" w:space="320"/>
            <w:col w:w="1014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66" w:lineRule="exact"/>
        <w:rPr>
          <w:sz w:val="20"/>
          <w:szCs w:val="20"/>
          <w:color w:val="auto"/>
        </w:rPr>
      </w:pPr>
    </w:p>
    <w:p>
      <w:pPr>
        <w:sectPr>
          <w:pgSz w:w="11900" w:h="16838" w:orient="portrait"/>
          <w:cols w:equalWidth="0" w:num="2">
            <w:col w:w="700" w:space="300"/>
            <w:col w:w="1014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76" w:lineRule="exact"/>
        <w:rPr>
          <w:sz w:val="20"/>
          <w:szCs w:val="20"/>
          <w:color w:val="auto"/>
        </w:rPr>
      </w:pPr>
    </w:p>
    <w:p>
      <w:pPr>
        <w:sectPr>
          <w:pgSz w:w="11900" w:h="16838" w:orient="portrait"/>
          <w:cols w:equalWidth="0" w:num="2">
            <w:col w:w="700" w:space="300"/>
            <w:col w:w="10140"/>
          </w:cols>
          <w:pgMar w:left="320" w:top="482" w:right="439" w:bottom="1440" w:gutter="0" w:footer="0" w:header="0"/>
          <w:type w:val="continuous"/>
        </w:sect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82" w:right="4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average exchange rates in effect during each reporting period. The resulting transaction gains or losses are recognized in other income (expense), net, in the condensed consolidated statements of operations. During the three months ended March 31, 2025 and 2024, foreign currency transaction gains and losses were immaterial.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manages its accounts receivable credit risk through ongoing credit evaluation of its customers’ financial conditions.</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one customer accounted for approximately 95% of the Company’s accounts receivable. As of December 31, 2024, one customer accounted for approximately 98% of the Company’s accounts receivable.</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three months ended March 31, 2025, one customer accounted for approximately 95% of the Company’s revenue. For the three months ended March 31, 2024, two customers, both related parties, accounted for approximately 61% and 39% of the Company’s revenue (see Note 15).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 class method requires income (loss) available to common stockholders for the period to be allocated between common and participating securities based upon their respective rights to shares in undistributed earnings as if all income (loss) for the period had been distributed.</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net loss per share was also retroactively adjusted for periods ended prior to the Merger.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82"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the condensed consolidated financial statements.</w:t>
      </w:r>
    </w:p>
    <w:p>
      <w:pPr>
        <w:spacing w:after="0" w:line="180"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The Company is currently evaluating the impact that the adoption of this ASU will have on the condensed consolidated financial statements.</w:t>
      </w:r>
    </w:p>
    <w:p>
      <w:pPr>
        <w:spacing w:after="0" w:line="17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w:t>
      </w:r>
    </w:p>
    <w:p>
      <w:pPr>
        <w:spacing w:after="0" w:line="184"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82"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176"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82"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March 31, 2025.</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three months ended March 31, 2025:</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 PIPE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15,295</w:t>
            </w:r>
          </w:p>
        </w:tc>
      </w:tr>
      <w:tr>
        <w:trPr>
          <w:trHeight w:val="223"/>
        </w:trPr>
        <w:tc>
          <w:tcPr>
            <w:tcW w:w="20" w:type="dxa"/>
            <w:vAlign w:val="bottom"/>
          </w:tcPr>
          <w:p>
            <w:pPr>
              <w:spacing w:after="0"/>
              <w:rPr>
                <w:sz w:val="19"/>
                <w:szCs w:val="19"/>
                <w:color w:val="auto"/>
              </w:rPr>
            </w:pPr>
          </w:p>
        </w:tc>
        <w:tc>
          <w:tcPr>
            <w:tcW w:w="6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r>
      <w:tr>
        <w:trPr>
          <w:trHeight w:val="22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Sponsor forfeiture</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BurTech Class A common stock subject to redemption, outstanding prior to</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9,879,452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PIPE shares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11,408,957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Legacy Blaize shares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98,818,874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560"/>
              <w:spacing w:after="0"/>
              <w:rPr>
                <w:sz w:val="20"/>
                <w:szCs w:val="20"/>
                <w:color w:val="auto"/>
              </w:rPr>
            </w:pPr>
            <w:r>
              <w:rPr>
                <w:rFonts w:ascii="Times New Roman" w:cs="Times New Roman" w:eastAsia="Times New Roman" w:hAnsi="Times New Roman"/>
                <w:sz w:val="18"/>
                <w:szCs w:val="18"/>
                <w:color w:val="auto"/>
              </w:rPr>
              <w:t>F-19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5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Legacy Blaize</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Legacy Blaize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After</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4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44,506,781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34,712,525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40,302,382</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31,433,259</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exercise of warrants</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9,623,432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7,505,657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111,951,386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87,314,968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w:t>
      </w:r>
    </w:p>
    <w:p>
      <w:pPr>
        <w:spacing w:after="0" w:line="85"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$12.50 per share, 3,750,000 Earnout Shares will be issued;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$15.00 per share, an additional 3,750,000 Earnout Shares will be issued;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$17.50 per share, an additional 3,750,000 Earnout Shares will be issued;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$20.00 per share, an additional 3,750,000 Earnout Shares will be issued</w:t>
      </w:r>
    </w:p>
    <w:p>
      <w:pPr>
        <w:spacing w:after="0" w:line="11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estimated fair value of the Earnout Shares subject to ASC 718 was $82.9 million, assuming the service conditions were met and assuming no forfeitures. The vested amounts of $3.5 million for the three months ended March 31, 2025 were recorded as stock-based compensation expense as it was probable the market condition would be met. There were 37,090 shares forfeited during the three months ended March 31, 2025, which have been reallocated to the remaining employees. The reallocated shares are considered a forfeiture of the original award and grant of a new award. The new awards have been remeasured upon grant and have an estimated fair value of $33 thousand.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w:t>
      </w:r>
    </w:p>
    <w:p>
      <w:pPr>
        <w:spacing w:after="0" w:line="18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Additionally, Burkhan has the right to receive up to an aggregate amount of 2,600,000 shares of Blaize Class A Common Stock, 650,000 following the occurrence of each triggering event stated above (the “Burkhan Earnout Shares”). The fair value of the Burkhan Earnout Shares are also valued using the Monte Carlo simulation model.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82"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72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320" w:type="dxa"/>
            <w:vAlign w:val="bottom"/>
            <w:gridSpan w:val="6"/>
          </w:tcPr>
          <w:p>
            <w:pPr>
              <w:ind w:left="2580"/>
              <w:spacing w:after="0"/>
              <w:rPr>
                <w:sz w:val="20"/>
                <w:szCs w:val="20"/>
                <w:color w:val="auto"/>
              </w:rPr>
            </w:pPr>
            <w:r>
              <w:rPr>
                <w:rFonts w:ascii="Times New Roman" w:cs="Times New Roman" w:eastAsia="Times New Roman" w:hAnsi="Times New Roman"/>
                <w:sz w:val="18"/>
                <w:szCs w:val="18"/>
                <w:color w:val="auto"/>
              </w:rPr>
              <w:t>$30,883</w:t>
            </w:r>
          </w:p>
        </w:tc>
        <w:tc>
          <w:tcPr>
            <w:tcW w:w="2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320" w:type="dxa"/>
            <w:vAlign w:val="bottom"/>
            <w:gridSpan w:val="6"/>
            <w:shd w:val="clear" w:color="auto" w:fill="CCEEFF"/>
          </w:tcPr>
          <w:p>
            <w:pPr>
              <w:ind w:left="25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41,339</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41,339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720" w:type="dxa"/>
            <w:vAlign w:val="bottom"/>
            <w:gridSpan w:val="3"/>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118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gridSpan w:val="5"/>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5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7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18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color w:val="auto"/>
                <w:w w:val="99"/>
              </w:rPr>
              <w:t>$30,580</w:t>
            </w:r>
          </w:p>
        </w:tc>
        <w:tc>
          <w:tcPr>
            <w:tcW w:w="14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3180" w:type="dxa"/>
            <w:vAlign w:val="bottom"/>
            <w:gridSpan w:val="5"/>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9,247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2400" w:type="dxa"/>
            <w:vAlign w:val="bottom"/>
          </w:tcPr>
          <w:p>
            <w:pPr>
              <w:spacing w:after="0"/>
              <w:rPr>
                <w:sz w:val="18"/>
                <w:szCs w:val="18"/>
                <w:color w:val="auto"/>
              </w:rPr>
            </w:pP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5,067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180" w:type="dxa"/>
            <w:vAlign w:val="bottom"/>
            <w:gridSpan w:val="5"/>
            <w:shd w:val="clear" w:color="auto" w:fill="CCEEFF"/>
          </w:tcPr>
          <w:p>
            <w:pPr>
              <w:jc w:val="center"/>
              <w:ind w:left="211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44,894</w:t>
            </w: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 </w:t>
            </w:r>
          </w:p>
        </w:tc>
        <w:tc>
          <w:tcPr>
            <w:tcW w:w="11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xml:space="preserve">$ —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44,894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F-21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82" w:right="6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44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9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convertible notes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132,687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163,340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163,340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Level 3 instruments consisted of earnout share liabilities. The Company has elected to apply the fair value option to measure all historical convertible notes and warrant liabilities (see Notes 8 and 9) and current earnout shares due to the nature of their embedded features.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the fair values of the Level 3 liabilities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vMerge w:val="continue"/>
          </w:tcPr>
          <w:p>
            <w:pPr>
              <w:spacing w:after="0"/>
              <w:rPr>
                <w:sz w:val="15"/>
                <w:szCs w:val="15"/>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$ 14,711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$ 163,340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earnout share awards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126,025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138,471</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(116,518)</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109,530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(271,158)</w:t>
            </w:r>
          </w:p>
        </w:tc>
        <w:tc>
          <w:tcPr>
            <w:tcW w:w="8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(75,056)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(389,388)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5"/>
                <w:szCs w:val="15"/>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  3,730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10,591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  33,398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56,101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outstanding as of December 31, 2024 were classified within level 3 of the fair value hierarchy because there was no active market for the liabilities or similar instruments.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months ended March 31, 2025 or 2024.</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all then outstanding convertible notes and warrant liabilities were converted into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 provision for income taxes of $0.2 million, which represented an effective tax rate of (0.1)% and (1.4)%, respectively. The effective income tax rates for both the three months ended March 31, 2025 and 2024 are different from the U.S. federal statutory rate of 21.0% due to the valuation allowance.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82"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stock remain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188"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0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82"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financing of up to $125.0 million (the “Blaize Note Financing Agreement”). Under this separate agreement, the RT Parties and their transferees or distributes were not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15) which vested in full in the year ended December 31, 2023.</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March 31, 2025 and December 31, 2024, the Company had outstanding Working Capital Loans of $1.5 million and zero,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of January 13, 2025, BurTech LP provided working capital and extension deposits on behalf of the BurTech. These amounts are reflected on the condensed consolidated balance sheets as advances from related party. The advances are non-interest bearing and payable on demand. As of March 31, 2025 and December 31, 2024, the Company had outstanding advances from the related party in the amount of $2.9 million and zero,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issued convertible preferred stock warrants to purchase shares of its various series of convertible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180"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are indexed to the shares of Company’s common stock, and therefore were reclassified from debt classified instruments to equity classified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Publicly and Privately Traded Warrants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of Blaize.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82"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were will not be transferable, assignable or saleable until 30 days after the consummation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months ended March 31, 2025 was approximately $12 thousand.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6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0" w:type="dxa"/>
            <w:vAlign w:val="bottom"/>
            <w:tcBorders>
              <w:bottom w:val="single" w:sz="8" w:color="CCEEFF"/>
            </w:tcBorders>
          </w:tcPr>
          <w:p>
            <w:pPr>
              <w:spacing w:after="0"/>
              <w:rPr>
                <w:sz w:val="15"/>
                <w:szCs w:val="15"/>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8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condensed consolidated statements of operations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operating leases had a weighted average remaining lease term of 3.1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82"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246"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r>
      <w:tr>
        <w:trPr>
          <w:trHeight w:val="209"/>
        </w:trPr>
        <w:tc>
          <w:tcPr>
            <w:tcW w:w="6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 non-current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 Prior to the Merger</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there were 600,000,000 and 136,562,809 shares of common stock authorized, respectively, and 98,818,874 and 48,376,052 shares issued and outstanding, respectively.</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0960"/>
          </w:cols>
          <w:pgMar w:left="320" w:top="482" w:right="6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is as follow: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4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20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warrants</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898,250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warrants</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Earnout shares</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2,854,242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Incentive stock options and restricted stock units</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29,192,959</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31,991,752</w:t>
            </w:r>
          </w:p>
        </w:tc>
      </w:tr>
      <w:tr>
        <w:trPr>
          <w:trHeight w:val="22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awards available for future issuance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7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1,736,686</w:t>
            </w:r>
          </w:p>
        </w:tc>
        <w:tc>
          <w:tcPr>
            <w:tcW w:w="4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61,769,393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33,728,438</w:t>
            </w:r>
          </w:p>
        </w:tc>
      </w:tr>
      <w:tr>
        <w:trPr>
          <w:trHeight w:val="20"/>
        </w:trPr>
        <w:tc>
          <w:tcPr>
            <w:tcW w:w="5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5,065</w:t>
            </w: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non-qualified stock options), stock appreciation rights, restricted stock, RSUs and other stock or cash based awards to employees and consultants of the Company and its subsidiaries and members of the board of directors of the Company.</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w:t>
      </w:r>
    </w:p>
    <w:p>
      <w:pPr>
        <w:spacing w:after="0" w:line="180"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00"/>
          </w:cols>
          <w:pgMar w:left="320" w:top="482" w:right="5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176"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no equity awards have been granted under the 2025 Incentive Plan and 25,397,242 shares of common stock were reserved for issuance under the plan.</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Following the effectiveness of the 2025 Incentive Plan, the Company ceased making grants under the 2011 Equity Incentive Plan (the “2011Amended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stock option activity under the 2011 Amended Plan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9.2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(318,400)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1.18</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28,042,235</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28,042,235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8,472,388</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$19.0 million of total unrecognized compensation cost related to unvested stock options, which is expected to be recognized over a weighted average period of 2.3 years.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82" w:right="5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three months ended March 31,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7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9"/>
              </w:rPr>
              <w:t>RSUs Awarded</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(2,464,171)</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(15,552)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March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1,150,724</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condition was only satisfied on the consummation of a liquidity event, such as an IPO, which was not determinable or probable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Effective with the consummation of the Merger, we recognized $3.9 million in stock-based compensation expense associated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vesting of the outstanding RSUs (see Note 3).</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 2,464,171 common stock shares that are subject to the release of the vested RSU have not been issued holders but have been included in the weighted average shares outstanding calculation for purposes of earning per share (see Note 17).</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$1.0 million of total unrecognized compensation cost related to unvested RSUs, which is expected to be recognized over a weighted average period of 0.8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January 2025, the Company’s board of directors adopted the 2025 Employee Stock Purchase Plan (the “2025 ESPP”) that became effective upon the date of the de-SPAC 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3,047,669 shares of common stock were reserved for issuance pursuant to the 2025 ESPP. As of March 31, 2025, no offers have been made to purchase shares of the Company’s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outstanding purchase orders and contractual obligations totaling $0.3 million to procure inventory. The majority of the Company’s outstanding inventory purchase orders and preauthorized commitments to procure strategic components based on expected demand are placed with its primary third-party contract manufacturer and a semiconductor supplier.</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the contract manufacturer when components have not been consumed within a period defined in the terms of our agreement. During the three months ended March 31, 2025 and 2024, the Company purchased inventories of $0.1 million and $3.3 million, respectively, due to this obligation.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March 31, 2025 and December 31, 2024, the liability balance of our accrued losses on purchase commitments equaled $0.6 million on the condensed consolidated balance sheets.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w:t>
      </w:r>
    </w:p>
    <w:p>
      <w:pPr>
        <w:spacing w:after="0" w:line="14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March 31,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82"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payment was due upon the close of the Merger (see Note 3). Under the terms of the agreement, at the Company’s discretion, the advisory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$0.8 million is to be paid in the form of (i) cash and (ii) cash or a combination of cash and shares of common stock of common stock at a price of $10.00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at various dates in 2025. The finder’s fee, equal to a specified percentage of the trust value of our shares held by investors introduced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advisor, is to be paid fifty percent in cash and fifty percent in shares of common stock at a price of $10.00 per share, concurrent with the close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The Company recognized $0.6 million associated with the contract as deferred offering costs and accrued liabilities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On the earlier of the date that is six months from the date of the Merger and the date that a Registration Statement filed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registering the resale of the closing shares is declared effective (the “Reset Date”), if the five day volume weighted average price of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five trading days immediately preceding the Reset Date (such price, the “Reset Price”) is less than $10.00 per share (subject to a $1.00 per share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floor), within two days we shall issue an additional number of common shares equal to the number obtained by dividing (i) the product of the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held as of the Reset Date and $10.00 by (ii) the Reset Price, less the number of sharing shares held, provided that the additional shares shall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exceed 300,000.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no revenue from sales to minority stockholders. During the three months ended March 31, 2024, the Company recognized revenues of approximately $0.5 million, or approximately 100% of its total revenue, from sales to two minority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and December 31, 2024, there was no accounts receivable due from these customers.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months ended March 31, 2025 and 2024, the changes in fair value for the respective 2023 Convertible Note were</w:t>
      </w:r>
    </w:p>
    <w:p>
      <w:pPr>
        <w:spacing w:after="0" w:line="1"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$6.0 million and $0.9 million, respectively (see Note 5). During the three months ended March 31, 2025 and 2024, the changes in fair value for the respective 2023 Convertible Note Warrants were $1.2 million and less than $0.1 million, respectively (see Note 5).</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82"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January 2023, one of the minority investors with which we had a prior revenue arrangement, with no revenue in the three months ended March 31, 2025 and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months ended March 31, 2025 and 2024, the change in fair value for the respective P2P Note was $7.2 million and less than</w:t>
      </w:r>
    </w:p>
    <w:p>
      <w:pPr>
        <w:spacing w:after="0" w:line="3" w:lineRule="exact"/>
        <w:rPr>
          <w:sz w:val="20"/>
          <w:szCs w:val="20"/>
          <w:color w:val="auto"/>
        </w:rPr>
      </w:pP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$0.1 million, respectively (see Note 5). During the three months ended March 31, 2025 and 2024, the change in fair value for the respective P2P Warrants was $3.3 million and $0.5 million, respectively (see Note 5).</w:t>
      </w:r>
    </w:p>
    <w:p>
      <w:pPr>
        <w:spacing w:after="0" w:line="18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we had a prior revenue arrangement, representing approximately 0% and approximately 100% of total revenues for the three months ended March 31, 2025 and 2024, and 0% and 98% of accounts receivable as of March 31, 2025 and December 31, 2024, respectively,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months ended March 31, 2025, the changes in fair value for this set of P2P Note and P2P Note Warrants was $0.8 million and $0.2 million, respectively (see Note 5). During the three months ended March 31, 2024, the change in fair value for this set of P2P Note and P2P Note Warrants was immaterial (see Note 5).</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March 31, 2025, payment in the note had not yet been received.</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incurred $0.2 million and zero, respectively, of marketing expenses paid to a company owned by a direct family member of one of our minority stockholders and board of directors.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the Company has amounts due for a Working Capital Loan and advances from a related party (see Note 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82"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focusing primarily on revenue, costs and expenses, and net loss from the consolidated statements of operations to make decisions regarding the allocation of resources and assessment of performance.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determined that net loss and earnings before interest, tax, depreciation and amortization (“EBITDA”) adjusted for irregular or non-recurring items (“Adjusted EBITDA”) are the profit or loss measures that the CODM uses to make resource allocation decisions and evaluate segment performance. Adjusted EBITDA assists management in comparing the performance on a consistent basis for purposes of business decision-making by removing the impact of certain items that management believes do not directly reflect our core operations and, therefore, are not included in measuring performance. The Company defines Adjusted EBITDA as net loss before interest, taxes, depreciation and amortization, certain non-cash items and other adjustments that we do not consider in our evaluation of ongoing operating performance from period to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costs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(109,530)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segment items (a)</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(147,761)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(16,743)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60" w:hanging="424"/>
        <w:spacing w:after="0" w:line="28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marketing expense, professional fees, income tax expense, facilities costs, foreign currency exchange gains and losses, credit loss expense, and other overhead expenses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reflects our Adjusted EBITDA:</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(147,761)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(16,743)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non-recurring expenses (a)</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66"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but not limited to, legal, accounting and consulting fees incurred in connection with the Merger. These costs are non-recurring and are not reflective of our ongoing operating performance. Management believes that excluding these costs provides a more meaningful comparison of our performance to prior periods.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320" w:top="482" w:right="5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5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8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amounts)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2"/>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(147,761)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(16,743)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6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basic and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6"/>
              </w:rPr>
              <w:t>91,747,685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13,613,270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5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28,042,235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12,819,685</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1,150,724</w:t>
            </w: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3,801,970</w:t>
            </w: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warrants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28,750,000</w:t>
            </w:r>
          </w:p>
        </w:tc>
        <w:tc>
          <w:tcPr>
            <w:tcW w:w="3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warrants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898,250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58,891,209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16,621,655</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Employee Benefit Plan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in the US meeting certain age and service requirements. The Company makes discretionary contributions to the 401(k) plan. The Company operates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82"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defined contribution pension scheme in the UK for employees and makes employer contributions to this scheme on behalf of those employees. The Company recorded $0.2 million and $0.1 million in contributions to both plans during the three months ended March 31, 2025 and 2024,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March 31, 2025 and December 31, 2024, the related liability is included within accrued compensation on the condensed consolidated balance sheets.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April 11, 2025, the Company entered into an advisory agreement for future services. The terms of the agreement require a non-refundable advisory fee of $2.0 million paid upon execution of the contract in the form of 769,231 shares of common stock (the “Fee Shares”). The Fee Shares are subject to a one-year lock up provision (the “Lock-Up Period”) which expires the earlier of one year from the date of the agreement or the date of a change of control as defined in the agreement. Prior to the expiration of the lock-up period, the advisor may sell the common stock shares back to us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 Inc. and Subsidiaries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 UHY LLP</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11, 2025</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82"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6,522</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2,836</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80,516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Demand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4,750</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14,925</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7,464</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148,629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14,641</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188,143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47,876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3,730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18,064</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December 31, 2024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 44,494,703 shares issued and outstanding at December 31, 2024 and 2023, respectively;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of $173,347 as of December 31, 2024 and 2023, respectively</w:t>
            </w:r>
          </w:p>
        </w:tc>
        <w:tc>
          <w:tcPr>
            <w:tcW w:w="1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173,347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173,347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2024 and 2023, respectively;</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17,519,999 and 17,454,353 shares issued and outstanding as of December 31, 2024 and 2023, respectively</w:t>
            </w:r>
          </w:p>
        </w:tc>
        <w:tc>
          <w:tcPr>
            <w:tcW w:w="100" w:type="dxa"/>
            <w:vAlign w:val="bottom"/>
          </w:tcPr>
          <w:p>
            <w:pPr>
              <w:spacing w:after="0"/>
              <w:rPr>
                <w:sz w:val="20"/>
                <w:szCs w:val="20"/>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124,225 shares at December 31, 2024 and 2023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141,496</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(429,251)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(368,056)</w:t>
            </w: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(283,810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(226,560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80,516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0"/>
        </w:trPr>
        <w:tc>
          <w:tcPr>
            <w:tcW w:w="8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82"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2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17,303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17,476,105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4,213,244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400" w:type="dxa"/>
            <w:vAlign w:val="bottom"/>
          </w:tcPr>
          <w:p>
            <w:pPr>
              <w:spacing w:after="0"/>
              <w:rPr>
                <w:sz w:val="3"/>
                <w:szCs w:val="3"/>
                <w:color w:val="auto"/>
              </w:rPr>
            </w:pPr>
          </w:p>
        </w:tc>
        <w:tc>
          <w:tcPr>
            <w:tcW w:w="144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3"/>
                <w:szCs w:val="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400" w:type="dxa"/>
            <w:vAlign w:val="bottom"/>
          </w:tcPr>
          <w:p>
            <w:pPr>
              <w:spacing w:after="0"/>
              <w:rPr>
                <w:sz w:val="10"/>
                <w:szCs w:val="10"/>
                <w:color w:val="auto"/>
              </w:rPr>
            </w:pPr>
          </w:p>
        </w:tc>
        <w:tc>
          <w:tcPr>
            <w:tcW w:w="1440" w:type="dxa"/>
            <w:vAlign w:val="bottom"/>
            <w:gridSpan w:val="6"/>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44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2"/>
                <w:szCs w:val="12"/>
                <w:color w:val="auto"/>
              </w:rPr>
            </w:pPr>
          </w:p>
        </w:tc>
        <w:tc>
          <w:tcPr>
            <w:tcW w:w="11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6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2023</w:t>
            </w:r>
          </w:p>
        </w:tc>
        <w:tc>
          <w:tcPr>
            <w:tcW w:w="68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8"/>
              </w:rPr>
              <w:t>16,498,279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64,020</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6,143,294</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6"/>
              </w:rPr>
              <w:t>124,225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209,928</w:t>
            </w:r>
          </w:p>
        </w:tc>
        <w:tc>
          <w:tcPr>
            <w:tcW w:w="220" w:type="dxa"/>
            <w:vAlign w:val="bottom"/>
            <w:tcBorders>
              <w:top w:val="single" w:sz="8" w:color="CCEEFF"/>
            </w:tcBorders>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(280,467)</w:t>
            </w: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(70,539)</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Shadow Preferred in Pay-to-Play Pull</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Through Exchange at redemption value</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27,996,424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(2,799,634)</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common stock in common rights offering</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8,109,693</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release of restricted</w:t>
            </w: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6,000,000</w:t>
            </w:r>
          </w:p>
        </w:tc>
        <w:tc>
          <w:tcPr>
            <w:tcW w:w="3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Debt financing charge on convertible notes</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44,494,703</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173,347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17,454,353</w:t>
            </w: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124,225</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141,496</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(368,056)</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(226,560)</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65,646</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44,494,703</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173,347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17,519,999</w:t>
            </w: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78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124,225</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145,441</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(429,251)</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(283,810)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8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35,832</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Debt financing charge on convertible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3,145</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10,022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9,532</w:t>
            </w:r>
          </w:p>
        </w:tc>
        <w:tc>
          <w:tcPr>
            <w:tcW w:w="0" w:type="dxa"/>
            <w:vAlign w:val="bottom"/>
          </w:tcPr>
          <w:p>
            <w:pPr>
              <w:spacing w:after="0"/>
              <w:rPr>
                <w:sz w:val="1"/>
                <w:szCs w:val="1"/>
                <w:color w:val="auto"/>
              </w:rPr>
            </w:pPr>
          </w:p>
        </w:tc>
      </w:tr>
      <w:tr>
        <w:trPr>
          <w:trHeight w:val="149"/>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5,701</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Loss on purchase commitments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loss on lease termination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 related party</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49"/>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(2,186)</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(21,630)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10,988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2,108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(2,985)</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(3,022)</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8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(53,532)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(27,955)</w:t>
            </w:r>
          </w:p>
        </w:tc>
        <w:tc>
          <w:tcPr>
            <w:tcW w:w="0" w:type="dxa"/>
            <w:vAlign w:val="bottom"/>
          </w:tcPr>
          <w:p>
            <w:pPr>
              <w:spacing w:after="0"/>
              <w:rPr>
                <w:sz w:val="1"/>
                <w:szCs w:val="1"/>
                <w:color w:val="auto"/>
              </w:rPr>
            </w:pPr>
          </w:p>
        </w:tc>
      </w:tr>
      <w:tr>
        <w:trPr>
          <w:trHeight w:val="155"/>
        </w:trPr>
        <w:tc>
          <w:tcPr>
            <w:tcW w:w="7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3"/>
        </w:trPr>
        <w:tc>
          <w:tcPr>
            <w:tcW w:w="7380" w:type="dxa"/>
            <w:vAlign w:val="bottom"/>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0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(902)</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deferred offering costs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Pay-to-Play convertible notes and Common Rights Offering</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9,425</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convertible notes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110,718</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12,300</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short term demand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4,925</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short term demand notes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3"/>
        </w:trPr>
        <w:tc>
          <w:tcPr>
            <w:tcW w:w="7380" w:type="dxa"/>
            <w:vAlign w:val="bottom"/>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101,709</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26,475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47,275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4,913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8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50,237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8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taxes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Shadow Preferred in Pay-to-Play Pull Through Exchange at redemption value</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 obtained in exchange for new operating lease liabilities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acquired in accounts payable &amp; accrued expenses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and lease liabilities extinguished upon termination of lease, net of gain</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warrants with convertible notes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4,816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Capitalized deferred offering costs included in accounting payable and accrued liabilities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6,764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82"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As of December 31, 2024, there has not been an operating agreement executed between the Company and the holder of the 65% interest that would make the Company the primary beneficiary of this new legal entity. The newly established entity has incurred insignificant expenses since its incorporation.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w:t>
      </w:r>
    </w:p>
    <w:p>
      <w:pPr>
        <w:spacing w:after="0" w:line="17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(“Blaize Holdings”). Beginning on January 14, 2025, Blaize Holdings’ common stock and warrants trade on NASDAQ under the ticker symbols “BZAI” and “BZAIW”, respectively.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of BurTech (the “Sponsor”) and with the close of the Merger either BurTech LP LLC or its affiliated entities, has remained a significant shareholder in Blaize Holdings.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equity exchange and other financing-related matters associated with the Merger are summarized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Promissory Notes and Equity</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Immediately before the closing of the Merger, the convertible notes outstanding plus all accrued and unpaid interest, each of the issued and outstanding shares of redeemable convertible preferred stock, and all outstanding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82"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warrants, net exercised, were automatically converted into shares of the Company’s common stock. Upon the consummation of the Merger, each share of the Company’s common stock issued and outstanding were canceled and converted into the right to receive shares of Blaize Holdings Class A common stock and each share of Merger Sub Capital Stock was converted into one share of Blaize Holdings Class A common stock, par value $0.0001.</w:t>
      </w:r>
    </w:p>
    <w:p>
      <w:pPr>
        <w:spacing w:after="0" w:line="158"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 (ii) 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Concurrent with the Closing Date, holders of the Company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85" w:lineRule="exact"/>
        <w:rPr>
          <w:sz w:val="20"/>
          <w:szCs w:val="20"/>
          <w:color w:val="auto"/>
        </w:rPr>
      </w:pPr>
    </w:p>
    <w:p>
      <w:pPr>
        <w:ind w:left="1080" w:hanging="424"/>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w:t>
      </w:r>
    </w:p>
    <w:p>
      <w:pPr>
        <w:ind w:left="1440" w:hanging="352"/>
        <w:spacing w:after="0"/>
        <w:tabs>
          <w:tab w:leader="none" w:pos="14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w:t>
      </w:r>
    </w:p>
    <w:p>
      <w:pPr>
        <w:ind w:left="1440" w:hanging="352"/>
        <w:spacing w:after="0"/>
        <w:tabs>
          <w:tab w:leader="none" w:pos="14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w:t>
      </w:r>
    </w:p>
    <w:p>
      <w:pPr>
        <w:ind w:left="1440" w:hanging="352"/>
        <w:spacing w:after="0"/>
        <w:tabs>
          <w:tab w:leader="none" w:pos="14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w:t>
      </w:r>
    </w:p>
    <w:p>
      <w:pPr>
        <w:ind w:left="1440" w:hanging="352"/>
        <w:spacing w:after="0"/>
        <w:tabs>
          <w:tab w:leader="none" w:pos="14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82"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Merger: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Blaize Warrants</w:t>
      </w:r>
    </w:p>
    <w:p>
      <w:pPr>
        <w:spacing w:after="0" w:line="121" w:lineRule="exact"/>
        <w:rPr>
          <w:sz w:val="20"/>
          <w:szCs w:val="20"/>
          <w:color w:val="auto"/>
        </w:rPr>
      </w:pPr>
    </w:p>
    <w:p>
      <w:pPr>
        <w:ind w:left="560" w:right="840"/>
        <w:spacing w:after="0" w:line="282" w:lineRule="auto"/>
        <w:rPr>
          <w:sz w:val="20"/>
          <w:szCs w:val="20"/>
          <w:color w:val="auto"/>
        </w:rPr>
      </w:pPr>
      <w:r>
        <w:rPr>
          <w:rFonts w:ascii="Times New Roman" w:cs="Times New Roman" w:eastAsia="Times New Roman" w:hAnsi="Times New Roman"/>
          <w:sz w:val="18"/>
          <w:szCs w:val="18"/>
          <w:color w:val="auto"/>
        </w:rPr>
        <w:t>On January 13, 2025, upon closing of the Merger, 28,750,000 of public warrants and 898,250 of private warrants of BurTech that were outstanding immediately before to the Merger became warrants of Blaize Holdings.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 Note</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w:t>
      </w:r>
    </w:p>
    <w:p>
      <w:pPr>
        <w:spacing w:after="0" w:line="121" w:lineRule="exact"/>
        <w:rPr>
          <w:sz w:val="20"/>
          <w:szCs w:val="20"/>
          <w:color w:val="auto"/>
        </w:rPr>
      </w:pPr>
    </w:p>
    <w:p>
      <w:pPr>
        <w:ind w:left="560" w:right="140"/>
        <w:spacing w:after="0" w:line="256" w:lineRule="auto"/>
        <w:rPr>
          <w:sz w:val="20"/>
          <w:szCs w:val="20"/>
          <w:color w:val="auto"/>
        </w:rPr>
      </w:pPr>
      <w:r>
        <w:rPr>
          <w:rFonts w:ascii="Times New Roman" w:cs="Times New Roman" w:eastAsia="Times New Roman" w:hAnsi="Times New Roman"/>
          <w:sz w:val="18"/>
          <w:szCs w:val="18"/>
          <w:color w:val="auto"/>
        </w:rPr>
        <w:t>On and around December 31, 2024, BurTech entered into an agreement (“Non-Redemption Agreement”) with one or more unaffiliated stockholders of BurTech (each, an “Investor”) who agreed not to redeem (or validly rescind any redemption requests on) their shares of BurTech Class A common stock, par value $0.0001 per share of BurTech (“Non-Redeemed Shares”). In exchange for the foregoing commitments not to redeem the Non-Redeemed Shares, Blaize and BurTech LP LLC have agreed to guarantee that each Investor receives a return of $1.50 per Non-Redeemed Share whether an Investor (i) sells the Non-Redeemed Shares in the open market or (ii) exercises its option to require Blaize Holdings to repurchase the Non-Redeemed Shares in accordance with the Non-Redemption Agreement.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00"/>
          </w:cols>
          <w:pgMar w:left="320" w:top="482"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At the Closing Date, Blaize Holdings entered into lock-up agreements (the “Lock-up 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Lock-up 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30-trading day period commencing at least 150 days after the Closing Date and (y) the liquidation of Blaize Holdings.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121"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w:t>
      </w:r>
    </w:p>
    <w:p>
      <w:pPr>
        <w:spacing w:after="0" w:line="81" w:lineRule="exact"/>
        <w:rPr>
          <w:sz w:val="20"/>
          <w:szCs w:val="20"/>
          <w:color w:val="auto"/>
        </w:rPr>
      </w:pPr>
    </w:p>
    <w:p>
      <w:pPr>
        <w:ind w:left="1540" w:right="200" w:hanging="331"/>
        <w:spacing w:after="0" w:line="282" w:lineRule="auto"/>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its operations represent the ongoing operations of the combined entity.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greatest voting interest in the combined entity.</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ability to control decisions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named Blaize Holdings, Inc., i.e. the combined entity has assumed Blaize’s name.</w:t>
      </w:r>
    </w:p>
    <w:p>
      <w:pPr>
        <w:spacing w:after="0" w:line="117"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82"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December 31, 2024, the Company has funded its operations primarily with cash flows from contributions from founders or other investors and other financing activities. The Company has incurred recurring losses and negative cash flows since its inception, including a net loss of $61.2 million and $87.6 million for the years ended December 31, 2024 and 2023, respectively. As of December 31, 2024, the Company had cash and cash equivalents of approximately $50.2 million, a net working capital deficit of $114.5 million, and an accumulated deficit of $429.3 million.</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going concern through a year from the date these consolidated financial statements are available to be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82"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recoverability of long-lived assets, amortization method and periods for capitalized software, and the estimated fair value of convertible notes, warrant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cash and cash equivalents balances in excess of domestic and international insurance limits of approximately $49.3 million and $2.2 million, respectively.</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held $30.6 million in U.S. Government treasury securities, $9.2 million in a U.S. Government money market fund, and $5.1 million in mutual funds (see Note 4). As of December 31, 2023, the Company had no cash equivalents.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Restricted cash represents cash balances held as security deposits related to international payment services. As of December 31, 2024, restricted cash of $0.3 million was included within other assets on the consolidated balance sheets. As of December 31, 2023, the Company had no restricted cash.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As of December 31, 2024 and 2023, the Company’s accounts receivable included zero and approximately $0.5 million, respectively, of unbilled accounts receivable (See Note 13).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00"/>
          </w:cols>
          <w:pgMar w:left="320" w:top="482"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following estimated useful lives: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related lease term or useful life</w:t>
            </w:r>
          </w:p>
        </w:tc>
      </w:tr>
    </w:tbl>
    <w:p>
      <w:pPr>
        <w:spacing w:after="0" w:line="19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2024 and 2023, the Company had no finance leases.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82"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feature-by-feature basis and the estimated economic life of a feature is one year. To date, the impact of capitalizing qualifying software development costs has been immaterial.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$11.1 million and $1.5 million, respectively, capitalized deferred offering costs included in prepaid expenses and other current assets on the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2020-06 </w:t>
      </w:r>
      <w:r>
        <w:rPr>
          <w:rFonts w:ascii="Times New Roman" w:cs="Times New Roman" w:eastAsia="Times New Roman" w:hAnsi="Times New Roman"/>
          <w:sz w:val="18"/>
          <w:szCs w:val="18"/>
          <w:i w:val="1"/>
          <w:iCs w:val="1"/>
          <w:color w:val="auto"/>
        </w:rPr>
        <w:t>Debt—Debt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82"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and Contracts in an Entity’s Own Equity </w:t>
      </w:r>
      <w:r>
        <w:rPr>
          <w:rFonts w:ascii="Times New Roman" w:cs="Times New Roman" w:eastAsia="Times New Roman" w:hAnsi="Times New Roman"/>
          <w:sz w:val="18"/>
          <w:szCs w:val="18"/>
          <w:color w:val="auto"/>
        </w:rPr>
        <w:t>(ASU 2020-06). The Company has elected to account for its convertible notes at fair value at each period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are recorded as change in fair value of convertible notes in the consolidated statements of operations.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00"/>
          </w:cols>
          <w:pgMar w:left="320" w:top="482"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2024 and 2023 (in thousands):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$ 1,830</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(1,100)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$ 1,100</w:t>
            </w:r>
          </w:p>
        </w:tc>
        <w:tc>
          <w:tcPr>
            <w:tcW w:w="10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60" w:type="dxa"/>
            <w:vAlign w:val="bottom"/>
          </w:tcPr>
          <w:p>
            <w:pPr>
              <w:spacing w:after="0"/>
              <w:rPr>
                <w:sz w:val="24"/>
                <w:szCs w:val="24"/>
                <w:color w:val="auto"/>
              </w:rPr>
            </w:pPr>
          </w:p>
        </w:tc>
        <w:tc>
          <w:tcPr>
            <w:tcW w:w="3560" w:type="dxa"/>
            <w:vAlign w:val="bottom"/>
            <w:gridSpan w:val="2"/>
          </w:tcPr>
          <w:p>
            <w:pPr>
              <w:jc w:val="right"/>
              <w:ind w:right="2176"/>
              <w:spacing w:after="0"/>
              <w:rPr>
                <w:sz w:val="20"/>
                <w:szCs w:val="20"/>
                <w:color w:val="auto"/>
              </w:rPr>
            </w:pPr>
            <w:r>
              <w:rPr>
                <w:rFonts w:ascii="Times New Roman" w:cs="Times New Roman" w:eastAsia="Times New Roman" w:hAnsi="Times New Roman"/>
                <w:sz w:val="18"/>
                <w:szCs w:val="18"/>
                <w:color w:val="auto"/>
              </w:rPr>
              <w:t>F-52</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 Advertising costs were immaterial for the years ended December 31, 2024 and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w:t>
      </w:r>
    </w:p>
    <w:p>
      <w:pPr>
        <w:spacing w:after="0" w:line="1" w:lineRule="exact"/>
        <w:rPr>
          <w:sz w:val="20"/>
          <w:szCs w:val="20"/>
          <w:color w:val="auto"/>
        </w:rPr>
      </w:pPr>
    </w:p>
    <w:p>
      <w:pPr>
        <w:ind w:left="120" w:right="60" w:hanging="4"/>
        <w:spacing w:after="0" w:line="255" w:lineRule="auto"/>
        <w:tabs>
          <w:tab w:leader="none" w:pos="3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fair value measurements be classified and disclosed in one of the following pricing categories:</w:t>
      </w:r>
    </w:p>
    <w:p>
      <w:pPr>
        <w:spacing w:after="0" w:line="76"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158"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or for which all significant inputs are observable or can be corroborated by observable market data, either directly or indirectly, for substantially the full term of the asset or liability.</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 allowing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82"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recognized in other income (expense), net, in the consolidated statements of operations. During the year ended December 31, 2024, foreign currency transaction losses of $0.2 million was included in other income (expense), net in the consolidated statements of operations. During the year ended December 31, 2023, foreign currency transaction gain was immaterial.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 institution may at times exceed the Federal Depository Insurance coverage of $250,000. Investments in money markets are not insured or guaranteed by the FDIC or any other government agency.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manages its accounts receivable credit risk through ongoing credit evaluation of its customers’ financial conditions.</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the Company’s accounts receivable. As of December 31, 2023, one customer, a related party, accounted for approximately 98% of the Company’s accounts receivable (see Note 13).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two customers, both related parties, accounted for approximately 77% and 21% of the Company’s revenue.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one customer, a related party, accounted for nearly 100% of the Company’s revenue (see Note 13).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82"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3" w:lineRule="exact"/>
        <w:rPr>
          <w:sz w:val="20"/>
          <w:szCs w:val="20"/>
          <w:color w:val="auto"/>
        </w:rPr>
      </w:pPr>
    </w:p>
    <w:p>
      <w:pPr>
        <w:ind w:left="120" w:right="40" w:hanging="4"/>
        <w:spacing w:after="0" w:line="260" w:lineRule="auto"/>
        <w:tabs>
          <w:tab w:leader="none" w:pos="3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w:t>
      </w:r>
    </w:p>
    <w:p>
      <w:pPr>
        <w:spacing w:after="0" w:line="18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FASB issued authoritative guidance that clarifies that an acquirer of a business should recognize and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82"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w:t>
      </w:r>
    </w:p>
    <w:p>
      <w:pPr>
        <w:spacing w:after="0" w:line="180" w:lineRule="exact"/>
        <w:rPr>
          <w:sz w:val="20"/>
          <w:szCs w:val="20"/>
          <w:color w:val="auto"/>
        </w:rPr>
      </w:pPr>
    </w:p>
    <w:p>
      <w:pPr>
        <w:jc w:val="both"/>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In June 2022, the FASB issued ASU 2022-03, </w:t>
      </w:r>
      <w:r>
        <w:rPr>
          <w:rFonts w:ascii="Times New Roman" w:cs="Times New Roman" w:eastAsia="Times New Roman" w:hAnsi="Times New Roman"/>
          <w:sz w:val="17"/>
          <w:szCs w:val="17"/>
          <w:i w:val="1"/>
          <w:iCs w:val="1"/>
          <w:color w:val="auto"/>
        </w:rPr>
        <w:t>Fair Value Measurement (Topic 820): Fair Value Measurement of Equity Securities Subject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Contractual Sale Restrictions</w:t>
      </w:r>
      <w:r>
        <w:rPr>
          <w:rFonts w:ascii="Times New Roman" w:cs="Times New Roman" w:eastAsia="Times New Roman" w:hAnsi="Times New Roman"/>
          <w:sz w:val="17"/>
          <w:szCs w:val="17"/>
          <w:color w:val="auto"/>
        </w:rPr>
        <w:t>. This ASU clarifies guidance in Topic 820 and introduces new disclosure requirements for equity securities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 sale restrictions that are measured at fair value in accordance with Topic 820. This guidance is effective for the Company beginning on January 1, 2025. The Company does not expect the adoption to have a material impact on the Company’s consolidated financial statements.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$1,215</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$3,848</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332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1,554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3,856</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1,193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3,840</w:t>
            </w:r>
          </w:p>
        </w:tc>
      </w:tr>
      <w:tr>
        <w:trPr>
          <w:trHeight w:val="27"/>
        </w:trPr>
        <w:tc>
          <w:tcPr>
            <w:tcW w:w="4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1,554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3,856</w:t>
            </w:r>
          </w:p>
        </w:tc>
      </w:tr>
      <w:tr>
        <w:trPr>
          <w:trHeight w:val="20"/>
        </w:trPr>
        <w:tc>
          <w:tcPr>
            <w:tcW w:w="4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December 31, 2024 and 2023, was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5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9"/>
                <w:szCs w:val="19"/>
                <w:color w:val="auto"/>
              </w:rPr>
            </w:pPr>
          </w:p>
        </w:tc>
      </w:tr>
      <w:tr>
        <w:trPr>
          <w:trHeight w:val="216"/>
        </w:trPr>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0"/>
        </w:trPr>
        <w:tc>
          <w:tcPr>
            <w:tcW w:w="2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440" w:type="dxa"/>
            <w:vAlign w:val="bottom"/>
          </w:tcPr>
          <w:p>
            <w:pPr>
              <w:spacing w:after="0"/>
              <w:rPr>
                <w:sz w:val="24"/>
                <w:szCs w:val="24"/>
                <w:color w:val="auto"/>
              </w:rPr>
            </w:pPr>
          </w:p>
        </w:tc>
        <w:tc>
          <w:tcPr>
            <w:tcW w:w="4900" w:type="dxa"/>
            <w:vAlign w:val="bottom"/>
            <w:gridSpan w:val="2"/>
          </w:tcPr>
          <w:p>
            <w:pPr>
              <w:jc w:val="right"/>
              <w:ind w:right="2890"/>
              <w:spacing w:after="0"/>
              <w:rPr>
                <w:sz w:val="20"/>
                <w:szCs w:val="20"/>
                <w:color w:val="auto"/>
              </w:rPr>
            </w:pPr>
            <w:r>
              <w:rPr>
                <w:rFonts w:ascii="Times New Roman" w:cs="Times New Roman" w:eastAsia="Times New Roman" w:hAnsi="Times New Roman"/>
                <w:sz w:val="18"/>
                <w:szCs w:val="18"/>
                <w:color w:val="auto"/>
              </w:rPr>
              <w:t>F-57</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82" w:right="5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2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30,580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9,247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44,894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0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5"/>
              </w:rPr>
              <w:t>132,687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163,340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2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December 31, 2023</w:t>
            </w:r>
          </w:p>
        </w:tc>
        <w:tc>
          <w:tcPr>
            <w:tcW w:w="100" w:type="dxa"/>
            <w:vAlign w:val="bottom"/>
          </w:tcPr>
          <w:p>
            <w:pPr>
              <w:spacing w:after="0"/>
              <w:rPr>
                <w:sz w:val="24"/>
                <w:szCs w:val="24"/>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14,641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00"/>
          </w:cols>
          <w:pgMar w:left="320" w:top="482"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change in the fair value of the Level 3 liabilities during the years ended December 31, 2024 and 2023 was as follows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Pay-to-Play</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3"/>
                <w:szCs w:val="13"/>
                <w:color w:val="auto"/>
              </w:rPr>
            </w:pPr>
          </w:p>
        </w:tc>
        <w:tc>
          <w:tcPr>
            <w:tcW w:w="10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Warrant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4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notes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notes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Common rights offering</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11,175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6,889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105,902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110,718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8,721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15,723</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132,687</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14,711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Effective with the Merger on January 13, 2025, all outstanding convertible notes and outstanding warrant liabilities were converted (see Note 1).</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800" w:type="dxa"/>
            <w:vAlign w:val="bottom"/>
            <w:tcBorders>
              <w:bottom w:val="single" w:sz="8" w:color="CCEEFF"/>
            </w:tcBorders>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3"/>
              </w:rPr>
              <w:t>1,064</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1,542</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7,410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4,964</w:t>
            </w:r>
          </w:p>
        </w:tc>
      </w:tr>
      <w:tr>
        <w:trPr>
          <w:trHeight w:val="223"/>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4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8,561</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6,522</w:t>
            </w:r>
          </w:p>
        </w:tc>
        <w:tc>
          <w:tcPr>
            <w:tcW w:w="4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414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F-59</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82" w:right="6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$11,121</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14,837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2,836</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(14,751)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(18,503)</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depreciation and amortization expense of property and equipment was $0.9 million and $2.0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w:t>
            </w:r>
          </w:p>
        </w:tc>
        <w:tc>
          <w:tcPr>
            <w:tcW w:w="3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7,464</w:t>
            </w:r>
          </w:p>
        </w:tc>
        <w:tc>
          <w:tcPr>
            <w:tcW w:w="4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318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color w:val="auto"/>
              </w:rPr>
              <w:t>F-60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80"/>
          </w:cols>
          <w:pgMar w:left="320" w:top="482" w:right="7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2023, accrued loss on purchase commitments were $0.6 million and $3.6 million, respectively (see Note 12).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compensation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1,613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1,938</w:t>
            </w:r>
          </w:p>
        </w:tc>
      </w:tr>
      <w:tr>
        <w:trPr>
          <w:trHeight w:val="20"/>
        </w:trPr>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represents the domestic and foreign components of loss from operations before income taxes for the years ended December 31,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and 2023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6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$(64,690)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4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(62,147)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(88,187)</w:t>
            </w:r>
          </w:p>
        </w:tc>
      </w:tr>
      <w:tr>
        <w:trPr>
          <w:trHeight w:val="20"/>
        </w:trPr>
        <w:tc>
          <w:tcPr>
            <w:tcW w:w="4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Company’s components of the benefit from income taxes consists of the following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4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3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(256)</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5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3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8"/>
              </w:rPr>
              <w:t>(1,124)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3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(1,124)</w:t>
            </w:r>
          </w:p>
        </w:tc>
        <w:tc>
          <w:tcPr>
            <w:tcW w:w="5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(598)</w:t>
            </w:r>
          </w:p>
        </w:tc>
      </w:tr>
      <w:tr>
        <w:trPr>
          <w:trHeight w:val="20"/>
        </w:trPr>
        <w:tc>
          <w:tcPr>
            <w:tcW w:w="3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362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color w:val="auto"/>
              </w:rPr>
              <w:t>F-61</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80"/>
          </w:cols>
          <w:pgMar w:left="320" w:top="482" w:right="7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of income tax determined by applying the U.S. federal statutory income tax rate of 21% to pretax loss as a result of the following differences for the years ended December 31, 2024 and 2023 ($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98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20" w:type="dxa"/>
            <w:vAlign w:val="bottom"/>
          </w:tcPr>
          <w:p>
            <w:pPr>
              <w:spacing w:after="0"/>
              <w:rPr>
                <w:sz w:val="12"/>
                <w:szCs w:val="12"/>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(62,147)</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(88,187)</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(13,049)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(18,522)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Gain on remeasurement of warrant liability</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equity financing charge (permanent difference)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10,290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55,739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45,600</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R&amp;D Sec 174</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9,533</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(75,826)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(60,937)</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does not believe it is more likely than not that the net deferred tax assets will be realized. Accordingly, a full valuation allowance has been established in the U.S. and the Philippines. As of December 31, 2024 and 2023, the valuation allowance was $75.8 million and $60.9 million, respectively. The increase of $14.9 million in the Company’s valuation allowance as of December 31, 2024 compared to the prior year was primarily due to an increase in deferred tax assets arising from capitalized research and experimental expenditures and net operating losses.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U.S. federal net operating loss (“NOL”) carryforwards of $215.5 million and U.S. state NOL carryforwards of $149.9 million. The U.S. federal NOL carryforwards will begin to expire in the year 2030 and the state NOL carryforwards will also begin to expire in the year 2030. As of December 31, 2024, the Company had federal tax credit carryforwards of $5.7 million available to offset future U.S. federal income taxes payable, which will begin to expire in the year 2035. As of December 31, 2024, the Company had state tax credit carryforwards of $4.3 million available to offset future state income taxes payable and foreign tax credits of $97.2 million available to offset future India income taxes payable.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income tax expense. Management determined that no accrual for interest and penalties was required as of December 31, 2024 and 2023.</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indefinitely reinvest undistributed earnings of their foreign subsidiaries and hence, no deferred tax liability for withholding taxes on undistributed earnings is required.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19" w:lineRule="exact"/>
        <w:rPr>
          <w:sz w:val="20"/>
          <w:szCs w:val="20"/>
          <w:color w:val="auto"/>
        </w:rPr>
      </w:pPr>
    </w:p>
    <w:p>
      <w:pPr>
        <w:jc w:val="both"/>
        <w:ind w:left="120" w:right="820" w:firstLine="440"/>
        <w:spacing w:after="0" w:line="315" w:lineRule="auto"/>
        <w:rPr>
          <w:sz w:val="20"/>
          <w:szCs w:val="20"/>
          <w:color w:val="auto"/>
        </w:rPr>
      </w:pPr>
      <w:r>
        <w:rPr>
          <w:rFonts w:ascii="Times New Roman" w:cs="Times New Roman" w:eastAsia="Times New Roman" w:hAnsi="Times New Roman"/>
          <w:sz w:val="17"/>
          <w:szCs w:val="17"/>
          <w:color w:val="auto"/>
        </w:rPr>
        <w:t xml:space="preserve">The Company applied FASB ASC 740-10-50, </w:t>
      </w:r>
      <w:r>
        <w:rPr>
          <w:rFonts w:ascii="Times New Roman" w:cs="Times New Roman" w:eastAsia="Times New Roman" w:hAnsi="Times New Roman"/>
          <w:sz w:val="17"/>
          <w:szCs w:val="17"/>
          <w:i w:val="1"/>
          <w:iCs w:val="1"/>
          <w:color w:val="auto"/>
        </w:rPr>
        <w:t>Accounting for Uncertainty in Income Tax</w:t>
      </w:r>
      <w:r>
        <w:rPr>
          <w:rFonts w:ascii="Times New Roman" w:cs="Times New Roman" w:eastAsia="Times New Roman" w:hAnsi="Times New Roman"/>
          <w:sz w:val="17"/>
          <w:szCs w:val="17"/>
          <w:color w:val="auto"/>
        </w:rPr>
        <w:t>, which prescribes a recognition threshold and measurement attribute for the financial statement recognition and measurement of a tax position taken or expected to be taken in a tax return.</w:t>
      </w:r>
    </w:p>
    <w:p>
      <w:pPr>
        <w:spacing w:after="0" w:line="13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The Company had unrecognized tax benefits of approximately $5.0 million and $4.3 million as of December 31, 2024 and 2023,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00"/>
          </w:cols>
          <w:pgMar w:left="320" w:top="482"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is as follows as of December 31, 2024 and 2023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$4,283</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5,000</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4,283</w:t>
            </w: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1080" w:hanging="424"/>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82"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080" w:right="40" w:hanging="424"/>
        <w:spacing w:after="0" w:line="257"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2024 and 2023, the Company recognized a change in fair value from the P2P Notes of approximately $1.3 million and $2.6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$61,000, was recognized as a component of the Pay-to-Play financing charge for the year ended December 31, 2023.</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20"/>
          </w:cols>
          <w:pgMar w:left="320" w:top="482"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 During the year ended December 31, 2024, the Company did not enter into any Exchange Agreements with eligible common shareholders.</w:t>
      </w:r>
    </w:p>
    <w:p>
      <w:pPr>
        <w:spacing w:after="0" w:line="19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P2P notes, the outstanding P2P Notes were converted, at the option of the holders, to common stock upon the execution of the Merger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00"/>
          </w:cols>
          <w:pgMar w:left="320" w:top="482"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1080" w:right="220" w:hanging="424"/>
        <w:spacing w:after="0" w:line="261"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92"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jc w:val="both"/>
        <w:ind w:left="1540" w:right="40" w:hanging="331"/>
        <w:spacing w:after="0" w:line="312" w:lineRule="auto"/>
        <w:tabs>
          <w:tab w:leader="none" w:pos="154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540" w:right="80" w:hanging="331"/>
        <w:spacing w:after="0" w:line="282"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82"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540" w:right="40" w:hanging="331"/>
        <w:spacing w:after="0" w:line="282" w:lineRule="auto"/>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8 and 13).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a change in fair value of approximately $8.7 million and $6.9 million,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One investor who purchased a 2023 Convertible Note also received an RSU grant for a total of 6,000,000 RSUs (see Note 13)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 $2.6 million and accounted for as Debt Financing Charge on the 2023 Convertible Note. On December 22, 2023, the Company modified the RSU terms to immediately accelerate the vesting of the 6,000,000 awards outstanding and issue 6,000,000 shares of common stock (see Note 13).</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December 31, 2024 is as follows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148,629</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(148,629)</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2023 Convertible Note Agreement, the outstanding 2023 Convertible Notes were converted, at the option of the holders, to common stock upon the execution of the Merger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82"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$15.0 million from BurTech and other investors pursuant to the Note Purchase Agreement dated July 2, 2023 and (2) March 31, 2024 (see Note 13). In April 2024, the Company repaid the total outstanding principal and interest of $5.0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Closing Date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82"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w:t>
      </w:r>
    </w:p>
    <w:p>
      <w:pPr>
        <w:spacing w:after="0" w:line="27" w:lineRule="exact"/>
        <w:rPr>
          <w:sz w:val="20"/>
          <w:szCs w:val="20"/>
          <w:color w:val="auto"/>
        </w:rPr>
      </w:pPr>
    </w:p>
    <w:p>
      <w:pPr>
        <w:ind w:left="120" w:hanging="4"/>
        <w:spacing w:after="0" w:line="253" w:lineRule="auto"/>
        <w:tabs>
          <w:tab w:leader="none" w:pos="3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2023 Convertible Notes, the notes remained outstanding and were converted, at the option of the holders, to common stock upon the Closing Date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89"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82"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both"/>
        <w:ind w:left="120" w:right="20"/>
        <w:spacing w:after="0" w:line="277" w:lineRule="auto"/>
        <w:rPr>
          <w:sz w:val="20"/>
          <w:szCs w:val="20"/>
          <w:color w:val="auto"/>
        </w:rPr>
      </w:pPr>
      <w:r>
        <w:rPr>
          <w:rFonts w:ascii="Times New Roman" w:cs="Times New Roman" w:eastAsia="Times New Roman" w:hAnsi="Times New Roman"/>
          <w:sz w:val="17"/>
          <w:szCs w:val="17"/>
          <w:color w:val="auto"/>
        </w:rPr>
        <w:t>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execution of the Merger (see Note 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warrant</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fair</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560" w:type="dxa"/>
            <w:vAlign w:val="bottom"/>
          </w:tcPr>
          <w:p>
            <w:pPr>
              <w:spacing w:after="0"/>
              <w:rPr>
                <w:sz w:val="15"/>
                <w:szCs w:val="15"/>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shares at December 31,</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4"/>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6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7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 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4.97</w:t>
            </w:r>
          </w:p>
        </w:tc>
        <w:tc>
          <w:tcPr>
            <w:tcW w:w="56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756,172</w:t>
            </w:r>
          </w:p>
        </w:tc>
        <w:tc>
          <w:tcPr>
            <w:tcW w:w="5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00" w:type="dxa"/>
            <w:vAlign w:val="bottom"/>
          </w:tcPr>
          <w:p>
            <w:pPr>
              <w:spacing w:after="0"/>
              <w:rPr>
                <w:sz w:val="18"/>
                <w:szCs w:val="18"/>
                <w:color w:val="auto"/>
              </w:rPr>
            </w:pPr>
          </w:p>
        </w:tc>
        <w:tc>
          <w:tcPr>
            <w:tcW w:w="220" w:type="dxa"/>
            <w:vAlign w:val="bottom"/>
          </w:tcPr>
          <w:p>
            <w:pPr>
              <w:jc w:val="center"/>
              <w:ind w:left="9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60" w:type="dxa"/>
            <w:vAlign w:val="bottom"/>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00" w:type="dxa"/>
            <w:vAlign w:val="bottom"/>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1,352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Pre-funded common stock warrants (d)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0.01</w:t>
            </w:r>
          </w:p>
        </w:tc>
        <w:tc>
          <w:tcPr>
            <w:tcW w:w="560" w:type="dxa"/>
            <w:vAlign w:val="bottom"/>
          </w:tcPr>
          <w:p>
            <w:pPr>
              <w:spacing w:after="0"/>
              <w:rPr>
                <w:sz w:val="18"/>
                <w:szCs w:val="18"/>
                <w:color w:val="auto"/>
              </w:rPr>
            </w:pPr>
          </w:p>
        </w:tc>
        <w:tc>
          <w:tcPr>
            <w:tcW w:w="360" w:type="dxa"/>
            <w:vAlign w:val="bottom"/>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500" w:type="dxa"/>
            <w:vAlign w:val="bottom"/>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common stock warrants (e)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10,091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5"/>
              </w:rPr>
              <w:t>756,172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1,096,730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14,712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00" w:hanging="424"/>
        <w:spacing w:after="0" w:line="255"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p>
      <w:pPr>
        <w:spacing w:after="0" w:line="2"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p>
      <w:pPr>
        <w:spacing w:after="0" w:line="1" w:lineRule="exact"/>
        <w:rPr>
          <w:rFonts w:ascii="Times New Roman" w:cs="Times New Roman" w:eastAsia="Times New Roman" w:hAnsi="Times New Roman"/>
          <w:sz w:val="18"/>
          <w:szCs w:val="18"/>
          <w:color w:val="auto"/>
        </w:rPr>
      </w:pPr>
    </w:p>
    <w:p>
      <w:pPr>
        <w:jc w:val="both"/>
        <w:ind w:left="540" w:right="60" w:hanging="424"/>
        <w:spacing w:after="0" w:line="253"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82"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40" w:right="300" w:hanging="424"/>
        <w:spacing w:after="0" w:line="282"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$45,000. As of December 31, 2024, the number of warrant shares to be issued in the form of BurTech Class A Common stock is a fixed 4,500,000 shares.</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80" w:type="dxa"/>
            <w:vAlign w:val="bottom"/>
            <w:gridSpan w:val="12"/>
          </w:tcPr>
          <w:p>
            <w:pPr>
              <w:ind w:left="600"/>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 Reinstatement</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7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Series D Shadow</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80" w:type="dxa"/>
            <w:vAlign w:val="bottom"/>
            <w:gridSpan w:val="8"/>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Warrants</w:t>
            </w:r>
          </w:p>
        </w:tc>
        <w:tc>
          <w:tcPr>
            <w:tcW w:w="600" w:type="dxa"/>
            <w:vAlign w:val="bottom"/>
          </w:tcPr>
          <w:p>
            <w:pPr>
              <w:spacing w:after="0"/>
              <w:rPr>
                <w:sz w:val="12"/>
                <w:szCs w:val="12"/>
                <w:color w:val="auto"/>
              </w:rPr>
            </w:pPr>
          </w:p>
        </w:tc>
        <w:tc>
          <w:tcPr>
            <w:tcW w:w="11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80" w:type="dxa"/>
            <w:vAlign w:val="bottom"/>
            <w:gridSpan w:val="8"/>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212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31, </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 December 31, </w:t>
            </w:r>
          </w:p>
        </w:tc>
        <w:tc>
          <w:tcPr>
            <w:tcW w:w="40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- 4.40%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0.04 - 0.72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9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Warrants issued with P2P Convertible Notes</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45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2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3"/>
              </w:rPr>
              <w:t>Issued in 2024 </w:t>
            </w:r>
          </w:p>
        </w:tc>
        <w:tc>
          <w:tcPr>
            <w:tcW w:w="1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20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2023 </w:t>
            </w:r>
          </w:p>
        </w:tc>
        <w:tc>
          <w:tcPr>
            <w:tcW w:w="40" w:type="dxa"/>
            <w:vAlign w:val="bottom"/>
            <w:tcBorders>
              <w:bottom w:val="single" w:sz="8" w:color="CCEEFF"/>
            </w:tcBorders>
          </w:tcPr>
          <w:p>
            <w:pPr>
              <w:spacing w:after="0"/>
              <w:rPr>
                <w:sz w:val="12"/>
                <w:szCs w:val="12"/>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4.09% - 4.65%</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66.6% - 71.6%</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198"/>
        </w:trPr>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of common stock</w:t>
            </w:r>
          </w:p>
        </w:tc>
        <w:tc>
          <w:tcPr>
            <w:tcW w:w="1120" w:type="dxa"/>
            <w:vAlign w:val="bottom"/>
          </w:tcPr>
          <w:p>
            <w:pPr>
              <w:jc w:val="center"/>
              <w:ind w:right="53"/>
              <w:spacing w:after="0" w:line="198" w:lineRule="exact"/>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gridSpan w:val="2"/>
          </w:tcPr>
          <w:p>
            <w:pPr>
              <w:jc w:val="right"/>
              <w:ind w:right="8"/>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0.46</w:t>
            </w:r>
          </w:p>
        </w:tc>
      </w:tr>
      <w:tr>
        <w:trPr>
          <w:trHeight w:val="234"/>
        </w:trPr>
        <w:tc>
          <w:tcPr>
            <w:tcW w:w="4680" w:type="dxa"/>
            <w:vAlign w:val="bottom"/>
            <w:gridSpan w:val="2"/>
          </w:tcPr>
          <w:p>
            <w:pPr>
              <w:ind w:left="4020"/>
              <w:spacing w:after="0"/>
              <w:rPr>
                <w:sz w:val="20"/>
                <w:szCs w:val="20"/>
                <w:color w:val="auto"/>
              </w:rPr>
            </w:pPr>
            <w:r>
              <w:rPr>
                <w:rFonts w:ascii="Times New Roman" w:cs="Times New Roman" w:eastAsia="Times New Roman" w:hAnsi="Times New Roman"/>
                <w:sz w:val="18"/>
                <w:szCs w:val="18"/>
                <w:color w:val="auto"/>
              </w:rPr>
              <w:t>F-72</w:t>
            </w: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1100"/>
          </w:cols>
          <w:pgMar w:left="320" w:top="482"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2023:</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142"/>
        </w:trPr>
        <w:tc>
          <w:tcPr>
            <w:tcW w:w="4560" w:type="dxa"/>
            <w:vAlign w:val="bottom"/>
          </w:tcPr>
          <w:p>
            <w:pPr>
              <w:spacing w:after="0"/>
              <w:rPr>
                <w:sz w:val="12"/>
                <w:szCs w:val="12"/>
                <w:color w:val="auto"/>
              </w:rPr>
            </w:pPr>
          </w:p>
        </w:tc>
        <w:tc>
          <w:tcPr>
            <w:tcW w:w="254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- 4.31%</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- 4.79%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0" w:type="dxa"/>
            <w:vAlign w:val="bottom"/>
          </w:tcPr>
          <w:p>
            <w:pPr>
              <w:spacing w:after="0"/>
              <w:rPr>
                <w:sz w:val="18"/>
                <w:szCs w:val="18"/>
                <w:color w:val="auto"/>
              </w:rPr>
            </w:pP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w w:val="98"/>
              </w:rPr>
              <w:t>0.04 - 1.00 years</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1.0 - 1.44 years</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69.8% - 71.6%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 - 62.3%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immaterial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09"/>
        </w:trPr>
        <w:tc>
          <w:tcPr>
            <w:tcW w:w="88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- 5.55%</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0.36 - 5.00 years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61.2% - 73.0%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54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4.16 - $4.43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8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5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0.74 - $0.81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41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80" w:type="dxa"/>
            <w:vAlign w:val="bottom"/>
            <w:tcBorders>
              <w:top w:val="single" w:sz="8" w:color="auto"/>
            </w:tcBorders>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4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3.98% - 4.99%</w:t>
            </w:r>
          </w:p>
        </w:tc>
        <w:tc>
          <w:tcPr>
            <w:tcW w:w="80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- 5.26%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80" w:type="dxa"/>
            <w:vAlign w:val="bottom"/>
          </w:tcPr>
          <w:p>
            <w:pPr>
              <w:spacing w:after="0"/>
              <w:rPr>
                <w:sz w:val="18"/>
                <w:szCs w:val="18"/>
                <w:color w:val="auto"/>
              </w:rPr>
            </w:pPr>
          </w:p>
        </w:tc>
        <w:tc>
          <w:tcPr>
            <w:tcW w:w="20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0.04 - 1.00 years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0.51 - 9.51 years</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69.8% - 73.2%</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61.2% - 62.8%</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immaterial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8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probability-weighted approach of scenarios, including the scenarios that the Merger will and will not be consummated.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no Company warrants have been exercised.</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Merger, the outstanding warrants were converted, at the option of the holders, to common stock upon the Closing Date (see Note 1).</w:t>
      </w: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080"/>
          </w:cols>
          <w:pgMar w:left="320" w:top="482"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consolidated statements of operations were as follows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060" w:type="dxa"/>
            <w:vAlign w:val="bottom"/>
            <w:gridSpan w:val="2"/>
          </w:tcPr>
          <w:p>
            <w:pPr>
              <w:jc w:val="center"/>
              <w:ind w:left="25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6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$ 817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6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center"/>
              <w:ind w:left="2339"/>
              <w:spacing w:after="0"/>
              <w:rPr>
                <w:sz w:val="20"/>
                <w:szCs w:val="20"/>
                <w:color w:val="auto"/>
              </w:rPr>
            </w:pPr>
            <w:r>
              <w:rPr>
                <w:rFonts w:ascii="Times New Roman" w:cs="Times New Roman" w:eastAsia="Times New Roman" w:hAnsi="Times New Roman"/>
                <w:sz w:val="18"/>
                <w:szCs w:val="18"/>
                <w:color w:val="auto"/>
                <w:w w:val="98"/>
              </w:rPr>
              <w:t>$ 843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w:t>
            </w:r>
          </w:p>
        </w:tc>
      </w:tr>
      <w:tr>
        <w:trPr>
          <w:trHeight w:val="20"/>
        </w:trPr>
        <w:tc>
          <w:tcPr>
            <w:tcW w:w="4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operating leases had a weighted average remaining lease term of 3.2 years and a weighted average discount rate related to the Company’s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years ended December 31, 2024 and 2023 (in thousands):</w:t>
      </w:r>
    </w:p>
    <w:p>
      <w:pPr>
        <w:spacing w:after="0" w:line="36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785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73"/>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1,673</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gain</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73"/>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Short-term variable lease expenses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346"/>
        </w:trPr>
        <w:tc>
          <w:tcPr>
            <w:tcW w:w="66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F-74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the Company’s non-cancelable operating leases are as follows (in thousands):</w:t>
      </w:r>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173"/>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consolidated statements of operations.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060"/>
          </w:cols>
          <w:pgMar w:left="320" w:top="482" w:right="5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December 31, 2024 and 2023 were as follows (dollars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r>
      <w:tr>
        <w:trPr>
          <w:trHeight w:val="173"/>
        </w:trPr>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 *</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r>
      <w:tr>
        <w:trPr>
          <w:trHeight w:val="142"/>
        </w:trPr>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2,020,309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4,573,935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3,183</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12,234,661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8,442</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10,211,548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48,661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48,661</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3,990,707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41,673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41,673</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239,405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3,662,318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30,595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30,595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D-2</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7,561,820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37,595</w:t>
            </w: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contribution(In thousands)</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holders of Series B Preferred Stock and Series C Preferred Stock are entitled to receive dividends prior and in preference to any dividends on the Series Seed Preferred Stock, Series A Preferred Stock and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-213360</wp:posOffset>
            </wp:positionV>
            <wp:extent cx="285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60"/>
          </w:cols>
          <w:pgMar w:left="320" w:top="482"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19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redemption request could not be made until after the fifth anniversary of the date upon which shares of the Series C Preferred Stock are first issued, or July 2023. Such request was not made as of such date (see Note 7).</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20"/>
          </w:cols>
          <w:pgMar w:left="320" w:top="482"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Due to conditions of redemption that are outside the control of the Company, the redeemable convertible preferred stock has been reflected outside of stockholders’ deficit.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as-converted basis.</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all outstanding preferred stock was converted to common stock upon the execution of the Merger (see Note 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175,095,000 shares of common stock authorized, respectively, and 17,519,999 and 17,454,353 shares issued and outstanding, respectively.</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20"/>
          </w:cols>
          <w:pgMar w:left="320" w:top="482"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as of December 31, 2024 and 2023,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4,573,935</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10,211,548</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10,211,548</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3,990,707</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3,990,707</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239,405</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3,662,318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3,662,318</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7,561,820</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7,561,820</w:t>
            </w:r>
          </w:p>
        </w:tc>
        <w:tc>
          <w:tcPr>
            <w:tcW w:w="2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outstanding for future issuance of Series D Shadow and Series D-2 Shadow</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1,094,667</w:t>
            </w:r>
          </w:p>
        </w:tc>
        <w:tc>
          <w:tcPr>
            <w:tcW w:w="2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1,127,088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721,086</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(a)</w:t>
            </w:r>
          </w:p>
        </w:tc>
        <w:tc>
          <w:tcPr>
            <w:tcW w:w="112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9"/>
              </w:rPr>
              <w:t>         (a)</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7,007,582</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620" w:type="dxa"/>
            <w:vAlign w:val="bottom"/>
          </w:tcPr>
          <w:p>
            <w:pPr>
              <w:spacing w:after="0"/>
              <w:rPr>
                <w:sz w:val="18"/>
                <w:szCs w:val="18"/>
                <w:color w:val="auto"/>
              </w:rPr>
            </w:pPr>
          </w:p>
        </w:tc>
        <w:tc>
          <w:tcPr>
            <w:tcW w:w="112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41,018,458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21,354,809</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2,226,705</w:t>
            </w:r>
          </w:p>
        </w:tc>
        <w:tc>
          <w:tcPr>
            <w:tcW w:w="6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839,706</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96,123,126</w:t>
            </w:r>
          </w:p>
        </w:tc>
        <w:tc>
          <w:tcPr>
            <w:tcW w:w="6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75,514,616</w:t>
            </w:r>
          </w:p>
        </w:tc>
        <w:tc>
          <w:tcPr>
            <w:tcW w:w="2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82"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8).</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83"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4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40"/>
          </w:cols>
          <w:pgMar w:left="320" w:top="482"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earlier of (i) the first anniversary or second anniversary of terminated service, for 2023 and prior grants, respectively, for any reason and (ii) expire date defined as the fifth anniversary of the date of grant.</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based on the Company’s estimated fair value of common stock at the date of grant, as determined by the Board of Directors.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service-based stock options outstanding to purchase a total of 36,363,184 shares of common stock under the Plan and 4,655,274 unvested RSUs. As of December 31, 2024, 2,226,705 shares of common stock were available for issuance for either stock option or RSU grants under the 2011 Amended Plan.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stock option activity as of December 31, 2024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3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1,325,844</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15,141,280</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0.44</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15.53</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21,329,457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0.92</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(65,646)</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1.49</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0.74</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(1,333,107)</w:t>
            </w:r>
          </w:p>
        </w:tc>
        <w:tc>
          <w:tcPr>
            <w:tcW w:w="1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1.54</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36,363,184</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Vested/expected to vest at December 31, 2024</w:t>
            </w: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22,492</w:t>
            </w: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35,560,434</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6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December 31, 2024</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9,614,865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1.58</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2024 and 2023 was $17,000 and zero, respectively. The intrinsic value is the difference between the estimated fair value of the Company’s common stock at the date of exercise and the exercise price for in-the-money stock options.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2024 and 2023 was $0.88 per share and $0.25 per share, respectively. The total grant date fair value of stock options that vested during the years ended December 31, 2024 and 2023 was $2.8 million and $0.8 million, respectively.</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approximately $18.2 million of total unrecognized compensation cost related to unvested stock options granted, which is expected to be recognized over the weighted-average period of 2.4 years.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40"/>
          </w:cols>
          <w:pgMar w:left="320" w:top="482"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the 2024 cancellation of 135,400 RSUs during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 as follows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2,111</w:t>
            </w: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2,483</w:t>
            </w:r>
          </w:p>
        </w:tc>
      </w:tr>
    </w:tbl>
    <w:p>
      <w:pPr>
        <w:spacing w:after="0" w:line="19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2024 and 2023 was estimated using the Black-Scholes model with the range of assumptions stated below:</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- 4.43%</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- 4.46%</w:t>
            </w:r>
          </w:p>
        </w:tc>
        <w:tc>
          <w:tcPr>
            <w:tcW w:w="4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0" w:type="dxa"/>
            <w:vAlign w:val="bottom"/>
          </w:tcPr>
          <w:p>
            <w:pPr>
              <w:spacing w:after="0"/>
              <w:rPr>
                <w:sz w:val="18"/>
                <w:szCs w:val="18"/>
                <w:color w:val="auto"/>
              </w:rPr>
            </w:pPr>
          </w:p>
        </w:tc>
        <w:tc>
          <w:tcPr>
            <w:tcW w:w="25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5.00 - 6.22</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5.00 - 6.01</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w w:val="98"/>
              </w:rPr>
              <w:t>56.92% - 57.51%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56.74% - 57.56%</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25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192" w:lineRule="exact"/>
        <w:rPr>
          <w:sz w:val="20"/>
          <w:szCs w:val="20"/>
          <w:color w:val="auto"/>
        </w:rPr>
      </w:pPr>
    </w:p>
    <w:p>
      <w:pPr>
        <w:jc w:val="center"/>
        <w:ind w:left="380" w:right="500"/>
        <w:spacing w:after="0" w:line="454" w:lineRule="auto"/>
        <w:rPr>
          <w:sz w:val="20"/>
          <w:szCs w:val="20"/>
          <w:color w:val="auto"/>
        </w:rPr>
      </w:pPr>
      <w:r>
        <w:rPr>
          <w:rFonts w:ascii="Times New Roman" w:cs="Times New Roman" w:eastAsia="Times New Roman" w:hAnsi="Times New Roman"/>
          <w:sz w:val="18"/>
          <w:szCs w:val="18"/>
          <w:color w:val="auto"/>
        </w:rPr>
        <w:t>On the Closing Date, all outstanding options were converted into new instruments in accordance with the terms of the Merger (see Note 1). F-81</w:t>
      </w:r>
    </w:p>
    <w:p>
      <w:pPr>
        <w:sectPr>
          <w:pgSz w:w="11900" w:h="16838" w:orient="portrait"/>
          <w:cols w:equalWidth="0" w:num="1">
            <w:col w:w="11080"/>
          </w:cols>
          <w:pgMar w:left="320" w:top="482"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6,000,000 RSUs issued to an investor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7 and 13), for the years ended December 31, 2024 and 2023 is as follows: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10,929,820</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(150,900)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(254,555)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4,655,274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2024, no stock-based compensation expense was recognized for the periods presented. As of December 31, 2024, there was $6.3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6,000,000 RSUs issued as part of the 2023 Convertible Note financing were fair valued on the date of grant and recognized as debt financing charge at date of transaction (see Notes 8 and 13). Effective December 21, 2023, as a condition of executing the Merger Agreement, the Company accelerated the vesting associated with the 6,000,000 RSUs. Upon acceleration, the RSUs were immediately exchanged and 6,000,000 shares of common stock issued. The modification of vesting terms resulted in the recognition of $1.7 million in stock-based compensation expense during the year ended December 31, 2023.</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all outstanding RSUs were converted into new instruments in accordance with the terms of the Merger (see Note 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had outstanding purchase orders and contractual obligations totaling $0.2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years ended December 31, 2024 and 2023, the Company purchased inventories of $4.3 million and $4.4 million, respectively, due to this obligation.</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20"/>
          </w:cols>
          <w:pgMar w:left="320" w:top="482"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2024 and 2023, the liability balance of the Company’s accrued losses on accrued purchase commitments equaled $0.6 million and $3.6 million, respectively, on the consolidated balance sheets.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5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The Second Amendment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00"/>
          </w:cols>
          <w:pgMar w:left="320" w:top="482" w:right="4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on January 13, 2025, the transaction was consummated (see Note 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w:t>
      </w:r>
    </w:p>
    <w:p>
      <w:pPr>
        <w:spacing w:after="0" w:line="27" w:lineRule="exact"/>
        <w:rPr>
          <w:sz w:val="20"/>
          <w:szCs w:val="20"/>
          <w:color w:val="auto"/>
        </w:rPr>
      </w:pPr>
    </w:p>
    <w:p>
      <w:pPr>
        <w:ind w:left="340" w:hanging="224"/>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strategic advisor in connection with the Business Combination, (ii) sole and exclusive placement agent for private placement services and</w:t>
      </w:r>
    </w:p>
    <w:p>
      <w:pPr>
        <w:spacing w:after="0" w:line="9" w:lineRule="exact"/>
        <w:rPr>
          <w:rFonts w:ascii="Times New Roman" w:cs="Times New Roman" w:eastAsia="Times New Roman" w:hAnsi="Times New Roman"/>
          <w:sz w:val="18"/>
          <w:szCs w:val="18"/>
          <w:color w:val="auto"/>
        </w:rPr>
      </w:pPr>
    </w:p>
    <w:p>
      <w:pPr>
        <w:ind w:left="120" w:right="20" w:hanging="4"/>
        <w:spacing w:after="0" w:line="253" w:lineRule="auto"/>
        <w:tabs>
          <w:tab w:leader="none" w:pos="4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by KBCM has used reasonable best efforts to secure such a private placement, a fee of $500,000 promptly (but not later than two business days) following the close of the Business Combination. Additionally, a sale transaction fee will be paid, calculated as the greater of $3,000,000 or 1% of the transaction value.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October 24, 2024, contingent upon the close of the proposed merger on or before December 31, 2024 and continued employment or services to the Company on the applicable grant date, the Company’s Board of Directors approved the issuance of 6,936,285 restricted stock units under the New Blaize equity plan.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1). Under the terms of the agreement, at the discretion of the Company, the advisory fee of $0.8 million is to be paid in the form of (i) cash and (ii) cash or a combination of cash and shares of common stock of New Blaize at a price of $10 per share at various dates in 2025. The finder’s fee, equal to a specified percentage of the trust value for the Company’s shares held by investors introduced by the advisor, is to be paid fifty percent in cash and fifty-percent in shares of New Blaize at a price of $10.00 per share, concurrent with the close of the Meger.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82"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to two minority stockholders. During the year ended December 31, 2023, the Company recognized revenues of approximately $3.8 million, or nearly 100% of its total revenue, from sales to one minority stockholders. As of December 31, 2024 and 2023, there was zero and $0.5 million of accounts receivables from one of these customers, respectively, all of which was unbilled.</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$6.9 million and $8.0 million, respectively. As of December 31, 2023, the related party 2023 Convertible Note and 2023 Convertible Note Warrants approximate $7.3 million and $0.9 million, respectively. During the years ended December 31, 2024 and 2023, the change in fair value for the 2023 Convertible Note equaled $0.4 million and $3.0 million, respectively (see Note 4). During the years ended December 31, 2024 and 2023, the change in fair value for the 2023 Convertible Note Warrants equaled $0.8 million and $0.2 million, respectively (see Note 4). In conjunction with the issuance of the 2023 Convertible Note, the Company issued 6,000,000 RSUs to the investor. The issuance date fair value of the RSUs was recognized as a financing charge (see Note 8). In December 2023, the terms of the RSUs were modified resulting in accelerated vesting and immediate issuance of 6,000,000 common stock shares for which incremental stock-based compensation expense was recorded (see Note 11).</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21% and zero percent of revenue for the years ended December 31, 2024 and 2023,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$4.2 million and nearly zero, respectively. As of December 31, 2023, the related party P2P Note and P2P Warrants approximate $3.9 million and</w:t>
      </w:r>
    </w:p>
    <w:p>
      <w:pPr>
        <w:spacing w:after="0" w:line="5"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$0.3 million, respectively. During the years ended December 31, 2024 and 2023, the change in fair value for the P2P Note equaled $0.3 million and $0.9 million, respectively (see Note 4). During the years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20"/>
          </w:cols>
          <w:pgMar w:left="320" w:top="482"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December 31, 2024 and 2023, the change in fair value for P2P Warrants equaled $0.3 million and $32,000 respectively (see Note 4).</w:t>
      </w:r>
    </w:p>
    <w:p>
      <w:pPr>
        <w:spacing w:after="0" w:line="225"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In December 2022, one of the minority stockholders with which the Company had a revenue arrangement, representing 77% and nearly 100% of total revenues for the years ended December 31, 2024 and 2023, and zero percent and 98% of accounts receivable as of December 31, 2024 and 2023, respectively, also invested in a 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$0.5 million and nearly zero, respectively. As of December 31, 2023, the related party P2P Note and P2P Warrants approximate $0.4 million and $29,000, respectively. During the year ended December 31, 2024, the change in fair value for the P2P Note and P2P Note Warrants equaled $38,000 and $29,000, respectively (see Note 4). During the year ended December 31, 2023, the change in fair value for the P2P Note and P2P Note Warrants was immaterial (see Note 4).</w:t>
      </w:r>
    </w:p>
    <w:p>
      <w:pPr>
        <w:spacing w:after="0" w:line="17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2024, the Company incurred $0.3 million of marketing expenses paid to a Company owned by a direct family member of a minority stockholder and Company board of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7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(61,195)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 share attributable to common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17,476,105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4,213,244</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ind w:left="5340"/>
              <w:spacing w:after="0"/>
              <w:rPr>
                <w:sz w:val="20"/>
                <w:szCs w:val="20"/>
                <w:color w:val="auto"/>
              </w:rPr>
            </w:pPr>
            <w:r>
              <w:rPr>
                <w:rFonts w:ascii="Times New Roman" w:cs="Times New Roman" w:eastAsia="Times New Roman" w:hAnsi="Times New Roman"/>
                <w:sz w:val="18"/>
                <w:szCs w:val="18"/>
                <w:color w:val="auto"/>
              </w:rPr>
              <w:t>F-86</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The following potentially dilutive securities were excluded from the calculation of diluted net loss per share attributable to common shareholders for the periods presented because the impact of including them would have been anti-dilutive for the years ended December 31, 2024 and 2023:</w:t>
      </w:r>
    </w:p>
    <w:p>
      <w:pPr>
        <w:spacing w:after="0" w:line="16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5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09"/>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36,363,184</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16,437,980</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4,655,274</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4,916,829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1,127,088</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         (a)</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(a)</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5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93,896,421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74,674,910</w:t>
            </w:r>
          </w:p>
        </w:tc>
        <w:tc>
          <w:tcPr>
            <w:tcW w:w="2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40" w:hanging="424"/>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due to the variable settlement terms (see Note 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 $0.6 million and $0.5 million in matching contributions for the years ended December 31, 2024 and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 providing this benefit is determined through an actuarial valuation at each reporting date. The benefit plan provides for lump sum payments to vested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employees on retirement, death while in service or on termination of employment for an amount equivalent to 15 days of basic salary for 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year of service. Vesting occurs upon completion of five years of service. The present value of such obligation is determined by the projected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 credit method and adjusted for past service cost and fair value of plan assets as at the balance sheet date through which the obligations are to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settled. The actuarial gain or loss on change in present value of the defined benefit obligation or change in return of the plan assets is recognized as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or expense in the consolidated statement of operations. The expected return on plan assets is based on the assumed rate of return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assets. As of December 31, 2024 and 2023, the related liability is included within accrued compensation and other liabilities on the consolidated balance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sheets.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00"/>
          </w:cols>
          <w:pgMar w:left="320" w:top="482"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 for the years ended December 31, 2024 and 2023 is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Less: Costs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31,981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23,773</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2,693</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49,454</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segment items (a)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9,574</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(87,589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40" w:hanging="224"/>
        <w:spacing w:after="0" w:line="282"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loss includes marketing expense, professional fees, income tax expense, facilities costs, foreign currency exchange gains and losses, credit loss, and other overhead expenses.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measure of segment assets is reported on the consolidated balance sheet as total consolidated assets. Long-lived and ROU assets located in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 Asia Pacific and United Kingdon region were as follows: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510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3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18"/>
                <w:szCs w:val="18"/>
                <w:color w:val="auto"/>
              </w:rPr>
            </w:pP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913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the Company consummated the Merger (See Note 1 “Description of Business”).</w:t>
      </w:r>
    </w:p>
    <w:p>
      <w:pPr>
        <w:spacing w:after="0" w:line="225"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$0.5 million for capital market advisory services is due (1) $0.3 million upon the closing of the Merger with fifty-percent paid in cash and fifty percent paid in common stock of New Blaize; and 0.2 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50 000 shares of common stock at a price of $11.50 per share for a term of five years. On February 10, 2025, New Blaize issued the 50,000 common stock warrants.</w:t>
      </w:r>
    </w:p>
    <w:p>
      <w:pPr>
        <w:spacing w:after="0" w:line="171" w:lineRule="exact"/>
        <w:rPr>
          <w:sz w:val="20"/>
          <w:szCs w:val="20"/>
          <w:color w:val="auto"/>
        </w:rPr>
      </w:pPr>
    </w:p>
    <w:p>
      <w:pPr>
        <w:jc w:val="center"/>
        <w:ind w:right="100"/>
        <w:spacing w:after="0" w:line="454" w:lineRule="auto"/>
        <w:rPr>
          <w:sz w:val="20"/>
          <w:szCs w:val="20"/>
          <w:color w:val="auto"/>
        </w:rPr>
      </w:pPr>
      <w:r>
        <w:rPr>
          <w:rFonts w:ascii="Times New Roman" w:cs="Times New Roman" w:eastAsia="Times New Roman" w:hAnsi="Times New Roman"/>
          <w:sz w:val="18"/>
          <w:szCs w:val="18"/>
          <w:color w:val="auto"/>
        </w:rPr>
        <w:t>During January 2025 the Company received $15.4 million in funding in accordance with the PIPE Subscription Agreements (see Note 1). F-88</w:t>
      </w:r>
    </w:p>
    <w:p>
      <w:pPr>
        <w:sectPr>
          <w:pgSz w:w="11900" w:h="16838" w:orient="portrait"/>
          <w:cols w:equalWidth="0" w:num="1">
            <w:col w:w="11120"/>
          </w:cols>
          <w:pgMar w:left="320" w:top="482"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166,494.45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6"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82"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320"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PIPE Investment.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pursuant to which BurTech agreed to issue and sell to the Subscribers, immediately prior to the closing of the Merger, collectively, 1,540,300 shares of Class A Stock (the “PIPE Shares”) at a price per share equal to $10.00 (the “PIPE Investment”). 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82"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granted a first priority security interest in, and pledges, 2,000,000 shares of Class A Stock and all additions, accessions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substitutions to the Holder to secure the satisfaction by the Sponsor of all its obligations to the Holder under this Sponsor Note. This Sponsor Note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issued in connection with the consummation of the Business Combination in satisfaction of the Acquiror Transaction Expenses (as defined in the Merger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that were due to third-party service providers on or immediately following Closing. As consideration for entry into the Sponsor Note,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issued 750,000 shares of Class A Stock (“Sponsor Note Shares”) to the Sponsor in accordance with the terms of the Sponsor Note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Issuance” and together with the PIPE Investment, the “Private Placements”). The shares of Class A Stock issued in consideration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were offered in a private placement under the Securities Act, pursuant to the Sponsor Note.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1"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46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72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880" w:type="dxa"/>
            <w:vAlign w:val="bottom"/>
            <w:tcBorders>
              <w:top w:val="single" w:sz="8" w:color="auto"/>
            </w:tcBorders>
          </w:tcPr>
          <w:p>
            <w:pPr>
              <w:jc w:val="right"/>
              <w:ind w:right="12"/>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2"/>
                <w:szCs w:val="22"/>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Agreement and Plan of Merger, dated as of December 22, 2023, by and among BurTech Acquisition</w:t>
              </w:r>
            </w:hyperlink>
          </w:p>
        </w:tc>
        <w:tc>
          <w:tcPr>
            <w:tcW w:w="48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27">
              <w:r>
                <w:rPr>
                  <w:rFonts w:ascii="Times New Roman" w:cs="Times New Roman" w:eastAsia="Times New Roman" w:hAnsi="Times New Roman"/>
                  <w:sz w:val="18"/>
                  <w:szCs w:val="18"/>
                  <w:color w:val="0000EE"/>
                  <w:w w:val="99"/>
                </w:rPr>
                <w:t>Corp., BurTech Merger Sub, Inc., Blaize, Inc. and for the limited purposes set forth therein, Burkhan</w:t>
              </w:r>
            </w:hyperlink>
          </w:p>
        </w:tc>
        <w:tc>
          <w:tcPr>
            <w:tcW w:w="4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Capital LLC.</w:t>
              </w:r>
            </w:hyperlink>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Amendment to Agreement and Plan of Merger, dated as of April 22, 2024, by and among BurTech</w:t>
              </w:r>
            </w:hyperlink>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27">
              <w:r>
                <w:rPr>
                  <w:rFonts w:ascii="Times New Roman" w:cs="Times New Roman" w:eastAsia="Times New Roman" w:hAnsi="Times New Roman"/>
                  <w:sz w:val="18"/>
                  <w:szCs w:val="18"/>
                  <w:color w:val="0000EE"/>
                  <w:w w:val="99"/>
                </w:rPr>
                <w:t>Acquisition Corp., BurTech Merger Sub, Inc., Blaize, Inc. and for the limited purposes set forth therein,</w:t>
              </w:r>
            </w:hyperlink>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Burkhan Capital LLC.</w:t>
              </w:r>
            </w:hyperlink>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color w:val="0000EE"/>
                </w:rPr>
                <w:t>Amendment No. 2 to Agreement and Plan of Merger, dated as of October 24, 2024, by and among</w:t>
              </w:r>
            </w:hyperlink>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28">
              <w:r>
                <w:rPr>
                  <w:rFonts w:ascii="Times New Roman" w:cs="Times New Roman" w:eastAsia="Times New Roman" w:hAnsi="Times New Roman"/>
                  <w:sz w:val="18"/>
                  <w:szCs w:val="18"/>
                  <w:color w:val="0000EE"/>
                  <w:w w:val="99"/>
                </w:rPr>
                <w:t>BurTech Acquisition Corp., BurTech Merger Sub, Inc., Blaize, Inc. and for the limited purposes set</w:t>
              </w:r>
            </w:hyperlink>
          </w:p>
        </w:tc>
        <w:tc>
          <w:tcPr>
            <w:tcW w:w="58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8">
              <w:r>
                <w:rPr>
                  <w:rFonts w:ascii="Times New Roman" w:cs="Times New Roman" w:eastAsia="Times New Roman" w:hAnsi="Times New Roman"/>
                  <w:sz w:val="18"/>
                  <w:szCs w:val="18"/>
                  <w:color w:val="0000EE"/>
                  <w:w w:val="99"/>
                </w:rPr>
                <w:t>forth therein, Burkhan Capital LLC.</w:t>
              </w:r>
            </w:hyperlink>
          </w:p>
        </w:tc>
        <w:tc>
          <w:tcPr>
            <w:tcW w:w="5120" w:type="dxa"/>
            <w:vAlign w:val="bottom"/>
            <w:gridSpan w:val="10"/>
          </w:tcPr>
          <w:p>
            <w:pPr>
              <w:spacing w:after="0"/>
              <w:rPr>
                <w:sz w:val="17"/>
                <w:szCs w:val="17"/>
                <w:color w:val="auto"/>
              </w:rPr>
            </w:pPr>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10/30/2024</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Amendment No. 3 to Agreement and Plan of Merger, dated as of November 21, 2024, by and among</w:t>
              </w:r>
            </w:hyperlink>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29">
              <w:r>
                <w:rPr>
                  <w:rFonts w:ascii="Times New Roman" w:cs="Times New Roman" w:eastAsia="Times New Roman" w:hAnsi="Times New Roman"/>
                  <w:sz w:val="18"/>
                  <w:szCs w:val="18"/>
                  <w:color w:val="0000EE"/>
                  <w:w w:val="99"/>
                </w:rPr>
                <w:t>BurTech Acquisition Corp., BurTech Merger Sub, Inc., Blaize, Inc. and for the limited purposes set</w:t>
              </w:r>
            </w:hyperlink>
          </w:p>
        </w:tc>
        <w:tc>
          <w:tcPr>
            <w:tcW w:w="100" w:type="dxa"/>
            <w:vAlign w:val="bottom"/>
            <w:tcBorders>
              <w:top w:val="single" w:sz="8" w:color="0000EE"/>
            </w:tcBorders>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9">
              <w:r>
                <w:rPr>
                  <w:rFonts w:ascii="Times New Roman" w:cs="Times New Roman" w:eastAsia="Times New Roman" w:hAnsi="Times New Roman"/>
                  <w:sz w:val="18"/>
                  <w:szCs w:val="18"/>
                  <w:color w:val="0000EE"/>
                  <w:w w:val="99"/>
                </w:rPr>
                <w:t>forth therein, Burkhan Capital LLC.</w:t>
              </w:r>
            </w:hyperlink>
          </w:p>
        </w:tc>
        <w:tc>
          <w:tcPr>
            <w:tcW w:w="5120" w:type="dxa"/>
            <w:vAlign w:val="bottom"/>
            <w:gridSpan w:val="10"/>
          </w:tcPr>
          <w:p>
            <w:pPr>
              <w:spacing w:after="0"/>
              <w:rPr>
                <w:sz w:val="17"/>
                <w:szCs w:val="17"/>
                <w:color w:val="auto"/>
              </w:rPr>
            </w:pPr>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11/26/2024</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5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30">
              <w:r>
                <w:rPr>
                  <w:rFonts w:ascii="Times New Roman" w:cs="Times New Roman" w:eastAsia="Times New Roman" w:hAnsi="Times New Roman"/>
                  <w:sz w:val="18"/>
                  <w:szCs w:val="18"/>
                  <w:color w:val="0000EE"/>
                  <w:w w:val="99"/>
                </w:rPr>
                <w:t>Third Amended and Restated Certificate of Incorporation of Blaize Holdings, Inc.</w:t>
              </w:r>
            </w:hyperlink>
          </w:p>
        </w:tc>
        <w:tc>
          <w:tcPr>
            <w:tcW w:w="1820" w:type="dxa"/>
            <w:vAlign w:val="bottom"/>
            <w:gridSpan w:val="6"/>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4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31">
              <w:r>
                <w:rPr>
                  <w:rFonts w:ascii="Times New Roman" w:cs="Times New Roman" w:eastAsia="Times New Roman" w:hAnsi="Times New Roman"/>
                  <w:sz w:val="18"/>
                  <w:szCs w:val="18"/>
                  <w:color w:val="0000EE"/>
                  <w:w w:val="99"/>
                </w:rPr>
                <w:t>Amended and Restated Bylaws of Blaize Holdings, Inc.</w:t>
              </w:r>
            </w:hyperlink>
          </w:p>
        </w:tc>
        <w:tc>
          <w:tcPr>
            <w:tcW w:w="3700" w:type="dxa"/>
            <w:vAlign w:val="bottom"/>
            <w:gridSpan w:val="7"/>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Specimen Common Stock Certificate.</w:t>
              </w:r>
            </w:hyperlink>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S-1/A</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11/19/2021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333">
              <w:r>
                <w:rPr>
                  <w:rFonts w:ascii="Times New Roman" w:cs="Times New Roman" w:eastAsia="Times New Roman" w:hAnsi="Times New Roman"/>
                  <w:sz w:val="18"/>
                  <w:szCs w:val="18"/>
                  <w:color w:val="0000EE"/>
                  <w:w w:val="98"/>
                </w:rPr>
                <w:t>Specimen Warrant Certificate.</w:t>
              </w:r>
            </w:hyperlink>
          </w:p>
        </w:tc>
        <w:tc>
          <w:tcPr>
            <w:tcW w:w="540" w:type="dxa"/>
            <w:vAlign w:val="bottom"/>
            <w:tcBorders>
              <w:top w:val="single" w:sz="8" w:color="0000EE"/>
            </w:tcBorders>
            <w:gridSpan w:val="2"/>
          </w:tcPr>
          <w:p>
            <w:pPr>
              <w:spacing w:after="0"/>
              <w:rPr>
                <w:sz w:val="24"/>
                <w:szCs w:val="24"/>
                <w:color w:val="auto"/>
              </w:rPr>
            </w:pPr>
          </w:p>
        </w:tc>
        <w:tc>
          <w:tcPr>
            <w:tcW w:w="5000" w:type="dxa"/>
            <w:vAlign w:val="bottom"/>
            <w:gridSpan w:val="9"/>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S-1/A</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11/19/2021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7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34">
              <w:r>
                <w:rPr>
                  <w:rFonts w:ascii="Times New Roman" w:cs="Times New Roman" w:eastAsia="Times New Roman" w:hAnsi="Times New Roman"/>
                  <w:sz w:val="18"/>
                  <w:szCs w:val="18"/>
                  <w:color w:val="0000EE"/>
                  <w:w w:val="99"/>
                </w:rPr>
                <w:t>Warrant Agreement, dated as of December 10, 2021, by and between the Company and Continental</w:t>
              </w:r>
            </w:hyperlink>
          </w:p>
        </w:tc>
        <w:tc>
          <w:tcPr>
            <w:tcW w:w="52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334">
              <w:r>
                <w:rPr>
                  <w:rFonts w:ascii="Times New Roman" w:cs="Times New Roman" w:eastAsia="Times New Roman" w:hAnsi="Times New Roman"/>
                  <w:sz w:val="18"/>
                  <w:szCs w:val="18"/>
                  <w:color w:val="0000EE"/>
                </w:rPr>
                <w:t>Stock Transfer &amp; Trust Company, as warrant agent.</w:t>
              </w:r>
            </w:hyperlink>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12/16/2021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82"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p>
      <w:pPr>
        <w:spacing w:after="0" w:line="115" w:lineRule="exact"/>
        <w:rPr>
          <w:sz w:val="20"/>
          <w:szCs w:val="20"/>
          <w:color w:val="auto"/>
        </w:rPr>
      </w:pPr>
    </w:p>
    <w:p>
      <w:pPr>
        <w:ind w:left="200" w:hanging="84"/>
        <w:spacing w:after="0"/>
        <w:tabs>
          <w:tab w:leader="none" w:pos="2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Latham &amp; Watkins LLP.</w:t>
      </w:r>
    </w:p>
    <w:p>
      <w:pPr>
        <w:spacing w:after="0" w:line="128" w:lineRule="exact"/>
        <w:rPr>
          <w:rFonts w:ascii="Times New Roman" w:cs="Times New Roman" w:eastAsia="Times New Roman" w:hAnsi="Times New Roman"/>
          <w:sz w:val="16"/>
          <w:szCs w:val="16"/>
          <w:color w:val="auto"/>
        </w:rPr>
      </w:pPr>
    </w:p>
    <w:p>
      <w:pPr>
        <w:ind w:left="1120" w:right="20" w:hanging="1004"/>
        <w:spacing w:after="0" w:line="266" w:lineRule="auto"/>
        <w:tabs>
          <w:tab w:leader="none" w:pos="211" w:val="left"/>
        </w:tabs>
        <w:numPr>
          <w:ilvl w:val="0"/>
          <w:numId w:val="1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hyperlink r:id="rId336">
        <w:r>
          <w:rPr>
            <w:rFonts w:ascii="Times New Roman" w:cs="Times New Roman" w:eastAsia="Times New Roman" w:hAnsi="Times New Roman"/>
            <w:sz w:val="18"/>
            <w:szCs w:val="18"/>
            <w:u w:val="single" w:color="auto"/>
            <w:color w:val="0000EE"/>
          </w:rPr>
          <w:t>Amended and Restated Registration Rights Agreement, dated as of January 13, 2025, by and among</w:t>
        </w:r>
      </w:hyperlink>
      <w:r>
        <w:rPr>
          <w:rFonts w:ascii="Times New Roman" w:cs="Times New Roman" w:eastAsia="Times New Roman" w:hAnsi="Times New Roman"/>
          <w:sz w:val="18"/>
          <w:szCs w:val="18"/>
          <w:u w:val="single" w:color="auto"/>
          <w:color w:val="0000EE"/>
        </w:rPr>
        <w:t xml:space="preserve"> </w:t>
      </w:r>
      <w:hyperlink r:id="rId336">
        <w:r>
          <w:rPr>
            <w:rFonts w:ascii="Times New Roman" w:cs="Times New Roman" w:eastAsia="Times New Roman" w:hAnsi="Times New Roman"/>
            <w:sz w:val="18"/>
            <w:szCs w:val="18"/>
            <w:u w:val="single" w:color="auto"/>
            <w:color w:val="0000EE"/>
          </w:rPr>
          <w:t>the Company, certain stockholders of BurTech named therein and certain stockholders of Legacy</w:t>
        </w:r>
      </w:hyperlink>
      <w:r>
        <w:rPr>
          <w:rFonts w:ascii="Times New Roman" w:cs="Times New Roman" w:eastAsia="Times New Roman" w:hAnsi="Times New Roman"/>
          <w:sz w:val="18"/>
          <w:szCs w:val="18"/>
          <w:u w:val="single" w:color="auto"/>
          <w:color w:val="0000EE"/>
        </w:rPr>
        <w:t xml:space="preserve"> </w:t>
      </w:r>
      <w:hyperlink r:id="rId336">
        <w:r>
          <w:rPr>
            <w:rFonts w:ascii="Times New Roman" w:cs="Times New Roman" w:eastAsia="Times New Roman" w:hAnsi="Times New Roman"/>
            <w:sz w:val="18"/>
            <w:szCs w:val="18"/>
            <w:u w:val="single" w:color="auto"/>
            <w:color w:val="0000EE"/>
          </w:rPr>
          <w:t>Blaize named therein.</w:t>
        </w:r>
      </w:hyperlink>
    </w:p>
    <w:p>
      <w:pPr>
        <w:spacing w:after="0" w:line="55" w:lineRule="exact"/>
        <w:rPr>
          <w:rFonts w:ascii="Times New Roman" w:cs="Times New Roman" w:eastAsia="Times New Roman" w:hAnsi="Times New Roman"/>
          <w:sz w:val="18"/>
          <w:szCs w:val="18"/>
          <w:u w:val="single" w:color="auto"/>
          <w:color w:val="0000EE"/>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6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37">
              <w:r>
                <w:rPr>
                  <w:rFonts w:ascii="Times New Roman" w:cs="Times New Roman" w:eastAsia="Times New Roman" w:hAnsi="Times New Roman"/>
                  <w:sz w:val="18"/>
                  <w:szCs w:val="18"/>
                  <w:color w:val="0000EE"/>
                  <w:w w:val="99"/>
                </w:rPr>
                <w:t>Letter Agreement, dated as of December 10, 2021, by and among BurTech, its officers and its</w:t>
              </w:r>
            </w:hyperlink>
          </w:p>
        </w:tc>
        <w:tc>
          <w:tcPr>
            <w:tcW w:w="3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37">
              <w:r>
                <w:rPr>
                  <w:rFonts w:ascii="Times New Roman" w:cs="Times New Roman" w:eastAsia="Times New Roman" w:hAnsi="Times New Roman"/>
                  <w:sz w:val="18"/>
                  <w:szCs w:val="18"/>
                  <w:color w:val="0000EE"/>
                  <w:w w:val="99"/>
                </w:rPr>
                <w:t>directors, Sponsor and certain other stockholders party thereto.</w:t>
              </w:r>
            </w:hyperlink>
          </w:p>
        </w:tc>
        <w:tc>
          <w:tcPr>
            <w:tcW w:w="2560" w:type="dxa"/>
            <w:vAlign w:val="bottom"/>
            <w:gridSpan w:val="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7080" w:type="dxa"/>
            <w:vAlign w:val="bottom"/>
            <w:gridSpan w:val="9"/>
          </w:tcPr>
          <w:p>
            <w:pPr>
              <w:spacing w:after="0"/>
              <w:rPr>
                <w:rFonts w:ascii="Times New Roman" w:cs="Times New Roman" w:eastAsia="Times New Roman" w:hAnsi="Times New Roman"/>
                <w:sz w:val="18"/>
                <w:szCs w:val="18"/>
                <w:color w:val="0000EE"/>
              </w:rPr>
            </w:pPr>
            <w:hyperlink r:id="rId338">
              <w:r>
                <w:rPr>
                  <w:rFonts w:ascii="Times New Roman" w:cs="Times New Roman" w:eastAsia="Times New Roman" w:hAnsi="Times New Roman"/>
                  <w:sz w:val="18"/>
                  <w:szCs w:val="18"/>
                  <w:color w:val="0000EE"/>
                </w:rPr>
                <w:t>Form of Indemnification Agreement.</w:t>
              </w:r>
            </w:hyperlink>
          </w:p>
        </w:tc>
      </w:tr>
      <w:tr>
        <w:trPr>
          <w:trHeight w:val="20"/>
        </w:trPr>
        <w:tc>
          <w:tcPr>
            <w:tcW w:w="100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3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Blaize, Inc. Amended and Restated 2011 Stock Plan.</w:t>
              </w:r>
            </w:hyperlink>
          </w:p>
        </w:tc>
        <w:tc>
          <w:tcPr>
            <w:tcW w:w="3280" w:type="dxa"/>
            <w:vAlign w:val="bottom"/>
            <w:gridSpan w:val="4"/>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196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r:id="rId340">
              <w:r>
                <w:rPr>
                  <w:rFonts w:ascii="Times New Roman" w:cs="Times New Roman" w:eastAsia="Times New Roman" w:hAnsi="Times New Roman"/>
                  <w:sz w:val="18"/>
                  <w:szCs w:val="18"/>
                  <w:color w:val="0000EE"/>
                </w:rPr>
                <w:t>Blaize Holdings, Inc. 2025</w:t>
              </w:r>
            </w:hyperlink>
          </w:p>
        </w:tc>
        <w:tc>
          <w:tcPr>
            <w:tcW w:w="1620" w:type="dxa"/>
            <w:vAlign w:val="bottom"/>
            <w:tcBorders>
              <w:bottom w:val="single" w:sz="8" w:color="0000EE"/>
            </w:tcBorders>
            <w:gridSpan w:val="3"/>
          </w:tcPr>
          <w:p>
            <w:pPr>
              <w:ind w:left="20"/>
              <w:spacing w:after="0"/>
              <w:rPr>
                <w:rFonts w:ascii="Times New Roman" w:cs="Times New Roman" w:eastAsia="Times New Roman" w:hAnsi="Times New Roman"/>
                <w:sz w:val="18"/>
                <w:szCs w:val="18"/>
                <w:color w:val="0000EE"/>
                <w:w w:val="97"/>
              </w:rPr>
            </w:pPr>
            <w:hyperlink r:id="rId340">
              <w:r>
                <w:rPr>
                  <w:rFonts w:ascii="Times New Roman" w:cs="Times New Roman" w:eastAsia="Times New Roman" w:hAnsi="Times New Roman"/>
                  <w:sz w:val="18"/>
                  <w:szCs w:val="18"/>
                  <w:color w:val="0000EE"/>
                  <w:w w:val="97"/>
                </w:rPr>
                <w:t>Incentive Award Plan.</w:t>
              </w:r>
            </w:hyperlink>
          </w:p>
        </w:tc>
        <w:tc>
          <w:tcPr>
            <w:tcW w:w="3500" w:type="dxa"/>
            <w:vAlign w:val="bottom"/>
            <w:gridSpan w:val="5"/>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1960" w:type="dxa"/>
            <w:vAlign w:val="bottom"/>
          </w:tcPr>
          <w:p>
            <w:pPr>
              <w:spacing w:after="0"/>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Blaize Holdings, Inc. 2025</w:t>
              </w:r>
            </w:hyperlink>
          </w:p>
        </w:tc>
        <w:tc>
          <w:tcPr>
            <w:tcW w:w="5120" w:type="dxa"/>
            <w:vAlign w:val="bottom"/>
            <w:gridSpan w:val="8"/>
          </w:tcPr>
          <w:p>
            <w:pPr>
              <w:ind w:left="20"/>
              <w:spacing w:after="0"/>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Employee Stock Purchase Plan.</w:t>
              </w:r>
            </w:hyperlink>
          </w:p>
        </w:tc>
      </w:tr>
      <w:tr>
        <w:trPr>
          <w:trHeight w:val="20"/>
        </w:trPr>
        <w:tc>
          <w:tcPr>
            <w:tcW w:w="1000" w:type="dxa"/>
            <w:vAlign w:val="bottom"/>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70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42">
              <w:r>
                <w:rPr>
                  <w:rFonts w:ascii="Times New Roman" w:cs="Times New Roman" w:eastAsia="Times New Roman" w:hAnsi="Times New Roman"/>
                  <w:sz w:val="18"/>
                  <w:szCs w:val="18"/>
                  <w:color w:val="0000EE"/>
                  <w:w w:val="99"/>
                </w:rPr>
                <w:t>Form of Stock Option Grant Agreement (Installment Exercise) and Grant Notice under the Blaize,</w:t>
              </w:r>
            </w:hyperlink>
          </w:p>
        </w:tc>
      </w:tr>
      <w:tr>
        <w:trPr>
          <w:trHeight w:val="196"/>
        </w:trPr>
        <w:tc>
          <w:tcPr>
            <w:tcW w:w="1000" w:type="dxa"/>
            <w:vAlign w:val="bottom"/>
          </w:tcPr>
          <w:p>
            <w:pPr>
              <w:spacing w:after="0"/>
              <w:rPr>
                <w:sz w:val="17"/>
                <w:szCs w:val="17"/>
                <w:color w:val="auto"/>
              </w:rPr>
            </w:pPr>
          </w:p>
        </w:tc>
        <w:tc>
          <w:tcPr>
            <w:tcW w:w="7080" w:type="dxa"/>
            <w:vAlign w:val="bottom"/>
            <w:gridSpan w:val="9"/>
          </w:tcPr>
          <w:p>
            <w:pPr>
              <w:spacing w:after="0" w:line="196" w:lineRule="exact"/>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Inc. Amended and Restated 2011 Stock Plan.</w:t>
              </w:r>
            </w:hyperlink>
          </w:p>
        </w:tc>
      </w:tr>
      <w:tr>
        <w:trPr>
          <w:trHeight w:val="20"/>
        </w:trPr>
        <w:tc>
          <w:tcPr>
            <w:tcW w:w="10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120" w:hanging="1004"/>
        <w:spacing w:after="0" w:line="282" w:lineRule="auto"/>
        <w:tabs>
          <w:tab w:leader="none" w:pos="211" w:val="left"/>
        </w:tabs>
        <w:numPr>
          <w:ilvl w:val="0"/>
          <w:numId w:val="1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hyperlink r:id="rId343">
        <w:r>
          <w:rPr>
            <w:rFonts w:ascii="Times New Roman" w:cs="Times New Roman" w:eastAsia="Times New Roman" w:hAnsi="Times New Roman"/>
            <w:sz w:val="18"/>
            <w:szCs w:val="18"/>
            <w:u w:val="single" w:color="auto"/>
            <w:color w:val="0000EE"/>
          </w:rPr>
          <w:t>Form of Restricted Stock Unit Grant Agreement and Grant Notice under the Blaize, Inc. Amended</w:t>
        </w:r>
      </w:hyperlink>
      <w:r>
        <w:rPr>
          <w:rFonts w:ascii="Times New Roman" w:cs="Times New Roman" w:eastAsia="Times New Roman" w:hAnsi="Times New Roman"/>
          <w:sz w:val="18"/>
          <w:szCs w:val="18"/>
          <w:u w:val="single" w:color="auto"/>
          <w:color w:val="0000EE"/>
        </w:rPr>
        <w:t xml:space="preserve"> </w:t>
      </w:r>
      <w:hyperlink r:id="rId343">
        <w:r>
          <w:rPr>
            <w:rFonts w:ascii="Times New Roman" w:cs="Times New Roman" w:eastAsia="Times New Roman" w:hAnsi="Times New Roman"/>
            <w:sz w:val="18"/>
            <w:szCs w:val="18"/>
            <w:u w:val="single" w:color="auto"/>
            <w:color w:val="0000EE"/>
          </w:rPr>
          <w:t>and Restated 2011 Stock Plan.</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1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10.9</w:t>
      </w:r>
      <w:hyperlink r:id="rId344">
        <w:r>
          <w:rPr>
            <w:rFonts w:ascii="Times New Roman" w:cs="Times New Roman" w:eastAsia="Times New Roman" w:hAnsi="Times New Roman"/>
            <w:sz w:val="17"/>
            <w:szCs w:val="17"/>
            <w:u w:val="single" w:color="auto"/>
            <w:color w:val="0000EE"/>
          </w:rPr>
          <w:t>Form of Non-Redemption Agreement.</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1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10.10</w:t>
      </w:r>
      <w:hyperlink r:id="rId345">
        <w:r>
          <w:rPr>
            <w:rFonts w:ascii="Times New Roman" w:cs="Times New Roman" w:eastAsia="Times New Roman" w:hAnsi="Times New Roman"/>
            <w:sz w:val="17"/>
            <w:szCs w:val="17"/>
            <w:u w:val="single" w:color="auto"/>
            <w:color w:val="0000EE"/>
          </w:rPr>
          <w:t>Form of PIPE Agreement</w:t>
        </w:r>
      </w:hyperlink>
    </w:p>
    <w:p>
      <w:pPr>
        <w:spacing w:after="0" w:line="128" w:lineRule="exact"/>
        <w:rPr>
          <w:rFonts w:ascii="Times New Roman" w:cs="Times New Roman" w:eastAsia="Times New Roman" w:hAnsi="Times New Roman"/>
          <w:sz w:val="17"/>
          <w:szCs w:val="17"/>
          <w:u w:val="single" w:color="auto"/>
          <w:color w:val="0000EE"/>
        </w:rPr>
      </w:pPr>
    </w:p>
    <w:p>
      <w:pPr>
        <w:ind w:left="1120" w:right="420" w:hanging="1004"/>
        <w:spacing w:after="0" w:line="282" w:lineRule="auto"/>
        <w:tabs>
          <w:tab w:leader="none" w:pos="211" w:val="left"/>
        </w:tabs>
        <w:numPr>
          <w:ilvl w:val="0"/>
          <w:numId w:val="1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346">
        <w:r>
          <w:rPr>
            <w:rFonts w:ascii="Times New Roman" w:cs="Times New Roman" w:eastAsia="Times New Roman" w:hAnsi="Times New Roman"/>
            <w:sz w:val="18"/>
            <w:szCs w:val="18"/>
            <w:u w:val="single" w:color="auto"/>
            <w:color w:val="0000EE"/>
          </w:rPr>
          <w:t>Registration Rights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46">
        <w:r>
          <w:rPr>
            <w:rFonts w:ascii="Times New Roman" w:cs="Times New Roman" w:eastAsia="Times New Roman" w:hAnsi="Times New Roman"/>
            <w:sz w:val="18"/>
            <w:szCs w:val="18"/>
            <w:u w:val="single" w:color="auto"/>
            <w:color w:val="0000EE"/>
          </w:rPr>
          <w:t>certain stockholders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120" w:right="240" w:hanging="1004"/>
        <w:spacing w:after="0" w:line="282" w:lineRule="auto"/>
        <w:tabs>
          <w:tab w:leader="none" w:pos="211" w:val="left"/>
        </w:tabs>
        <w:numPr>
          <w:ilvl w:val="0"/>
          <w:numId w:val="1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347">
        <w:r>
          <w:rPr>
            <w:rFonts w:ascii="Times New Roman" w:cs="Times New Roman" w:eastAsia="Times New Roman" w:hAnsi="Times New Roman"/>
            <w:sz w:val="18"/>
            <w:szCs w:val="18"/>
            <w:u w:val="single" w:color="auto"/>
            <w:color w:val="0000EE"/>
          </w:rPr>
          <w:t>Stockholder Lock-Up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47">
        <w:r>
          <w:rPr>
            <w:rFonts w:ascii="Times New Roman" w:cs="Times New Roman" w:eastAsia="Times New Roman" w:hAnsi="Times New Roman"/>
            <w:sz w:val="18"/>
            <w:szCs w:val="18"/>
            <w:u w:val="single" w:color="auto"/>
            <w:color w:val="0000EE"/>
          </w:rPr>
          <w:t>certain stockholders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120" w:right="300" w:hanging="1004"/>
        <w:spacing w:after="0" w:line="282" w:lineRule="auto"/>
        <w:tabs>
          <w:tab w:leader="none" w:pos="211" w:val="left"/>
        </w:tabs>
        <w:numPr>
          <w:ilvl w:val="0"/>
          <w:numId w:val="1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hyperlink r:id="rId348">
        <w:r>
          <w:rPr>
            <w:rFonts w:ascii="Times New Roman" w:cs="Times New Roman" w:eastAsia="Times New Roman" w:hAnsi="Times New Roman"/>
            <w:sz w:val="18"/>
            <w:szCs w:val="18"/>
            <w:u w:val="single" w:color="auto"/>
            <w:color w:val="0000EE"/>
          </w:rPr>
          <w:t>Noteholder Lock-Up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48">
        <w:r>
          <w:rPr>
            <w:rFonts w:ascii="Times New Roman" w:cs="Times New Roman" w:eastAsia="Times New Roman" w:hAnsi="Times New Roman"/>
            <w:sz w:val="18"/>
            <w:szCs w:val="18"/>
            <w:u w:val="single" w:color="auto"/>
            <w:color w:val="0000EE"/>
          </w:rPr>
          <w:t>certain securityholders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120" w:right="440" w:hanging="1004"/>
        <w:spacing w:after="0" w:line="282" w:lineRule="auto"/>
        <w:tabs>
          <w:tab w:leader="none" w:pos="211" w:val="left"/>
        </w:tabs>
        <w:numPr>
          <w:ilvl w:val="0"/>
          <w:numId w:val="1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hyperlink r:id="rId349">
        <w:r>
          <w:rPr>
            <w:rFonts w:ascii="Times New Roman" w:cs="Times New Roman" w:eastAsia="Times New Roman" w:hAnsi="Times New Roman"/>
            <w:sz w:val="18"/>
            <w:szCs w:val="18"/>
            <w:u w:val="single" w:color="auto"/>
            <w:color w:val="0000EE"/>
          </w:rPr>
          <w:t>Secured Promissory Note and Pledge Agreement, dated as of January 13, 2025, by and among</w:t>
        </w:r>
      </w:hyperlink>
      <w:r>
        <w:rPr>
          <w:rFonts w:ascii="Times New Roman" w:cs="Times New Roman" w:eastAsia="Times New Roman" w:hAnsi="Times New Roman"/>
          <w:sz w:val="18"/>
          <w:szCs w:val="18"/>
          <w:u w:val="single" w:color="auto"/>
          <w:color w:val="0000EE"/>
        </w:rPr>
        <w:t xml:space="preserve"> </w:t>
      </w:r>
      <w:hyperlink r:id="rId349">
        <w:r>
          <w:rPr>
            <w:rFonts w:ascii="Times New Roman" w:cs="Times New Roman" w:eastAsia="Times New Roman" w:hAnsi="Times New Roman"/>
            <w:sz w:val="18"/>
            <w:szCs w:val="18"/>
            <w:u w:val="single" w:color="auto"/>
            <w:color w:val="0000EE"/>
          </w:rPr>
          <w:t>BurTech LP LLC and BurTech.</w:t>
        </w:r>
      </w:hyperlink>
    </w:p>
    <w:p>
      <w:pPr>
        <w:spacing w:after="0" w:line="53" w:lineRule="exact"/>
        <w:rPr>
          <w:rFonts w:ascii="Times New Roman" w:cs="Times New Roman" w:eastAsia="Times New Roman" w:hAnsi="Times New Roman"/>
          <w:sz w:val="18"/>
          <w:szCs w:val="18"/>
          <w:u w:val="single" w:color="auto"/>
          <w:color w:val="0000EE"/>
        </w:rPr>
      </w:pPr>
    </w:p>
    <w:p>
      <w:pPr>
        <w:ind w:left="1120" w:right="240" w:hanging="1004"/>
        <w:spacing w:after="0" w:line="282" w:lineRule="auto"/>
        <w:tabs>
          <w:tab w:leader="none" w:pos="211" w:val="left"/>
        </w:tabs>
        <w:numPr>
          <w:ilvl w:val="0"/>
          <w:numId w:val="1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hyperlink r:id="rId350">
        <w:r>
          <w:rPr>
            <w:rFonts w:ascii="Times New Roman" w:cs="Times New Roman" w:eastAsia="Times New Roman" w:hAnsi="Times New Roman"/>
            <w:sz w:val="18"/>
            <w:szCs w:val="18"/>
            <w:u w:val="single" w:color="auto"/>
            <w:color w:val="0000EE"/>
          </w:rPr>
          <w:t>Letter Agreement, dated as of January 13, 2025, by and among BurTech, Merger Sub, Blaize and</w:t>
        </w:r>
      </w:hyperlink>
      <w:r>
        <w:rPr>
          <w:rFonts w:ascii="Times New Roman" w:cs="Times New Roman" w:eastAsia="Times New Roman" w:hAnsi="Times New Roman"/>
          <w:sz w:val="18"/>
          <w:szCs w:val="18"/>
          <w:u w:val="single" w:color="auto"/>
          <w:color w:val="0000EE"/>
        </w:rPr>
        <w:t xml:space="preserve"> </w:t>
      </w:r>
      <w:hyperlink r:id="rId350">
        <w:r>
          <w:rPr>
            <w:rFonts w:ascii="Times New Roman" w:cs="Times New Roman" w:eastAsia="Times New Roman" w:hAnsi="Times New Roman"/>
            <w:sz w:val="18"/>
            <w:szCs w:val="18"/>
            <w:u w:val="single" w:color="auto"/>
            <w:color w:val="0000EE"/>
          </w:rPr>
          <w:t>Burkhan BurTech LP LLC and Blaize.</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1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10.16</w:t>
      </w:r>
      <w:hyperlink r:id="rId351">
        <w:r>
          <w:rPr>
            <w:rFonts w:ascii="Times New Roman" w:cs="Times New Roman" w:eastAsia="Times New Roman" w:hAnsi="Times New Roman"/>
            <w:sz w:val="17"/>
            <w:szCs w:val="17"/>
            <w:u w:val="single" w:color="auto"/>
            <w:color w:val="0000EE"/>
          </w:rPr>
          <w:t>Offer Letter, dated as of June 18, 2018, by and between ThinCI, Inc. and Dinakar Munagala.</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1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10.17</w:t>
      </w:r>
      <w:hyperlink r:id="rId352">
        <w:r>
          <w:rPr>
            <w:rFonts w:ascii="Times New Roman" w:cs="Times New Roman" w:eastAsia="Times New Roman" w:hAnsi="Times New Roman"/>
            <w:sz w:val="17"/>
            <w:szCs w:val="17"/>
            <w:u w:val="single" w:color="auto"/>
            <w:color w:val="0000EE"/>
          </w:rPr>
          <w:t>Offer Letter, dated as of June 20, 2018, by and between ThinCI, Inc. and Val Cook.</w:t>
        </w:r>
      </w:hyperlink>
    </w:p>
    <w:p>
      <w:pPr>
        <w:spacing w:after="0" w:line="128" w:lineRule="exact"/>
        <w:rPr>
          <w:rFonts w:ascii="Times New Roman" w:cs="Times New Roman" w:eastAsia="Times New Roman" w:hAnsi="Times New Roman"/>
          <w:sz w:val="17"/>
          <w:szCs w:val="17"/>
          <w:u w:val="single" w:color="auto"/>
          <w:color w:val="0000EE"/>
        </w:rPr>
      </w:pPr>
    </w:p>
    <w:p>
      <w:pPr>
        <w:ind w:left="1120" w:right="1000" w:hanging="1004"/>
        <w:spacing w:after="0" w:line="282" w:lineRule="auto"/>
        <w:tabs>
          <w:tab w:leader="none" w:pos="211" w:val="left"/>
        </w:tabs>
        <w:numPr>
          <w:ilvl w:val="0"/>
          <w:numId w:val="1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hyperlink r:id="rId353">
        <w:r>
          <w:rPr>
            <w:rFonts w:ascii="Times New Roman" w:cs="Times New Roman" w:eastAsia="Times New Roman" w:hAnsi="Times New Roman"/>
            <w:sz w:val="18"/>
            <w:szCs w:val="18"/>
            <w:u w:val="single" w:color="auto"/>
            <w:color w:val="0000EE"/>
          </w:rPr>
          <w:t>Offer Letter, dated as of November 15, 2018, by and between ThinCI, Inc. and Dmitry</w:t>
        </w:r>
      </w:hyperlink>
      <w:r>
        <w:rPr>
          <w:rFonts w:ascii="Times New Roman" w:cs="Times New Roman" w:eastAsia="Times New Roman" w:hAnsi="Times New Roman"/>
          <w:sz w:val="18"/>
          <w:szCs w:val="18"/>
          <w:u w:val="single" w:color="auto"/>
          <w:color w:val="0000EE"/>
        </w:rPr>
        <w:t xml:space="preserve"> </w:t>
      </w:r>
      <w:hyperlink r:id="rId353">
        <w:r>
          <w:rPr>
            <w:rFonts w:ascii="Times New Roman" w:cs="Times New Roman" w:eastAsia="Times New Roman" w:hAnsi="Times New Roman"/>
            <w:sz w:val="18"/>
            <w:szCs w:val="18"/>
            <w:u w:val="single" w:color="auto"/>
            <w:color w:val="0000EE"/>
          </w:rPr>
          <w:t>Zakharchenko.</w:t>
        </w:r>
      </w:hyperlink>
    </w:p>
    <w:p>
      <w:pPr>
        <w:spacing w:after="0" w:line="53" w:lineRule="exact"/>
        <w:rPr>
          <w:rFonts w:ascii="Times New Roman" w:cs="Times New Roman" w:eastAsia="Times New Roman" w:hAnsi="Times New Roman"/>
          <w:sz w:val="18"/>
          <w:szCs w:val="18"/>
          <w:u w:val="single" w:color="auto"/>
          <w:color w:val="0000EE"/>
        </w:rPr>
      </w:pPr>
    </w:p>
    <w:p>
      <w:pPr>
        <w:ind w:left="1120" w:hanging="1004"/>
        <w:spacing w:after="0" w:line="282" w:lineRule="auto"/>
        <w:tabs>
          <w:tab w:leader="none" w:pos="211" w:val="left"/>
        </w:tabs>
        <w:numPr>
          <w:ilvl w:val="0"/>
          <w:numId w:val="1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hyperlink r:id="rId354">
        <w:r>
          <w:rPr>
            <w:rFonts w:ascii="Times New Roman" w:cs="Times New Roman" w:eastAsia="Times New Roman" w:hAnsi="Times New Roman"/>
            <w:sz w:val="18"/>
            <w:szCs w:val="18"/>
            <w:u w:val="single" w:color="auto"/>
            <w:color w:val="0000EE"/>
          </w:rPr>
          <w:t>Amendment to Offer Letter, dated as of February 22, 2022, by and between ThinCI, Inc. and Dmitry</w:t>
        </w:r>
      </w:hyperlink>
      <w:r>
        <w:rPr>
          <w:rFonts w:ascii="Times New Roman" w:cs="Times New Roman" w:eastAsia="Times New Roman" w:hAnsi="Times New Roman"/>
          <w:sz w:val="18"/>
          <w:szCs w:val="18"/>
          <w:u w:val="single" w:color="auto"/>
          <w:color w:val="0000EE"/>
        </w:rPr>
        <w:t xml:space="preserve"> </w:t>
      </w:r>
      <w:hyperlink r:id="rId354">
        <w:r>
          <w:rPr>
            <w:rFonts w:ascii="Times New Roman" w:cs="Times New Roman" w:eastAsia="Times New Roman" w:hAnsi="Times New Roman"/>
            <w:sz w:val="18"/>
            <w:szCs w:val="18"/>
            <w:u w:val="single" w:color="auto"/>
            <w:color w:val="0000EE"/>
          </w:rPr>
          <w:t>Zakharchenko.</w:t>
        </w:r>
      </w:hyperlink>
    </w:p>
    <w:p>
      <w:pPr>
        <w:spacing w:after="0" w:line="94" w:lineRule="exact"/>
        <w:rPr>
          <w:rFonts w:ascii="Times New Roman" w:cs="Times New Roman" w:eastAsia="Times New Roman" w:hAnsi="Times New Roman"/>
          <w:sz w:val="18"/>
          <w:szCs w:val="18"/>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-15875</wp:posOffset>
            </wp:positionH>
            <wp:positionV relativeFrom="paragraph">
              <wp:posOffset>7620</wp:posOffset>
            </wp:positionV>
            <wp:extent cx="15684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tabs>
          <w:tab w:leader="none" w:pos="640" w:val="left"/>
          <w:tab w:leader="none" w:pos="156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900430</wp:posOffset>
            </wp:positionH>
            <wp:positionV relativeFrom="paragraph">
              <wp:posOffset>-3175</wp:posOffset>
            </wp:positionV>
            <wp:extent cx="65151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tbl>
      <w:tblPr>
        <w:tblLayout w:type="fixed"/>
        <w:tblInd w:w="8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12/16/2021</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ectPr>
          <w:pgSz w:w="11900" w:h="16838" w:orient="portrait"/>
          <w:cols w:equalWidth="0" w:num="2">
            <w:col w:w="8340" w:space="280"/>
            <w:col w:w="2440"/>
          </w:cols>
          <w:pgMar w:left="320" w:top="482" w:right="5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6"/>
        </w:trPr>
        <w:tc>
          <w:tcPr>
            <w:tcW w:w="1080" w:type="dxa"/>
            <w:vAlign w:val="bottom"/>
            <w:tcBorders>
              <w:bottom w:val="single" w:sz="8" w:color="auto"/>
            </w:tcBorders>
            <w:gridSpan w:val="2"/>
            <w:vMerge w:val="continue"/>
          </w:tcPr>
          <w:p>
            <w:pPr>
              <w:spacing w:after="0"/>
              <w:rPr>
                <w:sz w:val="11"/>
                <w:szCs w:val="11"/>
                <w:color w:val="auto"/>
              </w:rPr>
            </w:pPr>
          </w:p>
        </w:tc>
        <w:tc>
          <w:tcPr>
            <w:tcW w:w="5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10.20</w:t>
            </w:r>
          </w:p>
        </w:tc>
        <w:tc>
          <w:tcPr>
            <w:tcW w:w="72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358">
              <w:r>
                <w:rPr>
                  <w:rFonts w:ascii="Times New Roman" w:cs="Times New Roman" w:eastAsia="Times New Roman" w:hAnsi="Times New Roman"/>
                  <w:sz w:val="18"/>
                  <w:szCs w:val="18"/>
                  <w:color w:val="0000EE"/>
                  <w:w w:val="99"/>
                </w:rPr>
                <w:t>Offer Letter, dated as of July 4, 2018, by and between ThinCI, Inc. and Santiago Fernandez-Gomez.</w:t>
              </w:r>
            </w:hyperlink>
          </w:p>
        </w:tc>
        <w:tc>
          <w:tcPr>
            <w:tcW w:w="280" w:type="dxa"/>
            <w:vAlign w:val="bottom"/>
          </w:tcPr>
          <w:p>
            <w:pPr>
              <w:spacing w:after="0"/>
              <w:rPr>
                <w:sz w:val="23"/>
                <w:szCs w:val="23"/>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10.21</w:t>
            </w:r>
          </w:p>
        </w:tc>
        <w:tc>
          <w:tcPr>
            <w:tcW w:w="7480" w:type="dxa"/>
            <w:vAlign w:val="bottom"/>
            <w:gridSpan w:val="3"/>
          </w:tcPr>
          <w:p>
            <w:pPr>
              <w:spacing w:after="0"/>
              <w:rPr>
                <w:rFonts w:ascii="Times New Roman" w:cs="Times New Roman" w:eastAsia="Times New Roman" w:hAnsi="Times New Roman"/>
                <w:sz w:val="18"/>
                <w:szCs w:val="18"/>
                <w:color w:val="0000EE"/>
              </w:rPr>
            </w:pPr>
            <w:hyperlink r:id="rId359">
              <w:r>
                <w:rPr>
                  <w:rFonts w:ascii="Times New Roman" w:cs="Times New Roman" w:eastAsia="Times New Roman" w:hAnsi="Times New Roman"/>
                  <w:sz w:val="18"/>
                  <w:szCs w:val="18"/>
                  <w:color w:val="0000EE"/>
                </w:rPr>
                <w:t>Blaize Holdings, Inc. Non-Employee Director Compensation Program.</w:t>
              </w:r>
            </w:hyperlink>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11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10.22</w:t>
      </w:r>
      <w:hyperlink r:id="rId360">
        <w:r>
          <w:rPr>
            <w:rFonts w:ascii="Times New Roman" w:cs="Times New Roman" w:eastAsia="Times New Roman" w:hAnsi="Times New Roman"/>
            <w:sz w:val="17"/>
            <w:szCs w:val="17"/>
            <w:u w:val="single" w:color="auto"/>
            <w:color w:val="0000EE"/>
          </w:rPr>
          <w:t>Form of Stock Option Grant Agreement (Contingent Exercise) and Grant Notice under the Blaize,</w:t>
        </w:r>
      </w:hyperlink>
    </w:p>
    <w:p>
      <w:pPr>
        <w:spacing w:after="0" w:line="7"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324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360">
              <w:r>
                <w:rPr>
                  <w:rFonts w:ascii="Times New Roman" w:cs="Times New Roman" w:eastAsia="Times New Roman" w:hAnsi="Times New Roman"/>
                  <w:sz w:val="18"/>
                  <w:szCs w:val="18"/>
                  <w:color w:val="0000EE"/>
                  <w:w w:val="98"/>
                </w:rPr>
                <w:t>Inc. Amended and Restated 2011 Stock Plan.</w:t>
              </w:r>
            </w:hyperlink>
          </w:p>
        </w:tc>
        <w:tc>
          <w:tcPr>
            <w:tcW w:w="482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8-K</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pacing w:after="0" w:line="117" w:lineRule="exact"/>
        <w:rPr>
          <w:sz w:val="20"/>
          <w:szCs w:val="20"/>
          <w:color w:val="auto"/>
        </w:rPr>
      </w:pPr>
    </w:p>
    <w:p>
      <w:pPr>
        <w:ind w:left="200" w:hanging="84"/>
        <w:spacing w:after="0"/>
        <w:tabs>
          <w:tab w:leader="none" w:pos="200" w:val="left"/>
        </w:tabs>
        <w:numPr>
          <w:ilvl w:val="0"/>
          <w:numId w:val="11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10.23</w:t>
      </w:r>
      <w:hyperlink r:id="rId361">
        <w:r>
          <w:rPr>
            <w:rFonts w:ascii="Times New Roman" w:cs="Times New Roman" w:eastAsia="Times New Roman" w:hAnsi="Times New Roman"/>
            <w:sz w:val="17"/>
            <w:szCs w:val="17"/>
            <w:u w:val="single" w:color="auto"/>
            <w:color w:val="0000EE"/>
          </w:rPr>
          <w:t>Registration Rights Agreement, dated as of July 14, 2025, by and between the Company and B.</w:t>
        </w:r>
      </w:hyperlink>
    </w:p>
    <w:p>
      <w:pPr>
        <w:spacing w:after="0" w:line="7"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24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361">
              <w:r>
                <w:rPr>
                  <w:rFonts w:ascii="Times New Roman" w:cs="Times New Roman" w:eastAsia="Times New Roman" w:hAnsi="Times New Roman"/>
                  <w:sz w:val="18"/>
                  <w:szCs w:val="18"/>
                  <w:color w:val="0000EE"/>
                  <w:w w:val="98"/>
                </w:rPr>
                <w:t>Riley Principal Capital II, LLC</w:t>
              </w:r>
            </w:hyperlink>
          </w:p>
        </w:tc>
        <w:tc>
          <w:tcPr>
            <w:tcW w:w="58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7/15/2025</w:t>
            </w:r>
          </w:p>
        </w:tc>
      </w:tr>
    </w:tbl>
    <w:p>
      <w:pPr>
        <w:spacing w:after="0" w:line="117" w:lineRule="exact"/>
        <w:rPr>
          <w:sz w:val="20"/>
          <w:szCs w:val="20"/>
          <w:color w:val="auto"/>
        </w:rPr>
      </w:pPr>
    </w:p>
    <w:p>
      <w:pPr>
        <w:ind w:left="200" w:hanging="84"/>
        <w:spacing w:after="0"/>
        <w:tabs>
          <w:tab w:leader="none" w:pos="200" w:val="left"/>
        </w:tabs>
        <w:numPr>
          <w:ilvl w:val="0"/>
          <w:numId w:val="11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10.24</w:t>
      </w:r>
      <w:hyperlink r:id="rId362">
        <w:r>
          <w:rPr>
            <w:rFonts w:ascii="Times New Roman" w:cs="Times New Roman" w:eastAsia="Times New Roman" w:hAnsi="Times New Roman"/>
            <w:sz w:val="17"/>
            <w:szCs w:val="17"/>
            <w:u w:val="single" w:color="auto"/>
            <w:color w:val="0000EE"/>
          </w:rPr>
          <w:t>Common Stock Purchase Agreement, dated as of July 14, 2025, by and between the Company and</w:t>
        </w:r>
      </w:hyperlink>
    </w:p>
    <w:p>
      <w:pPr>
        <w:spacing w:after="0" w:line="7"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44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362">
              <w:r>
                <w:rPr>
                  <w:rFonts w:ascii="Times New Roman" w:cs="Times New Roman" w:eastAsia="Times New Roman" w:hAnsi="Times New Roman"/>
                  <w:sz w:val="18"/>
                  <w:szCs w:val="18"/>
                  <w:color w:val="0000EE"/>
                  <w:w w:val="98"/>
                </w:rPr>
                <w:t>B. Riley Principal Capital II, LLC</w:t>
              </w:r>
            </w:hyperlink>
          </w:p>
        </w:tc>
        <w:tc>
          <w:tcPr>
            <w:tcW w:w="5660" w:type="dxa"/>
            <w:vAlign w:val="bottom"/>
          </w:tcPr>
          <w:p>
            <w:pPr>
              <w:ind w:left="5140"/>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7/14/2025</w:t>
            </w:r>
          </w:p>
        </w:tc>
      </w:tr>
    </w:tbl>
    <w:p>
      <w:pPr>
        <w:spacing w:after="0" w:line="117" w:lineRule="exact"/>
        <w:rPr>
          <w:sz w:val="20"/>
          <w:szCs w:val="20"/>
          <w:color w:val="auto"/>
        </w:rPr>
      </w:pPr>
    </w:p>
    <w:p>
      <w:pPr>
        <w:ind w:left="200" w:hanging="84"/>
        <w:spacing w:after="0"/>
        <w:tabs>
          <w:tab w:leader="none" w:pos="200" w:val="left"/>
        </w:tabs>
        <w:numPr>
          <w:ilvl w:val="0"/>
          <w:numId w:val="11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10.25†</w:t>
      </w:r>
      <w:hyperlink r:id="rId363">
        <w:r>
          <w:rPr>
            <w:rFonts w:ascii="Times New Roman" w:cs="Times New Roman" w:eastAsia="Times New Roman" w:hAnsi="Times New Roman"/>
            <w:sz w:val="18"/>
            <w:szCs w:val="18"/>
            <w:u w:val="single" w:color="auto"/>
            <w:color w:val="0000EE"/>
          </w:rPr>
          <w:t>Sales Partner Referral Agreement, dated as of June 30, 2025, by and between the Company and</w:t>
        </w:r>
      </w:hyperlink>
    </w:p>
    <w:tbl>
      <w:tblPr>
        <w:tblLayout w:type="fixed"/>
        <w:tblInd w:w="12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2640" w:type="dxa"/>
            <w:vAlign w:val="bottom"/>
            <w:gridSpan w:val="2"/>
          </w:tcPr>
          <w:p>
            <w:pPr>
              <w:spacing w:after="0" w:line="203" w:lineRule="exact"/>
              <w:rPr>
                <w:rFonts w:ascii="Times New Roman" w:cs="Times New Roman" w:eastAsia="Times New Roman" w:hAnsi="Times New Roman"/>
                <w:sz w:val="18"/>
                <w:szCs w:val="18"/>
                <w:color w:val="0000EE"/>
              </w:rPr>
            </w:pPr>
            <w:hyperlink r:id="rId363">
              <w:r>
                <w:rPr>
                  <w:rFonts w:ascii="Times New Roman" w:cs="Times New Roman" w:eastAsia="Times New Roman" w:hAnsi="Times New Roman"/>
                  <w:sz w:val="18"/>
                  <w:szCs w:val="18"/>
                  <w:color w:val="0000EE"/>
                </w:rPr>
                <w:t>Burkhan LLC.</w:t>
              </w:r>
            </w:hyperlink>
          </w:p>
        </w:tc>
        <w:tc>
          <w:tcPr>
            <w:tcW w:w="5460" w:type="dxa"/>
            <w:vAlign w:val="bottom"/>
          </w:tcPr>
          <w:p>
            <w:pPr>
              <w:ind w:left="4940"/>
              <w:spacing w:after="0" w:line="203" w:lineRule="exact"/>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6/30/2025</w:t>
            </w: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2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64">
              <w:r>
                <w:rPr>
                  <w:rFonts w:ascii="Times New Roman" w:cs="Times New Roman" w:eastAsia="Times New Roman" w:hAnsi="Times New Roman"/>
                  <w:sz w:val="18"/>
                  <w:szCs w:val="18"/>
                  <w:color w:val="0000EE"/>
                  <w:w w:val="98"/>
                </w:rPr>
                <w:t>Subsidiaries of Blaize Holdings, Inc.</w:t>
              </w:r>
            </w:hyperlink>
          </w:p>
        </w:tc>
        <w:tc>
          <w:tcPr>
            <w:tcW w:w="546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pacing w:after="0" w:line="117" w:lineRule="exact"/>
        <w:rPr>
          <w:sz w:val="20"/>
          <w:szCs w:val="20"/>
          <w:color w:val="auto"/>
        </w:rPr>
      </w:pPr>
    </w:p>
    <w:p>
      <w:pPr>
        <w:ind w:left="200" w:hanging="84"/>
        <w:spacing w:after="0"/>
        <w:tabs>
          <w:tab w:leader="none" w:pos="20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UHY LLP.</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Latham &amp; Watkins LLP (included in Exhibit 5.1).</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of the initial filing of this Registration Statement).</w:t>
            </w:r>
          </w:p>
        </w:tc>
      </w:tr>
      <w:tr>
        <w:trPr>
          <w:trHeight w:val="3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5800" w:type="dxa"/>
            <w:vAlign w:val="bottom"/>
          </w:tcPr>
          <w:p>
            <w:pPr>
              <w:spacing w:after="0"/>
              <w:rPr>
                <w:sz w:val="24"/>
                <w:szCs w:val="24"/>
                <w:color w:val="auto"/>
              </w:rPr>
            </w:pPr>
          </w:p>
        </w:tc>
      </w:tr>
    </w:tbl>
    <w:p>
      <w:pPr>
        <w:spacing w:after="0" w:line="130" w:lineRule="exact"/>
        <w:rPr>
          <w:sz w:val="20"/>
          <w:szCs w:val="20"/>
          <w:color w:val="auto"/>
        </w:rPr>
      </w:pPr>
    </w:p>
    <w:p>
      <w:pPr>
        <w:ind w:left="540" w:hanging="424"/>
        <w:spacing w:after="0" w:line="261"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51"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20" w:right="120" w:firstLine="436"/>
        <w:spacing w:after="0" w:line="266" w:lineRule="auto"/>
        <w:tabs>
          <w:tab w:leader="none" w:pos="8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82"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4" w:lineRule="exact"/>
        <w:rPr>
          <w:sz w:val="20"/>
          <w:szCs w:val="20"/>
          <w:color w:val="auto"/>
        </w:rPr>
      </w:pPr>
    </w:p>
    <w:p>
      <w:pPr>
        <w:ind w:left="120" w:right="140" w:firstLine="436"/>
        <w:spacing w:after="0" w:line="266" w:lineRule="auto"/>
        <w:tabs>
          <w:tab w:leader="none" w:pos="8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120" w:right="680" w:firstLine="436"/>
        <w:spacing w:after="0" w:line="282" w:lineRule="auto"/>
        <w:tabs>
          <w:tab w:leader="none" w:pos="8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72" w:lineRule="exact"/>
        <w:rPr>
          <w:sz w:val="20"/>
          <w:szCs w:val="20"/>
          <w:color w:val="auto"/>
        </w:rPr>
      </w:pPr>
    </w:p>
    <w:p>
      <w:pPr>
        <w:ind w:left="120" w:right="240" w:firstLine="436"/>
        <w:spacing w:after="0" w:line="258" w:lineRule="auto"/>
        <w:tabs>
          <w:tab w:leader="none" w:pos="8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23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2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80"/>
          </w:cols>
          <w:pgMar w:left="320" w:top="482"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Registration Statement to be signed on its behalf by the undersigned hereunto duly authorized, on this 17th day of July,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 Director</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Dinakar Munagala and Harminder Sehmi,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40" w:type="dxa"/>
            <w:vAlign w:val="bottom"/>
          </w:tcPr>
          <w:p>
            <w:pPr>
              <w:spacing w:after="0"/>
              <w:rPr>
                <w:sz w:val="15"/>
                <w:szCs w:val="15"/>
                <w:color w:val="auto"/>
              </w:rPr>
            </w:pPr>
          </w:p>
        </w:tc>
        <w:tc>
          <w:tcPr>
            <w:tcW w:w="2580" w:type="dxa"/>
            <w:vAlign w:val="bottom"/>
            <w:gridSpan w:val="2"/>
          </w:tcPr>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rPr>
              <w:t>July 17, 2025</w:t>
            </w:r>
          </w:p>
        </w:tc>
      </w:tr>
      <w:tr>
        <w:trPr>
          <w:trHeight w:val="2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4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4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rPr>
              <w:t>July 17, 2025</w:t>
            </w:r>
          </w:p>
        </w:tc>
      </w:tr>
      <w:tr>
        <w:trPr>
          <w:trHeight w:val="178"/>
        </w:trPr>
        <w:tc>
          <w:tcPr>
            <w:tcW w:w="432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Harminder Sehmi</w:t>
            </w:r>
          </w:p>
        </w:tc>
        <w:tc>
          <w:tcPr>
            <w:tcW w:w="4720" w:type="dxa"/>
            <w:vAlign w:val="bottom"/>
            <w:gridSpan w:val="3"/>
          </w:tcPr>
          <w:p>
            <w:pPr>
              <w:jc w:val="center"/>
              <w:ind w:right="140"/>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4"/>
        </w:trPr>
        <w:tc>
          <w:tcPr>
            <w:tcW w:w="1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Officer)</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4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Edward Frank</w:t>
            </w:r>
          </w:p>
        </w:tc>
        <w:tc>
          <w:tcPr>
            <w:tcW w:w="4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rPr>
              <w:t>July 17, 2025</w:t>
            </w:r>
          </w:p>
        </w:tc>
      </w:tr>
      <w:tr>
        <w:trPr>
          <w:trHeight w:val="2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Juergen Hambrecht</w:t>
            </w:r>
          </w:p>
        </w:tc>
        <w:tc>
          <w:tcPr>
            <w:tcW w:w="4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rPr>
              <w:t>July 17, 2025</w:t>
            </w:r>
          </w:p>
        </w:tc>
      </w:tr>
      <w:tr>
        <w:trPr>
          <w:trHeight w:val="2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Tony Cannestra</w:t>
            </w:r>
          </w:p>
        </w:tc>
        <w:tc>
          <w:tcPr>
            <w:tcW w:w="4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rPr>
              <w:t>July 17, 2025</w:t>
            </w:r>
          </w:p>
        </w:tc>
      </w:tr>
      <w:tr>
        <w:trPr>
          <w:trHeight w:val="2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George de Urioste</w:t>
            </w:r>
          </w:p>
        </w:tc>
        <w:tc>
          <w:tcPr>
            <w:tcW w:w="4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rPr>
              <w:t>July 17, 2025</w:t>
            </w:r>
          </w:p>
        </w:tc>
      </w:tr>
      <w:tr>
        <w:trPr>
          <w:trHeight w:val="2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Lane Bess</w:t>
            </w:r>
          </w:p>
        </w:tc>
        <w:tc>
          <w:tcPr>
            <w:tcW w:w="4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rPr>
              <w:t>July 17, 2025</w:t>
            </w:r>
          </w:p>
        </w:tc>
      </w:tr>
      <w:tr>
        <w:trPr>
          <w:trHeight w:val="2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Lane Bess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4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Yoshiaki Fujimori</w:t>
            </w:r>
          </w:p>
        </w:tc>
        <w:tc>
          <w:tcPr>
            <w:tcW w:w="4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rPr>
              <w:t>July 17, 2025</w:t>
            </w:r>
          </w:p>
        </w:tc>
      </w:tr>
      <w:tr>
        <w:trPr>
          <w:trHeight w:val="2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38" w:orient="portrait"/>
          <w:cols w:equalWidth="0" w:num="1">
            <w:col w:w="11120"/>
          </w:cols>
          <w:pgMar w:left="320" w:top="482" w:right="459" w:bottom="1440" w:gutter="0" w:footer="0" w:header="0"/>
        </w:sectPr>
      </w:pPr>
    </w:p>
    <w:bookmarkStart w:id="242" w:name="page243"/>
    <w:bookmarkEnd w:id="242"/>
    <w:p>
      <w:pPr>
        <w:ind w:left="10184"/>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7404"/>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27" w:lineRule="exact"/>
        <w:rPr>
          <w:sz w:val="20"/>
          <w:szCs w:val="20"/>
          <w:color w:val="auto"/>
        </w:rPr>
      </w:pPr>
    </w:p>
    <w:p>
      <w:pPr>
        <w:ind w:left="7404"/>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7404"/>
        <w:spacing w:after="0"/>
        <w:rPr>
          <w:sz w:val="20"/>
          <w:szCs w:val="20"/>
          <w:color w:val="auto"/>
        </w:rPr>
      </w:pPr>
      <w:r>
        <w:rPr>
          <w:rFonts w:ascii="Times New Roman" w:cs="Times New Roman" w:eastAsia="Times New Roman" w:hAnsi="Times New Roman"/>
          <w:sz w:val="18"/>
          <w:szCs w:val="18"/>
          <w:color w:val="auto"/>
        </w:rPr>
        <w:t>Tel: +1.713.546.5400  Fax: +1.713.546.5401</w:t>
      </w:r>
    </w:p>
    <w:p>
      <w:pPr>
        <w:spacing w:after="0" w:line="9" w:lineRule="exact"/>
        <w:rPr>
          <w:sz w:val="20"/>
          <w:szCs w:val="20"/>
          <w:color w:val="auto"/>
        </w:rPr>
      </w:pPr>
    </w:p>
    <w:p>
      <w:pPr>
        <w:ind w:left="7404"/>
        <w:spacing w:after="0"/>
        <w:rPr>
          <w:sz w:val="20"/>
          <w:szCs w:val="20"/>
          <w:color w:val="auto"/>
        </w:rPr>
      </w:pPr>
      <w:r>
        <w:rPr>
          <w:rFonts w:ascii="Times New Roman" w:cs="Times New Roman" w:eastAsia="Times New Roman" w:hAnsi="Times New Roman"/>
          <w:sz w:val="18"/>
          <w:szCs w:val="18"/>
          <w:color w:val="auto"/>
        </w:rPr>
        <w:t>www.lw.com</w:t>
      </w:r>
    </w:p>
    <w:p>
      <w:pPr>
        <w:spacing w:after="0" w:line="99" w:lineRule="exact"/>
        <w:rPr>
          <w:sz w:val="20"/>
          <w:szCs w:val="20"/>
          <w:color w:val="auto"/>
        </w:rPr>
      </w:pPr>
    </w:p>
    <w:p>
      <w:pPr>
        <w:ind w:left="7404"/>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34235" cy="3086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2134235" cy="30861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p>
      <w:pPr>
        <w:spacing w:after="0" w:line="36" w:lineRule="exact"/>
        <w:rPr>
          <w:sz w:val="20"/>
          <w:szCs w:val="20"/>
          <w:color w:val="auto"/>
        </w:rPr>
      </w:pPr>
    </w:p>
    <w:p>
      <w:pPr>
        <w:ind w:left="7404"/>
        <w:spacing w:after="0"/>
        <w:rPr>
          <w:sz w:val="20"/>
          <w:szCs w:val="20"/>
          <w:color w:val="auto"/>
        </w:rPr>
      </w:pPr>
      <w:r>
        <w:rPr>
          <w:rFonts w:ascii="Times New Roman" w:cs="Times New Roman" w:eastAsia="Times New Roman" w:hAnsi="Times New Roman"/>
          <w:sz w:val="17"/>
          <w:szCs w:val="17"/>
          <w:color w:val="auto"/>
        </w:rPr>
        <w:t>Austin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Milan</w:t>
      </w:r>
    </w:p>
    <w:p>
      <w:pPr>
        <w:spacing w:after="0" w:line="36" w:lineRule="exact"/>
        <w:rPr>
          <w:sz w:val="20"/>
          <w:szCs w:val="20"/>
          <w:color w:val="auto"/>
        </w:rPr>
      </w:pPr>
    </w:p>
    <w:p>
      <w:pPr>
        <w:sectPr>
          <w:pgSz w:w="11900" w:h="16838" w:orient="portrait"/>
          <w:cols w:equalWidth="0" w:num="2">
            <w:col w:w="8424" w:space="720"/>
            <w:col w:w="1880"/>
          </w:cols>
          <w:pgMar w:left="436" w:top="11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17,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Beijing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Brussels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Century City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Düsseldorf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Frankfurt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Hamburg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Munich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County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Riyadh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Tokyo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w:t>
      </w:r>
    </w:p>
    <w:p>
      <w:pPr>
        <w:spacing w:after="0" w:line="427" w:lineRule="exact"/>
        <w:rPr>
          <w:sz w:val="20"/>
          <w:szCs w:val="20"/>
          <w:color w:val="auto"/>
        </w:rPr>
      </w:pPr>
    </w:p>
    <w:p>
      <w:pPr>
        <w:sectPr>
          <w:pgSz w:w="11900" w:h="16838" w:orient="portrait"/>
          <w:cols w:equalWidth="0" w:num="3">
            <w:col w:w="6684" w:space="720"/>
            <w:col w:w="1020" w:space="720"/>
            <w:col w:w="1880"/>
          </w:cols>
          <w:pgMar w:left="436" w:top="117" w:right="439" w:bottom="144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 Dorado Hills, C 95762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Blaize Holdings, Inc. – Registration Statement on Form S-1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3"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We have acted as special counsel to Blaize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filing on the date hereof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of a registration statement on Form S-1 (as amended, the “</w:t>
      </w:r>
      <w:r>
        <w:rPr>
          <w:rFonts w:ascii="Times New Roman" w:cs="Times New Roman" w:eastAsia="Times New Roman" w:hAnsi="Times New Roman"/>
          <w:sz w:val="17"/>
          <w:szCs w:val="17"/>
          <w:b w:val="1"/>
          <w:bCs w:val="1"/>
          <w:i w:val="1"/>
          <w:iCs w:val="1"/>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Statement</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relating to the registration of the offer and sale from time to time, in each case, by</w:t>
      </w:r>
    </w:p>
    <w:p>
      <w:pPr>
        <w:spacing w:after="0" w:line="1" w:lineRule="exact"/>
        <w:rPr>
          <w:sz w:val="20"/>
          <w:szCs w:val="20"/>
          <w:color w:val="auto"/>
        </w:rPr>
      </w:pPr>
    </w:p>
    <w:p>
      <w:pPr>
        <w:ind w:left="4" w:right="100" w:hanging="4"/>
        <w:spacing w:after="0" w:line="265" w:lineRule="auto"/>
        <w:tabs>
          <w:tab w:leader="none" w:pos="219"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Riley Principal Capital II, LLC (“</w:t>
      </w:r>
      <w:r>
        <w:rPr>
          <w:rFonts w:ascii="Times New Roman" w:cs="Times New Roman" w:eastAsia="Times New Roman" w:hAnsi="Times New Roman"/>
          <w:sz w:val="17"/>
          <w:szCs w:val="17"/>
          <w:b w:val="1"/>
          <w:bCs w:val="1"/>
          <w:color w:val="auto"/>
        </w:rPr>
        <w:t>B. Riley</w:t>
      </w:r>
      <w:r>
        <w:rPr>
          <w:rFonts w:ascii="Times New Roman" w:cs="Times New Roman" w:eastAsia="Times New Roman" w:hAnsi="Times New Roman"/>
          <w:sz w:val="17"/>
          <w:szCs w:val="17"/>
          <w:color w:val="auto"/>
        </w:rPr>
        <w:t xml:space="preserve">”) of up to 20,326,158 shares (the </w:t>
      </w:r>
      <w:r>
        <w:rPr>
          <w:rFonts w:ascii="Times New Roman" w:cs="Times New Roman" w:eastAsia="Times New Roman" w:hAnsi="Times New Roman"/>
          <w:sz w:val="17"/>
          <w:szCs w:val="17"/>
          <w:b w:val="1"/>
          <w:bCs w:val="1"/>
          <w:i w:val="1"/>
          <w:iCs w:val="1"/>
          <w:color w:val="auto"/>
        </w:rPr>
        <w:t>“B. Riley Shares”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of common stock, par value $0.0001 per share, of the Company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consisting of (x) 83,353 shares that the Company issued to B. Riley in a private placement on July 14, 2025 and</w:t>
      </w:r>
    </w:p>
    <w:p>
      <w:pPr>
        <w:ind w:left="4" w:right="300" w:hanging="4"/>
        <w:spacing w:after="0" w:line="251" w:lineRule="auto"/>
        <w:tabs>
          <w:tab w:leader="none" w:pos="2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20,242,805 shares that the Company may elect, in its sole discretion, to issue and sell to B. Riley, from time to time from and after the Commencement Date as defined in that certain common stock purchase agreement, dated as of July 14, 2025, by and between the Company and B. Riley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and (ii) Cantor Fitzgerald &amp; Co. (“</w:t>
      </w:r>
      <w:r>
        <w:rPr>
          <w:rFonts w:ascii="Times New Roman" w:cs="Times New Roman" w:eastAsia="Times New Roman" w:hAnsi="Times New Roman"/>
          <w:sz w:val="18"/>
          <w:szCs w:val="18"/>
          <w:b w:val="1"/>
          <w:bCs w:val="1"/>
          <w:i w:val="1"/>
          <w:iCs w:val="1"/>
          <w:color w:val="auto"/>
        </w:rPr>
        <w:t>Cantor</w:t>
      </w:r>
      <w:r>
        <w:rPr>
          <w:rFonts w:ascii="Times New Roman" w:cs="Times New Roman" w:eastAsia="Times New Roman" w:hAnsi="Times New Roman"/>
          <w:sz w:val="18"/>
          <w:szCs w:val="18"/>
          <w:color w:val="auto"/>
        </w:rPr>
        <w:t>” and, together with B. Riley, the “</w:t>
      </w:r>
      <w:r>
        <w:rPr>
          <w:rFonts w:ascii="Times New Roman" w:cs="Times New Roman" w:eastAsia="Times New Roman" w:hAnsi="Times New Roman"/>
          <w:sz w:val="18"/>
          <w:szCs w:val="18"/>
          <w:b w:val="1"/>
          <w:bCs w:val="1"/>
          <w:i w:val="1"/>
          <w:iCs w:val="1"/>
          <w:color w:val="auto"/>
        </w:rPr>
        <w:t>Selling Stockholders</w:t>
      </w:r>
      <w:r>
        <w:rPr>
          <w:rFonts w:ascii="Times New Roman" w:cs="Times New Roman" w:eastAsia="Times New Roman" w:hAnsi="Times New Roman"/>
          <w:sz w:val="18"/>
          <w:szCs w:val="18"/>
          <w:color w:val="auto"/>
        </w:rPr>
        <w:t>”) of 769,231 shares of Common Stock (together with the B. Riley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consisting of shares that the Company issued to Cantor in a private placement on July 14, 2025, pursuant to that certain letter agreement, dated April 11, 2025, by and between the Company and Cantor. This opinion is being furnished in connection with the requirements of Item 601(b)(5) of Regulation S-K under the Act, and no opinion is expressed herein as to any matter pertaining to the contents of the Registration Statement or related prospectus or prospectus supplement (collectively,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other than as expressly stated herein with respect to the offer and sale of the Shares.</w:t>
      </w:r>
    </w:p>
    <w:p>
      <w:pPr>
        <w:spacing w:after="0" w:line="194"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with respect to any other laws.</w:t>
      </w:r>
    </w:p>
    <w:p>
      <w:pPr>
        <w:sectPr>
          <w:pgSz w:w="11900" w:h="16838" w:orient="portrait"/>
          <w:cols w:equalWidth="0" w:num="1">
            <w:col w:w="11024"/>
          </w:cols>
          <w:pgMar w:left="436" w:top="117" w:right="439"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17,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Selling Stockholders, and have been issued by the Company against payment therefor (not less than par value) in the circumstances contemplated by the Registration Statement and the Purchase Agreement, the issuance and sale of the Shares will have been duly authorized by all necessary corporate action of the Company, and the Shares will be validly issued, fully paid and nonassessable. In rendering the foregoing opinion, we have assumed that certain terms of the Shares to be issued by the Company from time to time will be authorized and approved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one or more committees thereof established by the Board or other person or body designated by the Board having the authority to issue and sell Shares pursuant to the Purchase Agreement in accordance with the DGCL, the third amended and restated certificate of incorporation and the amended and restated bylaws of the Company and certain resolutions of the Board and one or more committees thereof.</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rendering the foregoing opinion, we have assumed that (i) the Company complied or will comply with all applicable notice requirements regarding uncertificated shares provided in the DGCL and (ii) upon the issuance of any of the Shares, the total number of shares of Common Stock issued and outstanding will not exceed the total number of shares of Common Stock that the Company is then authorized to issue under its amended and restated certificate of incorporation.</w:t>
      </w:r>
    </w:p>
    <w:p>
      <w:pPr>
        <w:spacing w:after="0" w:line="180"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0960"/>
          </w:cols>
          <w:pgMar w:left="440" w:top="266" w:right="49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Blaize Holdings, Inc. (the “Company”) on Form S-1 of our report dated March 11, 2025, which includes an explanatory paragraph as to Blaize, Inc. and Subsidiaries’ ability to continue as a going concern, with respect to our audits of the consolidated financial statements of Blaize, Inc. and Subsidiaries as of December 31, 2024 and 2023 and for the years then ended.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16, 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 Independent Member of Urbach Hacker Young International</w:t>
      </w:r>
    </w:p>
    <w:p>
      <w:pPr>
        <w:sectPr>
          <w:pgSz w:w="11900" w:h="16838" w:orient="portrait"/>
          <w:cols w:equalWidth="0" w:num="1">
            <w:col w:w="11020"/>
          </w:cols>
          <w:pgMar w:left="440" w:top="117" w:right="4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173990</wp:posOffset>
            </wp:positionV>
            <wp:extent cx="5572125" cy="12604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5572125" cy="1260475"/>
                    </a:xfrm>
                    <a:prstGeom prst="rect">
                      <a:avLst/>
                    </a:prstGeom>
                    <a:noFill/>
                  </pic:spPr>
                </pic:pic>
              </a:graphicData>
            </a:graphic>
          </wp:anchor>
        </w:drawing>
      </w:r>
    </w:p>
    <w:p>
      <w:pPr>
        <w:spacing w:after="0" w:line="247" w:lineRule="exact"/>
        <w:rPr>
          <w:sz w:val="20"/>
          <w:szCs w:val="20"/>
          <w:color w:val="auto"/>
        </w:rPr>
      </w:pPr>
    </w:p>
    <w:tbl>
      <w:tblPr>
        <w:tblLayout w:type="fixed"/>
        <w:tblInd w:w="1324"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76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jc w:val="center"/>
              <w:ind w:left="117"/>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740" w:type="dxa"/>
            <w:vAlign w:val="bottom"/>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660" w:type="dxa"/>
            <w:vAlign w:val="bottom"/>
          </w:tcPr>
          <w:p>
            <w:pPr>
              <w:spacing w:after="0"/>
              <w:rPr>
                <w:sz w:val="11"/>
                <w:szCs w:val="11"/>
                <w:color w:val="auto"/>
              </w:rPr>
            </w:pPr>
          </w:p>
        </w:tc>
        <w:tc>
          <w:tcPr>
            <w:tcW w:w="128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Fee Calculation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 Aggregate</w:t>
            </w:r>
          </w:p>
        </w:tc>
        <w:tc>
          <w:tcPr>
            <w:tcW w:w="820" w:type="dxa"/>
            <w:vAlign w:val="bottom"/>
          </w:tcPr>
          <w:p>
            <w:pPr>
              <w:spacing w:after="0"/>
              <w:rPr>
                <w:sz w:val="11"/>
                <w:szCs w:val="11"/>
                <w:color w:val="auto"/>
              </w:rPr>
            </w:pPr>
          </w:p>
        </w:tc>
        <w:tc>
          <w:tcPr>
            <w:tcW w:w="84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204"/>
        </w:trPr>
        <w:tc>
          <w:tcPr>
            <w:tcW w:w="74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Type </w:t>
            </w:r>
          </w:p>
        </w:tc>
        <w:tc>
          <w:tcPr>
            <w:tcW w:w="16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Security Class Title</w:t>
            </w:r>
          </w:p>
        </w:tc>
        <w:tc>
          <w:tcPr>
            <w:tcW w:w="128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980" w:type="dxa"/>
            <w:vAlign w:val="bottom"/>
          </w:tcPr>
          <w:p>
            <w:pPr>
              <w:jc w:val="center"/>
              <w:spacing w:after="0" w:line="204" w:lineRule="exact"/>
              <w:rPr>
                <w:sz w:val="20"/>
                <w:szCs w:val="20"/>
                <w:color w:val="auto"/>
              </w:rPr>
            </w:pPr>
            <w:r>
              <w:rPr>
                <w:rFonts w:ascii="Times New Roman" w:cs="Times New Roman" w:eastAsia="Times New Roman" w:hAnsi="Times New Roman"/>
                <w:sz w:val="13"/>
                <w:szCs w:val="13"/>
                <w:b w:val="1"/>
                <w:bCs w:val="1"/>
                <w:color w:val="auto"/>
                <w:w w:val="95"/>
              </w:rPr>
              <w:t>Registered</w:t>
            </w:r>
            <w:r>
              <w:rPr>
                <w:rFonts w:ascii="Times New Roman" w:cs="Times New Roman" w:eastAsia="Times New Roman" w:hAnsi="Times New Roman"/>
                <w:sz w:val="18"/>
                <w:szCs w:val="18"/>
                <w:b w:val="1"/>
                <w:bCs w:val="1"/>
                <w:color w:val="auto"/>
                <w:w w:val="95"/>
                <w:vertAlign w:val="superscript"/>
              </w:rPr>
              <w:t>(1)</w:t>
            </w:r>
          </w:p>
        </w:tc>
        <w:tc>
          <w:tcPr>
            <w:tcW w:w="76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Offering Price</w:t>
            </w: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4" w:type="dxa"/>
        <w:tblCellMar>
          <w:top w:w="0" w:type="dxa"/>
          <w:left w:w="0" w:type="dxa"/>
          <w:bottom w:w="0" w:type="dxa"/>
          <w:right w:w="0" w:type="dxa"/>
        </w:tblCellMar>
      </w:tblPr>
      <w:tr>
        <w:trPr>
          <w:trHeight w:val="160"/>
        </w:trPr>
        <w:tc>
          <w:tcPr>
            <w:tcW w:w="700" w:type="dxa"/>
            <w:vAlign w:val="bottom"/>
          </w:tcPr>
          <w:p>
            <w:pPr>
              <w:spacing w:after="0"/>
              <w:rPr>
                <w:sz w:val="13"/>
                <w:szCs w:val="13"/>
                <w:color w:val="auto"/>
              </w:rPr>
            </w:pPr>
          </w:p>
        </w:tc>
        <w:tc>
          <w:tcPr>
            <w:tcW w:w="388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97"/>
        </w:trPr>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Equity </w:t>
            </w:r>
          </w:p>
        </w:tc>
        <w:tc>
          <w:tcPr>
            <w:tcW w:w="8060" w:type="dxa"/>
            <w:vAlign w:val="bottom"/>
            <w:tcBorders>
              <w:bottom w:val="single" w:sz="8" w:color="auto"/>
            </w:tcBorders>
            <w:gridSpan w:val="3"/>
          </w:tcPr>
          <w:p>
            <w:pPr>
              <w:ind w:left="20"/>
              <w:spacing w:after="0" w:line="297" w:lineRule="exact"/>
              <w:rPr>
                <w:sz w:val="20"/>
                <w:szCs w:val="20"/>
                <w:color w:val="auto"/>
              </w:rPr>
            </w:pPr>
            <w:r>
              <w:rPr>
                <w:rFonts w:ascii="Times New Roman" w:cs="Times New Roman" w:eastAsia="Times New Roman" w:hAnsi="Times New Roman"/>
                <w:sz w:val="34"/>
                <w:szCs w:val="34"/>
                <w:color w:val="auto"/>
                <w:w w:val="94"/>
                <w:vertAlign w:val="subscript"/>
              </w:rPr>
              <w:t>$0.0001 par value per share </w:t>
            </w:r>
            <w:r>
              <w:rPr>
                <w:rFonts w:ascii="Times New Roman" w:cs="Times New Roman" w:eastAsia="Times New Roman" w:hAnsi="Times New Roman"/>
                <w:sz w:val="18"/>
                <w:szCs w:val="18"/>
                <w:color w:val="auto"/>
                <w:w w:val="94"/>
              </w:rPr>
              <w:t xml:space="preserve">  Rule 457(c)   21,095,389</w:t>
            </w:r>
            <w:r>
              <w:rPr>
                <w:rFonts w:ascii="Times New Roman" w:cs="Times New Roman" w:eastAsia="Times New Roman" w:hAnsi="Times New Roman"/>
                <w:sz w:val="25"/>
                <w:szCs w:val="25"/>
                <w:color w:val="auto"/>
                <w:w w:val="94"/>
                <w:vertAlign w:val="superscript"/>
              </w:rPr>
              <w:t>(2)</w:t>
            </w:r>
            <w:r>
              <w:rPr>
                <w:rFonts w:ascii="Times New Roman" w:cs="Times New Roman" w:eastAsia="Times New Roman" w:hAnsi="Times New Roman"/>
                <w:sz w:val="18"/>
                <w:szCs w:val="18"/>
                <w:color w:val="auto"/>
                <w:w w:val="94"/>
              </w:rPr>
              <w:t xml:space="preserve">   $2.83</w:t>
            </w:r>
            <w:r>
              <w:rPr>
                <w:rFonts w:ascii="Times New Roman" w:cs="Times New Roman" w:eastAsia="Times New Roman" w:hAnsi="Times New Roman"/>
                <w:sz w:val="25"/>
                <w:szCs w:val="25"/>
                <w:color w:val="auto"/>
                <w:w w:val="94"/>
                <w:vertAlign w:val="superscript"/>
              </w:rPr>
              <w:t>(3)</w:t>
            </w:r>
            <w:r>
              <w:rPr>
                <w:rFonts w:ascii="Times New Roman" w:cs="Times New Roman" w:eastAsia="Times New Roman" w:hAnsi="Times New Roman"/>
                <w:sz w:val="18"/>
                <w:szCs w:val="18"/>
                <w:color w:val="auto"/>
                <w:w w:val="94"/>
              </w:rPr>
              <w:t xml:space="preserve">   $59,699,950.87   $0.0001531   $9,140.06</w:t>
            </w:r>
          </w:p>
        </w:tc>
      </w:tr>
      <w:tr>
        <w:trPr>
          <w:trHeight w:val="234"/>
        </w:trPr>
        <w:tc>
          <w:tcPr>
            <w:tcW w:w="7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27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$59,699,950.87</w:t>
            </w:r>
          </w:p>
        </w:tc>
        <w:tc>
          <w:tcPr>
            <w:tcW w:w="142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6"/>
                <w:szCs w:val="16"/>
                <w:color w:val="auto"/>
              </w:rPr>
              <w:t>$9,140.06</w:t>
            </w:r>
          </w:p>
        </w:tc>
      </w:tr>
      <w:tr>
        <w:trPr>
          <w:trHeight w:val="239"/>
        </w:trPr>
        <w:tc>
          <w:tcPr>
            <w:tcW w:w="7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jc w:val="center"/>
              <w:ind w:right="170"/>
              <w:spacing w:after="0" w:line="238" w:lineRule="exact"/>
              <w:rPr>
                <w:sz w:val="20"/>
                <w:szCs w:val="20"/>
                <w:color w:val="auto"/>
              </w:rPr>
            </w:pPr>
            <w:r>
              <w:rPr>
                <w:rFonts w:ascii="Times New Roman" w:cs="Times New Roman" w:eastAsia="Times New Roman" w:hAnsi="Times New Roman"/>
                <w:sz w:val="18"/>
                <w:szCs w:val="18"/>
                <w:b w:val="1"/>
                <w:bCs w:val="1"/>
                <w:color w:val="auto"/>
                <w:w w:val="96"/>
              </w:rPr>
              <w:t>Total Fee Offsets</w:t>
            </w:r>
            <w:r>
              <w:rPr>
                <w:rFonts w:ascii="Times New Roman" w:cs="Times New Roman" w:eastAsia="Times New Roman" w:hAnsi="Times New Roman"/>
                <w:sz w:val="26"/>
                <w:szCs w:val="26"/>
                <w:b w:val="1"/>
                <w:bCs w:val="1"/>
                <w:color w:val="auto"/>
                <w:w w:val="96"/>
                <w:vertAlign w:val="superscript"/>
              </w:rPr>
              <w:t>(4)</w:t>
            </w:r>
          </w:p>
        </w:tc>
        <w:tc>
          <w:tcPr>
            <w:tcW w:w="2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5"/>
              </w:rPr>
              <w:t>$ —</w:t>
            </w:r>
          </w:p>
        </w:tc>
      </w:tr>
      <w:tr>
        <w:trPr>
          <w:trHeight w:val="232"/>
        </w:trPr>
        <w:tc>
          <w:tcPr>
            <w:tcW w:w="700" w:type="dxa"/>
            <w:vAlign w:val="bottom"/>
          </w:tcPr>
          <w:p>
            <w:pPr>
              <w:spacing w:after="0"/>
              <w:rPr>
                <w:sz w:val="20"/>
                <w:szCs w:val="20"/>
                <w:color w:val="auto"/>
              </w:rPr>
            </w:pPr>
          </w:p>
        </w:tc>
        <w:tc>
          <w:tcPr>
            <w:tcW w:w="38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2760" w:type="dxa"/>
            <w:vAlign w:val="bottom"/>
          </w:tcPr>
          <w:p>
            <w:pPr>
              <w:spacing w:after="0"/>
              <w:rPr>
                <w:sz w:val="20"/>
                <w:szCs w:val="20"/>
                <w:color w:val="auto"/>
              </w:rPr>
            </w:pPr>
          </w:p>
        </w:tc>
        <w:tc>
          <w:tcPr>
            <w:tcW w:w="142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9"/>
              </w:rPr>
              <w:t>$9,140.06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715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24" w:right="180" w:hanging="424"/>
        <w:spacing w:after="0" w:line="257" w:lineRule="auto"/>
        <w:tabs>
          <w:tab w:leader="none" w:pos="4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U.S. Securities Act of 1933, as amended (the “Securities Act”), there are also being registered an indeterminable number of additional securities as may be issued to prevent dilution resulting from stock splits, stock dividends, or similar transactions.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(a) up to 20,242,805 shares of common stock, $0.0001 par value per share (“Common Stock”), of Blaize Holdings, Inc. (the “Company”) issued in connection with the Purchase Agreement described in the prospectus forming part of this registration statement, (b) 83,353 shares of Common Stock issued as consideration for B. Riley Principal Capital II’s commitment to purchase shares of the Company pursuant to the Purchase Agreement described in the prospectus forming part of this registration statement and (c) 769,231 shares of Common Stock issued as consideration to Cantor Fitzgerald &amp; Co. for entering into the Engagement Letter described in the prospectus forming part of this registration statement.</w:t>
      </w:r>
    </w:p>
    <w:p>
      <w:pPr>
        <w:spacing w:after="0" w:line="2" w:lineRule="exact"/>
        <w:rPr>
          <w:rFonts w:ascii="Times New Roman" w:cs="Times New Roman" w:eastAsia="Times New Roman" w:hAnsi="Times New Roman"/>
          <w:sz w:val="18"/>
          <w:szCs w:val="18"/>
          <w:color w:val="auto"/>
        </w:rPr>
      </w:pPr>
    </w:p>
    <w:p>
      <w:pPr>
        <w:ind w:left="424" w:right="200" w:hanging="424"/>
        <w:spacing w:after="0" w:line="250" w:lineRule="auto"/>
        <w:tabs>
          <w:tab w:leader="none" w:pos="4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The proposed maximum offering price per security and proposed maximum aggregate offering price are based on the average of the high and low prices of the Common Stock on The Nasdaq Stock Market LLC (“Nasdaq”) on July 11, 2025 (such date being within five business days of the date that this registration statement was filed with the U.S. Securities and Exchange Commission).</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lvl w:ilvl="1">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1)"/>
      <w:numFmt w:val="lowerLetter"/>
      <w:start w:val="1"/>
    </w:lvl>
  </w:abstractNum>
  <w:abstractNum w:abstractNumId="6">
    <w:nsid w:val="1F48EAA1"/>
    <w:multiLevelType w:val="hybridMultilevel"/>
    <w:lvl w:ilvl="0">
      <w:lvlJc w:val="left"/>
      <w:lvlText w:val="%1"/>
      <w:numFmt w:val="upperLetter"/>
      <w:start w:val="35"/>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1)"/>
      <w:numFmt w:val="lowerRoman"/>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1)"/>
      <w:numFmt w:val="decimal"/>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1)"/>
      <w:numFmt w:val="lowerRoman"/>
      <w:start w:val="3"/>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1)"/>
      <w:numFmt w:val="lowerLetter"/>
      <w:start w:val="26"/>
    </w:lvl>
    <w:lvl w:ilvl="1">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1)"/>
      <w:numFmt w:val="decimal"/>
      <w:start w:val="10"/>
    </w:lvl>
  </w:abstractNum>
  <w:abstractNum w:abstractNumId="44">
    <w:nsid w:val="94211F2"/>
    <w:multiLevelType w:val="hybridMultilevel"/>
    <w:lvl w:ilvl="0">
      <w:lvlJc w:val="left"/>
      <w:lvlText w:val="(%1)"/>
      <w:numFmt w:val="lowerRoman"/>
      <w:start w:val="2"/>
    </w:lvl>
  </w:abstractNum>
  <w:abstractNum w:abstractNumId="45">
    <w:nsid w:val="885E1B"/>
    <w:multiLevelType w:val="hybridMultilevel"/>
    <w:lvl w:ilvl="0">
      <w:lvlJc w:val="left"/>
      <w:lvlText w:val="(%1)"/>
      <w:numFmt w:val="lowerRoman"/>
      <w:start w:val="3"/>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2">
    <w:nsid w:val="68EBC550"/>
    <w:multiLevelType w:val="hybridMultilevel"/>
    <w:lvl w:ilvl="0">
      <w:lvlJc w:val="left"/>
      <w:lvlText w:val="•"/>
      <w:numFmt w:val="bullet"/>
      <w:start w:val="1"/>
    </w:lvl>
    <w:lvl w:ilvl="1">
      <w:lvlJc w:val="left"/>
      <w:lvlText w:val="%2."/>
      <w:numFmt w:val="decimal"/>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1)"/>
      <w:numFmt w:val="decimal"/>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1)"/>
      <w:numFmt w:val="decimal"/>
      <w:start w:val="1"/>
    </w:lvl>
  </w:abstractNum>
  <w:abstractNum w:abstractNumId="65">
    <w:nsid w:val="5FB8370B"/>
    <w:multiLevelType w:val="hybridMultilevel"/>
    <w:lvl w:ilvl="0">
      <w:lvlJc w:val="left"/>
      <w:lvlText w:val="•"/>
      <w:numFmt w:val="bullet"/>
      <w:start w:val="1"/>
    </w:lvl>
    <w:lvl w:ilvl="1">
      <w:lvlJc w:val="left"/>
      <w:lvlText w:val="•"/>
      <w:numFmt w:val="bullet"/>
      <w:start w:val="1"/>
    </w:lvl>
  </w:abstractNum>
  <w:abstractNum w:abstractNumId="66">
    <w:nsid w:val="50801EE1"/>
    <w:multiLevelType w:val="hybridMultilevel"/>
    <w:lvl w:ilvl="0">
      <w:lvlJc w:val="left"/>
      <w:lvlText w:val="•"/>
      <w:numFmt w:val="bullet"/>
      <w:start w:val="1"/>
    </w:lvl>
    <w:lvl w:ilvl="1">
      <w:lvlJc w:val="left"/>
      <w:lvlText w:val="•"/>
      <w:numFmt w:val="bullet"/>
      <w:start w:val="1"/>
    </w:lvl>
  </w:abstractNum>
  <w:abstractNum w:abstractNumId="67">
    <w:nsid w:val="488AC1A"/>
    <w:multiLevelType w:val="hybridMultilevel"/>
    <w:lvl w:ilvl="0">
      <w:lvlJc w:val="left"/>
      <w:lvlText w:val="(%1)"/>
      <w:numFmt w:val="lowerRoman"/>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1)"/>
      <w:numFmt w:val="decimal"/>
      <w:start w:val="1"/>
    </w:lvl>
  </w:abstractNum>
  <w:abstractNum w:abstractNumId="72">
    <w:nsid w:val="6A5F7029"/>
    <w:multiLevelType w:val="hybridMultilevel"/>
    <w:lvl w:ilvl="0">
      <w:lvlJc w:val="left"/>
      <w:lvlText w:val="(%1)"/>
      <w:numFmt w:val="decimal"/>
      <w:start w:val="2"/>
    </w:lvl>
  </w:abstractNum>
  <w:abstractNum w:abstractNumId="73">
    <w:nsid w:val="7D5E18F8"/>
    <w:multiLevelType w:val="hybridMultilevel"/>
    <w:lvl w:ilvl="0">
      <w:lvlJc w:val="left"/>
      <w:lvlText w:val="(%1)"/>
      <w:numFmt w:val="decimal"/>
      <w:start w:val="7"/>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1)"/>
      <w:numFmt w:val="decimal"/>
      <w:start w:val="1"/>
    </w:lvl>
  </w:abstractNum>
  <w:abstractNum w:abstractNumId="76">
    <w:nsid w:val="7DE67713"/>
    <w:multiLevelType w:val="hybridMultilevel"/>
    <w:lvl w:ilvl="0">
      <w:lvlJc w:val="left"/>
      <w:lvlText w:val="(%1)"/>
      <w:numFmt w:val="decimal"/>
      <w:start w:val="2"/>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1)"/>
      <w:numFmt w:val="upperLetter"/>
      <w:start w:val="3"/>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1)"/>
      <w:numFmt w:val="lowerRoman"/>
      <w:start w:val="10"/>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1)"/>
      <w:numFmt w:val="lowerRoman"/>
      <w:start w:val="1"/>
    </w:lvl>
  </w:abstractNum>
  <w:abstractNum w:abstractNumId="86">
    <w:nsid w:val="1D545C4D"/>
    <w:multiLevelType w:val="hybridMultilevel"/>
    <w:lvl w:ilvl="0">
      <w:lvlJc w:val="left"/>
      <w:lvlText w:val="(%1)"/>
      <w:numFmt w:val="lowerRoman"/>
      <w:start w:val="3"/>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1)"/>
      <w:numFmt w:val="lowerLetter"/>
      <w:start w:val="1"/>
    </w:lvl>
  </w:abstractNum>
  <w:abstractNum w:abstractNumId="90">
    <w:nsid w:val="1D9F6E5F"/>
    <w:multiLevelType w:val="hybridMultilevel"/>
    <w:lvl w:ilvl="0">
      <w:lvlJc w:val="left"/>
      <w:lvlText w:val="(%1)"/>
      <w:numFmt w:val="lowerLetter"/>
      <w:start w:val="1"/>
    </w:lvl>
  </w:abstractNum>
  <w:abstractNum w:abstractNumId="91">
    <w:nsid w:val="97E1B4E"/>
    <w:multiLevelType w:val="hybridMultilevel"/>
    <w:lvl w:ilvl="0">
      <w:lvlJc w:val="left"/>
      <w:lvlText w:val="•"/>
      <w:numFmt w:val="bullet"/>
      <w:start w:val="1"/>
    </w:lvl>
    <w:lvl w:ilvl="1">
      <w:lvlJc w:val="left"/>
      <w:lvlText w:val="(%2)"/>
      <w:numFmt w:val="decimal"/>
      <w:start w:val="30"/>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1)"/>
      <w:numFmt w:val="lowerRoman"/>
      <w:start w:val="2"/>
    </w:lvl>
  </w:abstractNum>
  <w:abstractNum w:abstractNumId="94">
    <w:nsid w:val="53584BCB"/>
    <w:multiLevelType w:val="hybridMultilevel"/>
    <w:lvl w:ilvl="0">
      <w:lvlJc w:val="left"/>
      <w:lvlText w:val="(%1)"/>
      <w:numFmt w:val="lowerRoman"/>
      <w:start w:val="2"/>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lvl w:ilvl="1">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1)"/>
      <w:numFmt w:val="lowerRoman"/>
      <w:start w:val="1"/>
    </w:lvl>
    <w:lvl w:ilvl="1">
      <w:lvlJc w:val="left"/>
      <w:lvlText w:val="•"/>
      <w:numFmt w:val="bullet"/>
      <w:start w:val="1"/>
    </w:lvl>
  </w:abstractNum>
  <w:abstractNum w:abstractNumId="100">
    <w:nsid w:val="E7FFA2B"/>
    <w:multiLevelType w:val="hybridMultilevel"/>
    <w:lvl w:ilvl="0">
      <w:lvlJc w:val="left"/>
      <w:lvlText w:val="(%1)"/>
      <w:numFmt w:val="lowerLetter"/>
      <w:start w:val="1"/>
    </w:lvl>
  </w:abstractNum>
  <w:abstractNum w:abstractNumId="101">
    <w:nsid w:val="3C5991AA"/>
    <w:multiLevelType w:val="hybridMultilevel"/>
    <w:lvl w:ilvl="0">
      <w:lvlJc w:val="left"/>
      <w:lvlText w:val="(%1)"/>
      <w:numFmt w:val="lowerLetter"/>
      <w:start w:val="5"/>
    </w:lvl>
  </w:abstractNum>
  <w:abstractNum w:abstractNumId="102">
    <w:nsid w:val="4BD8591A"/>
    <w:multiLevelType w:val="hybridMultilevel"/>
    <w:lvl w:ilvl="0">
      <w:lvlJc w:val="left"/>
      <w:lvlText w:val="(%1)"/>
      <w:numFmt w:val="lowerLetter"/>
      <w:start w:val="1"/>
    </w:lvl>
  </w:abstractNum>
  <w:abstractNum w:abstractNumId="103">
    <w:nsid w:val="78DF6A55"/>
    <w:multiLevelType w:val="hybridMultilevel"/>
    <w:lvl w:ilvl="0">
      <w:lvlJc w:val="left"/>
      <w:lvlText w:val="(%1)"/>
      <w:numFmt w:val="lowerRoman"/>
      <w:start w:val="1"/>
    </w:lvl>
  </w:abstractNum>
  <w:abstractNum w:abstractNumId="104">
    <w:nsid w:val="39B7AAA2"/>
    <w:multiLevelType w:val="hybridMultilevel"/>
    <w:lvl w:ilvl="0">
      <w:lvlJc w:val="left"/>
      <w:lvlText w:val="(%1)"/>
      <w:numFmt w:val="lowerRoman"/>
      <w:start w:val="3"/>
    </w:lvl>
  </w:abstractNum>
  <w:abstractNum w:abstractNumId="105">
    <w:nsid w:val="2B0D8DBE"/>
    <w:multiLevelType w:val="hybridMultilevel"/>
    <w:lvl w:ilvl="0">
      <w:lvlJc w:val="left"/>
      <w:lvlText w:val="(%1)"/>
      <w:numFmt w:val="lowerLetter"/>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1)"/>
      <w:numFmt w:val="lowerLetter"/>
      <w:start w:val="1"/>
    </w:lvl>
  </w:abstractNum>
  <w:abstractNum w:abstractNumId="109">
    <w:nsid w:val="2C27173B"/>
    <w:multiLevelType w:val="hybridMultilevel"/>
    <w:lvl w:ilvl="0">
      <w:lvlJc w:val="left"/>
      <w:lvlText w:val="(%1)"/>
      <w:numFmt w:val="lowerLetter"/>
      <w:start w:val="2"/>
    </w:lvl>
  </w:abstractNum>
  <w:abstractNum w:abstractNumId="110">
    <w:nsid w:val="4C9B0904"/>
    <w:multiLevelType w:val="hybridMultilevel"/>
    <w:lvl w:ilvl="0">
      <w:lvlJc w:val="left"/>
      <w:lvlText w:val="(%1)"/>
      <w:numFmt w:val="lowerLetter"/>
      <w:start w:val="1"/>
    </w:lvl>
  </w:abstractNum>
  <w:abstractNum w:abstractNumId="111">
    <w:nsid w:val="6AA7B75C"/>
    <w:multiLevelType w:val="hybridMultilevel"/>
    <w:lvl w:ilvl="0">
      <w:lvlJc w:val="left"/>
      <w:lvlText w:val=" "/>
      <w:numFmt w:val="bullet"/>
      <w:start w:val="1"/>
    </w:lvl>
  </w:abstractNum>
  <w:abstractNum w:abstractNumId="112">
    <w:nsid w:val="1DF029D3"/>
    <w:multiLevelType w:val="hybridMultilevel"/>
    <w:lvl w:ilvl="0">
      <w:lvlJc w:val="left"/>
      <w:lvlText w:val=" "/>
      <w:numFmt w:val="bullet"/>
      <w:start w:val="1"/>
    </w:lvl>
  </w:abstractNum>
  <w:abstractNum w:abstractNumId="113">
    <w:nsid w:val="5675FF36"/>
    <w:multiLevelType w:val="hybridMultilevel"/>
    <w:lvl w:ilvl="0">
      <w:lvlJc w:val="left"/>
      <w:lvlText w:val=" "/>
      <w:numFmt w:val="bullet"/>
      <w:start w:val="1"/>
    </w:lvl>
  </w:abstractNum>
  <w:abstractNum w:abstractNumId="114">
    <w:nsid w:val="3DD15094"/>
    <w:multiLevelType w:val="hybridMultilevel"/>
    <w:lvl w:ilvl="0">
      <w:lvlJc w:val="left"/>
      <w:lvlText w:val=" "/>
      <w:numFmt w:val="bullet"/>
      <w:start w:val="1"/>
    </w:lvl>
  </w:abstractNum>
  <w:abstractNum w:abstractNumId="115">
    <w:nsid w:val="3DB012B3"/>
    <w:multiLevelType w:val="hybridMultilevel"/>
    <w:lvl w:ilvl="0">
      <w:lvlJc w:val="left"/>
      <w:lvlText w:val=" "/>
      <w:numFmt w:val="bullet"/>
      <w:start w:val="1"/>
    </w:lvl>
  </w:abstractNum>
  <w:abstractNum w:abstractNumId="116">
    <w:nsid w:val="2708C9AF"/>
    <w:multiLevelType w:val="hybridMultilevel"/>
    <w:lvl w:ilvl="0">
      <w:lvlJc w:val="left"/>
      <w:lvlText w:val=" "/>
      <w:numFmt w:val="bullet"/>
      <w:start w:val="1"/>
    </w:lvl>
  </w:abstractNum>
  <w:abstractNum w:abstractNumId="117">
    <w:nsid w:val="5B25ACE2"/>
    <w:multiLevelType w:val="hybridMultilevel"/>
    <w:lvl w:ilvl="0">
      <w:lvlJc w:val="left"/>
      <w:lvlText w:val=" "/>
      <w:numFmt w:val="bullet"/>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1)"/>
      <w:numFmt w:val="lowerLetter"/>
      <w:start w:val="2"/>
    </w:lvl>
  </w:abstractNum>
  <w:abstractNum w:abstractNumId="121">
    <w:nsid w:val="34FD6B4F"/>
    <w:multiLevelType w:val="hybridMultilevel"/>
    <w:lvl w:ilvl="0">
      <w:lvlJc w:val="left"/>
      <w:lvlText w:val="(%1)"/>
      <w:numFmt w:val="decimal"/>
      <w:start w:val="1"/>
    </w:lvl>
  </w:abstractNum>
  <w:abstractNum w:abstractNumId="122">
    <w:nsid w:val="5915FF32"/>
    <w:multiLevelType w:val="hybridMultilevel"/>
    <w:lvl w:ilvl="0">
      <w:lvlJc w:val="left"/>
      <w:lvlText w:val="(%1)"/>
      <w:numFmt w:val="decimal"/>
      <w:start w:val="2"/>
    </w:lvl>
  </w:abstractNum>
  <w:abstractNum w:abstractNumId="123">
    <w:nsid w:val="56438D15"/>
    <w:multiLevelType w:val="hybridMultilevel"/>
    <w:lvl w:ilvl="0">
      <w:lvlJc w:val="left"/>
      <w:lvlText w:val="(%1)"/>
      <w:numFmt w:val="decimal"/>
      <w:start w:val="5"/>
    </w:lvl>
    <w:lvl w:ilvl="1">
      <w:lvlJc w:val="left"/>
      <w:lvlText w:val="(%2)"/>
      <w:numFmt w:val="lowerLetter"/>
      <w:start w:val="1"/>
    </w:lvl>
  </w:abstractNum>
  <w:abstractNum w:abstractNumId="124">
    <w:nsid w:val="519E3149"/>
    <w:multiLevelType w:val="hybridMultilevel"/>
    <w:lvl w:ilvl="0">
      <w:lvlJc w:val="left"/>
      <w:lvlText w:val="(%1)"/>
      <w:numFmt w:val="lowerLetter"/>
      <w:start w:val="9"/>
    </w:lvl>
  </w:abstractNum>
  <w:abstractNum w:abstractNumId="125">
    <w:nsid w:val="2C6E4AFD"/>
    <w:multiLevelType w:val="hybridMultilevel"/>
    <w:lvl w:ilvl="0">
      <w:lvlJc w:val="left"/>
      <w:lvlText w:val="(%1)"/>
      <w:numFmt w:val="lowerLetter"/>
      <w:start w:val="25"/>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35"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jpeg"/><Relationship Id="rId370" Type="http://schemas.openxmlformats.org/officeDocument/2006/relationships/image" Target="media/image329.png"/><Relationship Id="rId371" Type="http://schemas.openxmlformats.org/officeDocument/2006/relationships/image" Target="media/image330.jpeg"/><Relationship Id="rId372" Type="http://schemas.openxmlformats.org/officeDocument/2006/relationships/image" Target="media/image331.png"/><Relationship Id="rId373" Type="http://schemas.openxmlformats.org/officeDocument/2006/relationships/image" Target="media/image332.png"/><Relationship Id="rId327" Type="http://schemas.openxmlformats.org/officeDocument/2006/relationships/hyperlink" Target="http://www.sec.gov/ix?doc=/Archives/edgar/data/1871638/000110465924080933/brkh-20240331xs4.htm" TargetMode="External"/><Relationship Id="rId328" Type="http://schemas.openxmlformats.org/officeDocument/2006/relationships/hyperlink" Target="http://www.sec.gov/Archives/edgar/data/1871638/000110465924112666/tm2418197-13_s4a.htm#tANNEXA3" TargetMode="External"/><Relationship Id="rId329" Type="http://schemas.openxmlformats.org/officeDocument/2006/relationships/hyperlink" Target="http://www.sec.gov/Archives/edgar/data/1871638/000110465924122026/tm2418197-20_s4a.htm#tANNEXA4" TargetMode="External"/><Relationship Id="rId330" Type="http://schemas.openxmlformats.org/officeDocument/2006/relationships/hyperlink" Target="http://www.sec.gov/Archives/edgar/data/1871638/000119312525008517/d903961dex31.htm" TargetMode="External"/><Relationship Id="rId331" Type="http://schemas.openxmlformats.org/officeDocument/2006/relationships/hyperlink" Target="http://www.sec.gov/Archives/edgar/data/1871638/000119312525008517/d903961dex32.htm" TargetMode="External"/><Relationship Id="rId332" Type="http://schemas.openxmlformats.org/officeDocument/2006/relationships/hyperlink" Target="http://www.sec.gov/Archives/edgar/data/1871638/000110465921141949/tm2124406d5_ex4-2.htm" TargetMode="External"/><Relationship Id="rId333" Type="http://schemas.openxmlformats.org/officeDocument/2006/relationships/hyperlink" Target="http://www.sec.gov/Archives/edgar/data/1871638/000110465921141949/tm2124406d5_ex4-3.htm" TargetMode="External"/><Relationship Id="rId334" Type="http://schemas.openxmlformats.org/officeDocument/2006/relationships/hyperlink" Target="http://www.sec.gov/Archives/edgar/data/1871638/000110465921150569/tm2135631d1_ex4-1.htm" TargetMode="External"/><Relationship Id="rId336" Type="http://schemas.openxmlformats.org/officeDocument/2006/relationships/hyperlink" Target="http://www.sec.gov/Archives/edgar/data/1871638/000119312525008517/d903961dex101.htm" TargetMode="External"/><Relationship Id="rId337" Type="http://schemas.openxmlformats.org/officeDocument/2006/relationships/hyperlink" Target="http://www.sec.gov/Archives/edgar/data/1871638/000110465921150569/tm2135631d1_ex10-2.htm" TargetMode="External"/><Relationship Id="rId338" Type="http://schemas.openxmlformats.org/officeDocument/2006/relationships/hyperlink" Target="http://www.sec.gov/Archives/edgar/data/1871638/000119312525008517/d903961dex103.htm" TargetMode="External"/><Relationship Id="rId339" Type="http://schemas.openxmlformats.org/officeDocument/2006/relationships/hyperlink" Target="http://www.sec.gov/Archives/edgar/data/1871638/000119312525008517/d903961dex104.htm" TargetMode="External"/><Relationship Id="rId340" Type="http://schemas.openxmlformats.org/officeDocument/2006/relationships/hyperlink" Target="http://www.sec.gov/Archives/edgar/data/1871638/000119312525008517/d903961dex105.htm" TargetMode="External"/><Relationship Id="rId341" Type="http://schemas.openxmlformats.org/officeDocument/2006/relationships/hyperlink" Target="http://www.sec.gov/Archives/edgar/data/1871638/000119312525008517/d903961dex106.htm" TargetMode="External"/><Relationship Id="rId342" Type="http://schemas.openxmlformats.org/officeDocument/2006/relationships/hyperlink" Target="http://www.sec.gov/Archives/edgar/data/1871638/000119312525008517/d903961dex107.htm" TargetMode="External"/><Relationship Id="rId343" Type="http://schemas.openxmlformats.org/officeDocument/2006/relationships/hyperlink" Target="http://www.sec.gov/Archives/edgar/data/1871638/000119312525008517/d903961dex108.htm" TargetMode="External"/><Relationship Id="rId344" Type="http://schemas.openxmlformats.org/officeDocument/2006/relationships/hyperlink" Target="http://www.sec.gov/Archives/edgar/data/1871638/000110465924132802/tm2431152d1_ex10-1.htm" TargetMode="External"/><Relationship Id="rId345" Type="http://schemas.openxmlformats.org/officeDocument/2006/relationships/hyperlink" Target="http://www.sec.gov/Archives/edgar/data/1871638/000110465925001763/tm252173d1_ex10-1.htm" TargetMode="External"/><Relationship Id="rId346" Type="http://schemas.openxmlformats.org/officeDocument/2006/relationships/hyperlink" Target="http://www.sec.gov/Archives/edgar/data/1871638/000119312525008517/d903961dex1011.htm" TargetMode="External"/><Relationship Id="rId347" Type="http://schemas.openxmlformats.org/officeDocument/2006/relationships/hyperlink" Target="http://www.sec.gov/Archives/edgar/data/1871638/000119312525008517/d903961dex1012.htm" TargetMode="External"/><Relationship Id="rId348" Type="http://schemas.openxmlformats.org/officeDocument/2006/relationships/hyperlink" Target="http://www.sec.gov/Archives/edgar/data/1871638/000119312525008517/d903961dex1013.htm" TargetMode="External"/><Relationship Id="rId349" Type="http://schemas.openxmlformats.org/officeDocument/2006/relationships/hyperlink" Target="http://www.sec.gov/Archives/edgar/data/1871638/000119312525008517/d903961dex1014.htm" TargetMode="External"/><Relationship Id="rId350" Type="http://schemas.openxmlformats.org/officeDocument/2006/relationships/hyperlink" Target="http://www.sec.gov/Archives/edgar/data/1871638/000119312525008517/d903961dex1015.htm" TargetMode="External"/><Relationship Id="rId351" Type="http://schemas.openxmlformats.org/officeDocument/2006/relationships/hyperlink" Target="http://www.sec.gov/Archives/edgar/data/1871638/000119312525008517/d903961dex1016.htm" TargetMode="External"/><Relationship Id="rId352" Type="http://schemas.openxmlformats.org/officeDocument/2006/relationships/hyperlink" Target="http://www.sec.gov/Archives/edgar/data/1871638/000119312525008517/d903961dex1017.htm" TargetMode="External"/><Relationship Id="rId353" Type="http://schemas.openxmlformats.org/officeDocument/2006/relationships/hyperlink" Target="http://www.sec.gov/Archives/edgar/data/1871638/000119312525008517/d903961dex1018.htm" TargetMode="External"/><Relationship Id="rId354" Type="http://schemas.openxmlformats.org/officeDocument/2006/relationships/hyperlink" Target="http://www.sec.gov/Archives/edgar/data/1871638/000119312525008517/d903961dex1019.htm" TargetMode="External"/><Relationship Id="rId358" Type="http://schemas.openxmlformats.org/officeDocument/2006/relationships/hyperlink" Target="http://www.sec.gov/Archives/edgar/data/1871638/000119312525008517/d903961dex1020.htm" TargetMode="External"/><Relationship Id="rId359" Type="http://schemas.openxmlformats.org/officeDocument/2006/relationships/hyperlink" Target="http://www.sec.gov/Archives/edgar/data/1871638/000119312525008517/d903961dex1021.htm" TargetMode="External"/><Relationship Id="rId360" Type="http://schemas.openxmlformats.org/officeDocument/2006/relationships/hyperlink" Target="http://www.sec.gov/Archives/edgar/data/1871638/000119312525008517/d903961dex1022.htm" TargetMode="External"/><Relationship Id="rId361" Type="http://schemas.openxmlformats.org/officeDocument/2006/relationships/hyperlink" Target="http://www.sec.gov/Archives/edgar/data/1871638/000119312525158997/d13627dex102.htm" TargetMode="External"/><Relationship Id="rId362" Type="http://schemas.openxmlformats.org/officeDocument/2006/relationships/hyperlink" Target="http://www.sec.gov/Archives/edgar/data/1871638/000119312525158997/d13627dex101.htm" TargetMode="External"/><Relationship Id="rId363" Type="http://schemas.openxmlformats.org/officeDocument/2006/relationships/hyperlink" Target="http://www.sec.gov/Archives/edgar/data/1871638/000119312525152119/d868639dex101.htm" TargetMode="External"/><Relationship Id="rId364" Type="http://schemas.openxmlformats.org/officeDocument/2006/relationships/hyperlink" Target="http://www.sec.gov/Archives/edgar/data/1871638/000119312525008517/d90396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2025-07-18T05:16:33Z</dcterms:created>
  <dcterms:modified xsi:type="dcterms:W3CDTF">2025-07-18T05:16:33Z</dcterms:modified>
</cp:coreProperties>
</file>