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tm2413006d1_425.htm"/>
      <w:bookmarkStart w:id="1" w:name="kstm2413006d1_425"/>
      <w:bookmarkEnd w:id="0"/>
      <w:bookmarkEnd w:id="1"/>
      <w:r>
        <w:rPr>
          <w:rFonts w:ascii="Times New Roman;Times;Serif" w:hAnsi="Times New Roman;Times;Serif"/>
          <w:b/>
          <w:i w:val="false"/>
          <w:caps w:val="false"/>
          <w:smallCaps w:val="false"/>
          <w:sz w:val="20"/>
        </w:rPr>
        <w:t>Filed by BurTech Acquisition Corp.</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deemed filed pursuant to Rule 14a-12</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br/>
        <w:t>Subject Company: Blaize, Inc.</w:t>
        <w:br/>
        <w:t>Commission File No. 001-41139</w:t>
        <w:br/>
        <w:t>Date: April 29, 2024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Blaize Secures $106 Million in Funding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Solidifying its Leadership Position in Edge AI Computing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 DORADO HILLS, CA, April 29, 2024</w:t>
      </w:r>
      <w:r>
        <w:rPr>
          <w:rFonts w:ascii="Times New Roman;Times;Serif" w:hAnsi="Times New Roman;Times;Serif"/>
          <w:b w:val="false"/>
          <w:i w:val="false"/>
          <w:caps w:val="false"/>
          <w:smallCaps w:val="false"/>
          <w:sz w:val="20"/>
        </w:rPr>
        <w:t> – Blaize, the AI computing innovator revolutionizing edge computing solutions, today announced it has raised $106 million from existing investors, including Bess Ventures, Franklin Templeton, DENSO, Mercedes Benz, and Temasek and new investors Rizvi Traverse, Ava Investors and BurTech LP LLC.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Blaize provides full-stack AI-enabled computing solutions across diverse and expanding markets, encompassing automotive, mobility, retail, security, industrial automation, healthcare and others. Blaize’s programable American-made processor architecture and low-code/no-code software platform solutions enable enterprises to rapidly harness the power of AI at the periphery of the network and in the data center. These solutions deliver real-time insights and decision-making capabilities with speed and efficiency.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efficient processor architecture is designed to address the inherent challenges of edge AI processing, providing high performance computing with low power consumption, minimal latency and high efficiency. The Blaize architecture includes its software suite composed of Blaize® AI Studio® and Blaize® Picasso® SDK (Software Development Kit), providing customers with a user-friendly and flexible means to swiftly develop and deploy applications at a highly optimized total cost of ownership.</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investment lends further credence to our thesis that edge AI is revolutionizing all industries, and we are supercharging our roadmap to deliver its promise,” said Dinakar Munagala, CEO of Blaize. “Blaize has always focused on solving real customer problems and empowering developers and innovators. Our current and next-generation offerings will deliver value across all AI applications, including computer vision, transformers, and multimodal Generative AI. Our unique, fully programable approach makes us ready for the unknown. This is ideal in the fast- changing AI applications landscape, de-risking and reducing cost for our customers, scaling from the edge to the data center, with one uniform and complete hardware and software solution.”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Blaize announced its intention to go public through a business combination with Nasdaq-listed BurTech Acquisition Corp (“BurTech”). This funding will strengthen the company’s balance sheet and accelerate the Blaize roadmap of platforms and solutions for AI computing from the edge to the data center. The company expects to use the financing to capitalize on its current technology and strengthen its position in the market in hardware and software for automotive, computer vision, AI inference, and generative AI.</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 is acting as legal counsel to Blaize on the financing.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Blaize</w:t>
      </w:r>
      <w:r>
        <w:rPr>
          <w:rFonts w:ascii="Times New Roman;Times;Serif" w:hAnsi="Times New Roman;Times;Serif"/>
          <w:b w:val="false"/>
          <w:i w:val="false"/>
          <w:caps w:val="false"/>
          <w:smallCaps w:val="false"/>
          <w:sz w:val="20"/>
        </w:rPr>
        <w:br/>
        <w:t>Blaize has developed a purpose-built, full-stack programmable processor architecture suite and a low-code/no-code software platform that enables AI processing solutions for high-performance computing in multiple large and rapidly growing markets. The Blaize proprietary solutions enable enterprises to harness the power of AI at the periphery of the network and in the data center, delivering real-time insights and decision-making capabilities with speed and efficiency. Our efficient processor architecture addresses the inherent challenges of edge AI processing, providing high-performance computing at low power consumption, minimal latency, and high efficiency. Our comprehensive partner ecosystem of cloud service providers, independent software vendors, aggregators, industrial personal computer vendors, and others provides turn-key solutions based on and complementing our technologies. Blaize previously raised $224 million from strategic investors such as DENSO, Mercedes Benz, Magna, and Samsung and financial investors such as Franklin Templeton, Temasek, GGV, and Bess Ventures. Headquartered in El Dorado Hills (CA), Blaize has more than 200 employees worldwide with teams in San Jose (CA), Cary (NC), and subsidiaries in Hyderabad (India), Leeds and Kings Langley (UK), and Abu Dhabi (UAE).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Contact</w:t>
        <w:br/>
        <w:t>Leo Merle | Blaize, Inc.</w:t>
        <w:br/>
      </w:r>
      <w:r>
        <w:rPr>
          <w:rFonts w:ascii="Times New Roman;Times;Serif" w:hAnsi="Times New Roman;Times;Serif"/>
          <w:b w:val="false"/>
          <w:i w:val="false"/>
          <w:caps w:val="false"/>
          <w:smallCaps w:val="false"/>
          <w:color w:val="0000FF"/>
          <w:sz w:val="20"/>
          <w:u w:val="single"/>
        </w:rPr>
        <w:t>leo.merle@blaize.com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Blaize Investor Contact</w:t>
        <w:br/>
        <w:t>Mark Roberts</w:t>
        <w:br/>
        <w:t>Blueshirt Capital Advisors</w:t>
        <w:br/>
      </w:r>
      <w:r>
        <w:rPr>
          <w:rFonts w:ascii="Times New Roman;Times;Serif" w:hAnsi="Times New Roman;Times;Serif"/>
          <w:b w:val="false"/>
          <w:i w:val="false"/>
          <w:caps w:val="false"/>
          <w:smallCaps w:val="false"/>
          <w:color w:val="0000FF"/>
          <w:sz w:val="20"/>
          <w:u w:val="single"/>
        </w:rPr>
        <w:t>ir@Blaize.com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Cautionary Statement Regarding Forward Looking Statements</w:t>
      </w:r>
      <w:r>
        <w:rPr>
          <w:rFonts w:ascii="Times New Roman;Times;Serif" w:hAnsi="Times New Roman;Times;Serif"/>
          <w:b w:val="false"/>
          <w:i w:val="false"/>
          <w:caps w:val="false"/>
          <w:smallCaps w:val="false"/>
          <w:sz w:val="20"/>
        </w:rPr>
        <w:b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BurTech and Blaize including statements regarding Blaize’s business plans and growth strategies, market opportunities, and financial prospects.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previously disclosed proposed business combination (the “proposed transaction”) may not be completed in a timely manner or at all, which may adversely affect the price of BurTech’s securities; (ii) the risk that the proposed transaction may not be completed by BurTech’s business combination deadline and the potential failure to obtain an extension of the business combination deadline if sought by BurTech; (iii) the failure to satisfy the conditions to the consummation of the proposed transaction, including the approval of the proposed transaction by BurTech’s stockholders, the satisfaction of the minimum aggregate transaction proceeds amount following redemptions by BurTech’s public stockholders and the receipt of certain governmental and regulatory approvals; (iv) the failure to obtain adequate financing to complete the proposed transaction and to support the future working capital needs of Blaize and the combined company; (v) the effect of the pendency of the proposed transaction on Blaize’s business relationships, performance, and business generally; (vi) risks that the proposed transaction disrupts current plans of Blaize and potential difficulties in the retention of Blaize’s employees as a result of the proposed transaction; (vii) the outcome of any legal proceedings that may be instituted against BurTech or Blaize related to the merger agreement and the proposed transaction; (viii) changes to the proposed structure of the proposed transaction that may be required or appropriate as a result of applicable laws or regulations or as a condition to obtaining regulatory approval of the proposed transaction; (ix) the ability to maintain the listing of BurTech’s securities on Nasdaq; (x) the price of BurTech’s securities, including volatility resulting from changes in the competitive and highly regulated industries in which Blaize operates, variations in performance across competitors, changes in laws and regulations affecting Blaize’s business and changes in the combined capital structure; (xi) the ability to implement business plans, forecasts, and other expectations after the completion of the proposed transaction, including the possibility of cost overruns or unanticipated expenses in development programs, and the ability to identify and realize additional opportunities; (xii) the enforceability of Blaize’s intellectual property, including its patents, and the potential infringement on the intellectual property rights of others, cyber security risks or potential breaches of data security; (xiii) the incurrence of significant expenses to remediate, or damage to Blaize’s reputation as a result of, any defects in Blaize’s products; and (xiv) other risks and uncertainties set forth in the section entitled “Risk Factors” and “Cautionary Note Regarding Forward-Looking Statements” in BurTech’s Annual Reports on Form 10-K, Quarterly Reports on Form 10-Q and Current Reports on Form 8-K that are available on the website of the Securities and Exchange Commission (the “SEC”) at www.sec.gov and other documents filed, or to be filed with the SEC by BurTech, including the Registration Statement (defined below). The foregoing list of factors is not exhaustive. There may be additional risks that neither BurTech nor Blaize presently know or that BurTech or Blaize currently believe are immaterial that could also cause actual results to differ from those contained in the forward-looking statements. You should carefully consider the foregoing factors and the other risks and uncertainties that will be described in the definitive proxy statement to be filed by BurTech with the SEC, including those under “Risk Factors” therein, and other documents filed by BurTech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BurTech and Blaize assume no obligation and, except as required by law, do not intend to update or revise these forward-looking statements, whether as a result of new information, future events, or otherwise. Neither BurTech nor Blaize gives any assurance that either BurTech or Blaize will achieve its expectations.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Additional Information and Where to Find It</w:t>
      </w:r>
      <w:r>
        <w:rPr>
          <w:rFonts w:ascii="Times New Roman;Times;Serif" w:hAnsi="Times New Roman;Times;Serif"/>
          <w:b w:val="false"/>
          <w:i w:val="false"/>
          <w:caps w:val="false"/>
          <w:smallCaps w:val="false"/>
          <w:sz w:val="20"/>
        </w:rPr>
        <w:br/>
        <w:t>In connection with the proposed transaction, BurTech intends to file with the SEC a Registration Statement on Form S-4 (the “Registration Statement”), and after the Registration Statement is declared effective, BurTech will mail a definitive proxy statement/prospectus relating to the proposed transaction to its stockholders. This press release does not contain all the information that should be considered concerning the proposed transaction and is not intended to form the basis of any investment decision or any other decision in respect of the proposed transaction. BurTech may file other documents regarding the proposed transaction with the SEC, and BurTech’s stockholders and other interested persons are advised to read, when available, the preliminary proxy statement/prospectus and the amendments thereto, the definitive proxy statement/prospectus and the other documents filed in connection with the proposed transaction, as these materials will contain important information about Blaize, BurTech and the proposed transaction. When available, the definitive proxy statement/prospectus and other relevant materials for the proposed transaction will be mailed to stockholders of BurTech as of a record date to be established for voting on the proposed transaction and the other matters to be voted upon at a meeting of BurTech’s stockholders to be held to approve the proposed transaction and such other matters. Such stockholders will also be able to obtain copies of the preliminary proxy statement/prospectus, the definitive proxy statement/prospectus and other documents filed with the SEC, without charge, once available, at the SEC’s website at www.sec.gov, or by directing a request to BurTech Acquisition Corp., 1300 Pennsylvania Avenue, Suite 700, New York, NY 20006, Attention: Roman Livson, Chief Financial Officer.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Participants in Solicitation</w:t>
      </w:r>
      <w:r>
        <w:rPr>
          <w:rFonts w:ascii="Times New Roman;Times;Serif" w:hAnsi="Times New Roman;Times;Serif"/>
          <w:b w:val="false"/>
          <w:i w:val="false"/>
          <w:caps w:val="false"/>
          <w:smallCaps w:val="false"/>
          <w:sz w:val="20"/>
        </w:rPr>
        <w:br/>
        <w:t>BurTech, Blaize, and their respective directors, executive officers, other members of management, and employees, under SEC rules, may be deemed to be participants in the solicitation of proxies from BurTech’s stockholders in connection with the proposed transaction. Information regarding the persons who may, under SEC rules, be deemed participants in the solicitation of BurTech’s stockholders in connection with the proposed transaction, including the names of such persons and a description of their respective interests, is set forth in BurTech’s Annual Reports on Form 10-K, Quarterly Reports on Form 10-Q and Current Reports on Form 8-K. Additional information regarding the interests of those persons and other persons who may be deemed participants in the proposed transaction may be obtained by reading the Registration Statement regarding the proposed transaction when it becomes available. Stockholders will be able to obtain copies of the documents described in this paragraph that are filed with the SEC, once available, without charge at the SEC’s website at www.sec.gov, or by directing a request to BurTech Acquisition Corp., 1300 Pennsylvania Avenue, Suite 700, New York, NY 20006, Attention: Roman Livson, Chief Financial Officer.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Offer or Solicitation</w:t>
      </w:r>
      <w:r>
        <w:rPr>
          <w:rFonts w:ascii="Times New Roman;Times;Serif" w:hAnsi="Times New Roman;Times;Serif"/>
          <w:b w:val="false"/>
          <w:i w:val="false"/>
          <w:caps w:val="false"/>
          <w:smallCaps w:val="false"/>
          <w:sz w:val="20"/>
        </w:rPr>
        <w:br/>
        <w:t>This press release is not a proxy statement or solicitation of a proxy, consent or authorization with respect to any securities or in respect of the proposed transaction and does not constitute an offer to sell or a solicitation of an offer to buy any securities of BurTech or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2050</Words>
  <Characters>12083</Characters>
  <CharactersWithSpaces>14148</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