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134620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157480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spacing w:after="0" w:line="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FORM 8-K</w:t>
      </w:r>
    </w:p>
    <w:p>
      <w:pPr>
        <w:spacing w:after="0" w:line="15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15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SECURITIES EXCHANGE ACT OF 1934</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 xml:space="preserve">Date of Report (Date of earliest event reported): </w:t>
      </w:r>
      <w:r>
        <w:rPr>
          <w:rFonts w:ascii="Times New Roman" w:cs="Times New Roman" w:eastAsia="Times New Roman" w:hAnsi="Times New Roman"/>
          <w:sz w:val="12"/>
          <w:szCs w:val="12"/>
          <w:b w:val="1"/>
          <w:bCs w:val="1"/>
          <w:color w:val="auto"/>
        </w:rPr>
        <w:t>December 5, 2024</w:t>
      </w:r>
    </w:p>
    <w:p>
      <w:pPr>
        <w:spacing w:after="0" w:line="133"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BURTECH ACQUISITION CORP.</w:t>
      </w:r>
    </w:p>
    <w:p>
      <w:pPr>
        <w:spacing w:after="0" w:line="23"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134" w:lineRule="exact"/>
        <w:rPr>
          <w:sz w:val="24"/>
          <w:szCs w:val="24"/>
          <w:color w:val="auto"/>
        </w:rPr>
      </w:pPr>
    </w:p>
    <w:tbl>
      <w:tblPr>
        <w:tblLayout w:type="fixed"/>
        <w:tblInd w:w="8" w:type="dxa"/>
        <w:tblCellMar>
          <w:top w:w="0" w:type="dxa"/>
          <w:left w:w="0" w:type="dxa"/>
          <w:bottom w:w="0" w:type="dxa"/>
          <w:right w:w="0" w:type="dxa"/>
        </w:tblCellMar>
      </w:tblPr>
      <w:tr>
        <w:trPr>
          <w:trHeight w:val="159"/>
        </w:trPr>
        <w:tc>
          <w:tcPr>
            <w:tcW w:w="39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3620" w:type="dxa"/>
            <w:vAlign w:val="bottom"/>
          </w:tcPr>
          <w:p>
            <w:pPr>
              <w:jc w:val="right"/>
              <w:ind w:right="1500"/>
              <w:spacing w:after="0"/>
              <w:rPr>
                <w:sz w:val="20"/>
                <w:szCs w:val="20"/>
                <w:color w:val="auto"/>
              </w:rPr>
            </w:pPr>
            <w:r>
              <w:rPr>
                <w:rFonts w:ascii="Times New Roman" w:cs="Times New Roman" w:eastAsia="Times New Roman" w:hAnsi="Times New Roman"/>
                <w:sz w:val="12"/>
                <w:szCs w:val="12"/>
                <w:b w:val="1"/>
                <w:bCs w:val="1"/>
                <w:color w:val="auto"/>
              </w:rPr>
              <w:t>001-41139</w:t>
            </w:r>
          </w:p>
        </w:tc>
        <w:tc>
          <w:tcPr>
            <w:tcW w:w="100" w:type="dxa"/>
            <w:vAlign w:val="bottom"/>
          </w:tcPr>
          <w:p>
            <w:pPr>
              <w:spacing w:after="0"/>
              <w:rPr>
                <w:sz w:val="13"/>
                <w:szCs w:val="13"/>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86-2708752</w:t>
            </w:r>
          </w:p>
        </w:tc>
      </w:tr>
      <w:tr>
        <w:trPr>
          <w:trHeight w:val="131"/>
        </w:trPr>
        <w:tc>
          <w:tcPr>
            <w:tcW w:w="3840" w:type="dxa"/>
            <w:vAlign w:val="bottom"/>
            <w:tcBorders>
              <w:top w:val="single" w:sz="8" w:color="auto"/>
            </w:tcBorders>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9"/>
              </w:rPr>
              <w:t>(</w:t>
            </w:r>
            <w:r>
              <w:rPr>
                <w:rFonts w:ascii="Times New Roman" w:cs="Times New Roman" w:eastAsia="Times New Roman" w:hAnsi="Times New Roman"/>
                <w:sz w:val="12"/>
                <w:szCs w:val="12"/>
                <w:color w:val="auto"/>
                <w:w w:val="99"/>
              </w:rPr>
              <w:t>State or other jurisdiction</w:t>
            </w:r>
          </w:p>
        </w:tc>
        <w:tc>
          <w:tcPr>
            <w:tcW w:w="120" w:type="dxa"/>
            <w:vAlign w:val="bottom"/>
          </w:tcPr>
          <w:p>
            <w:pPr>
              <w:spacing w:after="0"/>
              <w:rPr>
                <w:sz w:val="11"/>
                <w:szCs w:val="11"/>
                <w:color w:val="auto"/>
              </w:rPr>
            </w:pPr>
          </w:p>
        </w:tc>
        <w:tc>
          <w:tcPr>
            <w:tcW w:w="3620" w:type="dxa"/>
            <w:vAlign w:val="bottom"/>
            <w:tcBorders>
              <w:top w:val="single" w:sz="8" w:color="auto"/>
            </w:tcBorders>
          </w:tcPr>
          <w:p>
            <w:pPr>
              <w:jc w:val="center"/>
              <w:spacing w:after="0" w:line="132" w:lineRule="exact"/>
              <w:rPr>
                <w:sz w:val="20"/>
                <w:szCs w:val="20"/>
                <w:color w:val="auto"/>
              </w:rPr>
            </w:pPr>
            <w:r>
              <w:rPr>
                <w:rFonts w:ascii="Times New Roman" w:cs="Times New Roman" w:eastAsia="Times New Roman" w:hAnsi="Times New Roman"/>
                <w:sz w:val="12"/>
                <w:szCs w:val="12"/>
                <w:color w:val="auto"/>
              </w:rPr>
              <w:t>(Commission File Number)</w:t>
            </w:r>
          </w:p>
        </w:tc>
        <w:tc>
          <w:tcPr>
            <w:tcW w:w="100" w:type="dxa"/>
            <w:vAlign w:val="bottom"/>
          </w:tcPr>
          <w:p>
            <w:pPr>
              <w:spacing w:after="0"/>
              <w:rPr>
                <w:sz w:val="11"/>
                <w:szCs w:val="11"/>
                <w:color w:val="auto"/>
              </w:rPr>
            </w:pPr>
          </w:p>
        </w:tc>
        <w:tc>
          <w:tcPr>
            <w:tcW w:w="3620" w:type="dxa"/>
            <w:vAlign w:val="bottom"/>
            <w:tcBorders>
              <w:top w:val="single" w:sz="8" w:color="auto"/>
            </w:tcBorders>
          </w:tcPr>
          <w:p>
            <w:pPr>
              <w:jc w:val="center"/>
              <w:spacing w:after="0" w:line="132" w:lineRule="exact"/>
              <w:rPr>
                <w:sz w:val="20"/>
                <w:szCs w:val="20"/>
                <w:color w:val="auto"/>
              </w:rPr>
            </w:pPr>
            <w:r>
              <w:rPr>
                <w:rFonts w:ascii="Times New Roman" w:cs="Times New Roman" w:eastAsia="Times New Roman" w:hAnsi="Times New Roman"/>
                <w:sz w:val="12"/>
                <w:szCs w:val="12"/>
                <w:color w:val="auto"/>
              </w:rPr>
              <w:t>(IRS Employer</w:t>
            </w:r>
          </w:p>
        </w:tc>
      </w:tr>
      <w:tr>
        <w:trPr>
          <w:trHeight w:val="155"/>
        </w:trPr>
        <w:tc>
          <w:tcPr>
            <w:tcW w:w="39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7"/>
              </w:rPr>
              <w:t>of incorporation)</w:t>
            </w:r>
          </w:p>
        </w:tc>
        <w:tc>
          <w:tcPr>
            <w:tcW w:w="3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Identification No.)</w:t>
            </w:r>
          </w:p>
        </w:tc>
      </w:tr>
      <w:tr>
        <w:trPr>
          <w:trHeight w:val="273"/>
        </w:trPr>
        <w:tc>
          <w:tcPr>
            <w:tcW w:w="3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72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9"/>
              </w:rPr>
              <w:t>3529 Porter St</w:t>
            </w:r>
          </w:p>
        </w:tc>
        <w:tc>
          <w:tcPr>
            <w:tcW w:w="3620" w:type="dxa"/>
            <w:vAlign w:val="bottom"/>
          </w:tcPr>
          <w:p>
            <w:pPr>
              <w:spacing w:after="0"/>
              <w:rPr>
                <w:sz w:val="23"/>
                <w:szCs w:val="23"/>
                <w:color w:val="auto"/>
              </w:rPr>
            </w:pPr>
          </w:p>
        </w:tc>
      </w:tr>
      <w:tr>
        <w:trPr>
          <w:trHeight w:val="148"/>
        </w:trPr>
        <w:tc>
          <w:tcPr>
            <w:tcW w:w="3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2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9"/>
              </w:rPr>
              <w:t>Washington, DC 20016</w:t>
            </w:r>
          </w:p>
        </w:tc>
        <w:tc>
          <w:tcPr>
            <w:tcW w:w="3620" w:type="dxa"/>
            <w:vAlign w:val="bottom"/>
          </w:tcPr>
          <w:p>
            <w:pPr>
              <w:spacing w:after="0"/>
              <w:rPr>
                <w:sz w:val="12"/>
                <w:szCs w:val="12"/>
                <w:color w:val="auto"/>
              </w:rPr>
            </w:pPr>
          </w:p>
        </w:tc>
      </w:tr>
      <w:tr>
        <w:trPr>
          <w:trHeight w:val="155"/>
        </w:trPr>
        <w:tc>
          <w:tcPr>
            <w:tcW w:w="3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72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color w:val="auto"/>
                <w:w w:val="99"/>
              </w:rPr>
              <w:t>(Address of principal executive offices, including zip code)</w:t>
            </w:r>
          </w:p>
        </w:tc>
        <w:tc>
          <w:tcPr>
            <w:tcW w:w="3620" w:type="dxa"/>
            <w:vAlign w:val="bottom"/>
          </w:tcPr>
          <w:p>
            <w:pPr>
              <w:spacing w:after="0"/>
              <w:rPr>
                <w:sz w:val="13"/>
                <w:szCs w:val="13"/>
                <w:color w:val="auto"/>
              </w:rPr>
            </w:pPr>
          </w:p>
        </w:tc>
      </w:tr>
      <w:tr>
        <w:trPr>
          <w:trHeight w:val="277"/>
        </w:trPr>
        <w:tc>
          <w:tcPr>
            <w:tcW w:w="3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20" w:type="dxa"/>
            <w:vAlign w:val="bottom"/>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(202) 600-5757</w:t>
            </w:r>
          </w:p>
        </w:tc>
        <w:tc>
          <w:tcPr>
            <w:tcW w:w="1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155"/>
        </w:trPr>
        <w:tc>
          <w:tcPr>
            <w:tcW w:w="3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72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color w:val="auto"/>
                <w:w w:val="99"/>
              </w:rPr>
              <w:t>Registrant’s telephone number, including area code:</w:t>
            </w:r>
          </w:p>
        </w:tc>
        <w:tc>
          <w:tcPr>
            <w:tcW w:w="3620" w:type="dxa"/>
            <w:vAlign w:val="bottom"/>
          </w:tcPr>
          <w:p>
            <w:pPr>
              <w:spacing w:after="0"/>
              <w:rPr>
                <w:sz w:val="13"/>
                <w:szCs w:val="13"/>
                <w:color w:val="auto"/>
              </w:rPr>
            </w:pPr>
          </w:p>
        </w:tc>
      </w:tr>
      <w:tr>
        <w:trPr>
          <w:trHeight w:val="277"/>
        </w:trPr>
        <w:tc>
          <w:tcPr>
            <w:tcW w:w="3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2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8"/>
              </w:rPr>
              <w:t>Not Applicable</w:t>
            </w:r>
          </w:p>
        </w:tc>
        <w:tc>
          <w:tcPr>
            <w:tcW w:w="3620" w:type="dxa"/>
            <w:vAlign w:val="bottom"/>
          </w:tcPr>
          <w:p>
            <w:pPr>
              <w:spacing w:after="0"/>
              <w:rPr>
                <w:sz w:val="24"/>
                <w:szCs w:val="24"/>
                <w:color w:val="auto"/>
              </w:rPr>
            </w:pPr>
          </w:p>
        </w:tc>
      </w:tr>
      <w:tr>
        <w:trPr>
          <w:trHeight w:val="155"/>
        </w:trPr>
        <w:tc>
          <w:tcPr>
            <w:tcW w:w="3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72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color w:val="auto"/>
                <w:w w:val="99"/>
              </w:rPr>
              <w:t>(Former name or former address, if changed since last report.)</w:t>
            </w:r>
          </w:p>
        </w:tc>
        <w:tc>
          <w:tcPr>
            <w:tcW w:w="3620" w:type="dxa"/>
            <w:vAlign w:val="bottom"/>
          </w:tcPr>
          <w:p>
            <w:pPr>
              <w:spacing w:after="0"/>
              <w:rPr>
                <w:sz w:val="13"/>
                <w:szCs w:val="13"/>
                <w:color w:val="auto"/>
              </w:rPr>
            </w:pPr>
          </w:p>
        </w:tc>
      </w:tr>
    </w:tbl>
    <w:p>
      <w:pPr>
        <w:spacing w:after="0" w:line="133" w:lineRule="exact"/>
        <w:rPr>
          <w:sz w:val="24"/>
          <w:szCs w:val="24"/>
          <w:color w:val="auto"/>
        </w:rPr>
      </w:pPr>
    </w:p>
    <w:p>
      <w:pPr>
        <w:ind w:left="42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50" w:lineRule="exact"/>
        <w:rPr>
          <w:sz w:val="24"/>
          <w:szCs w:val="24"/>
          <w:color w:val="auto"/>
        </w:rPr>
      </w:pPr>
    </w:p>
    <w:p>
      <w:pPr>
        <w:ind w:left="228" w:hanging="228"/>
        <w:spacing w:after="0"/>
        <w:tabs>
          <w:tab w:leader="none" w:pos="228"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228" w:hanging="228"/>
        <w:spacing w:after="0"/>
        <w:tabs>
          <w:tab w:leader="none" w:pos="228"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228" w:hanging="228"/>
        <w:spacing w:after="0"/>
        <w:tabs>
          <w:tab w:leader="none" w:pos="228"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50" w:lineRule="exact"/>
        <w:rPr>
          <w:sz w:val="24"/>
          <w:szCs w:val="24"/>
          <w:color w:val="auto"/>
        </w:rPr>
      </w:pPr>
    </w:p>
    <w:tbl>
      <w:tblPr>
        <w:tblLayout w:type="fixed"/>
        <w:tblInd w:w="8" w:type="dxa"/>
        <w:tblCellMar>
          <w:top w:w="0" w:type="dxa"/>
          <w:left w:w="0" w:type="dxa"/>
          <w:bottom w:w="0" w:type="dxa"/>
          <w:right w:w="0" w:type="dxa"/>
        </w:tblCellMar>
      </w:tblPr>
      <w:tr>
        <w:trPr>
          <w:trHeight w:val="155"/>
        </w:trPr>
        <w:tc>
          <w:tcPr>
            <w:tcW w:w="7700" w:type="dxa"/>
            <w:vAlign w:val="bottom"/>
            <w:gridSpan w:val="5"/>
          </w:tcPr>
          <w:p>
            <w:pPr>
              <w:ind w:left="4260"/>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3600" w:type="dxa"/>
            <w:vAlign w:val="bottom"/>
          </w:tcPr>
          <w:p>
            <w:pPr>
              <w:spacing w:after="0"/>
              <w:rPr>
                <w:sz w:val="13"/>
                <w:szCs w:val="13"/>
                <w:color w:val="auto"/>
              </w:rPr>
            </w:pPr>
          </w:p>
        </w:tc>
      </w:tr>
      <w:tr>
        <w:trPr>
          <w:trHeight w:val="273"/>
        </w:trPr>
        <w:tc>
          <w:tcPr>
            <w:tcW w:w="4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60" w:type="dxa"/>
            <w:vAlign w:val="bottom"/>
            <w:gridSpan w:val="3"/>
          </w:tcPr>
          <w:p>
            <w:pPr>
              <w:jc w:val="center"/>
              <w:ind w:right="800"/>
              <w:spacing w:after="0"/>
              <w:rPr>
                <w:sz w:val="20"/>
                <w:szCs w:val="20"/>
                <w:color w:val="auto"/>
              </w:rPr>
            </w:pPr>
            <w:r>
              <w:rPr>
                <w:rFonts w:ascii="Times New Roman" w:cs="Times New Roman" w:eastAsia="Times New Roman" w:hAnsi="Times New Roman"/>
                <w:sz w:val="12"/>
                <w:szCs w:val="12"/>
                <w:b w:val="1"/>
                <w:bCs w:val="1"/>
                <w:color w:val="auto"/>
                <w:w w:val="99"/>
              </w:rPr>
              <w:t>Trading</w:t>
            </w:r>
          </w:p>
        </w:tc>
        <w:tc>
          <w:tcPr>
            <w:tcW w:w="3600" w:type="dxa"/>
            <w:vAlign w:val="bottom"/>
          </w:tcPr>
          <w:p>
            <w:pPr>
              <w:jc w:val="center"/>
              <w:ind w:right="640"/>
              <w:spacing w:after="0"/>
              <w:rPr>
                <w:sz w:val="20"/>
                <w:szCs w:val="20"/>
                <w:color w:val="auto"/>
              </w:rPr>
            </w:pPr>
            <w:r>
              <w:rPr>
                <w:rFonts w:ascii="Times New Roman" w:cs="Times New Roman" w:eastAsia="Times New Roman" w:hAnsi="Times New Roman"/>
                <w:sz w:val="12"/>
                <w:szCs w:val="12"/>
                <w:b w:val="1"/>
                <w:bCs w:val="1"/>
                <w:color w:val="auto"/>
                <w:w w:val="98"/>
              </w:rPr>
              <w:t>Name of each exchange on</w:t>
            </w:r>
          </w:p>
        </w:tc>
      </w:tr>
      <w:tr>
        <w:trPr>
          <w:trHeight w:val="159"/>
        </w:trPr>
        <w:tc>
          <w:tcPr>
            <w:tcW w:w="4640" w:type="dxa"/>
            <w:vAlign w:val="bottom"/>
            <w:gridSpan w:val="2"/>
          </w:tcPr>
          <w:p>
            <w:pPr>
              <w:ind w:left="1800"/>
              <w:spacing w:after="0"/>
              <w:rPr>
                <w:sz w:val="20"/>
                <w:szCs w:val="20"/>
                <w:color w:val="auto"/>
              </w:rPr>
            </w:pPr>
            <w:r>
              <w:rPr>
                <w:rFonts w:ascii="Times New Roman" w:cs="Times New Roman" w:eastAsia="Times New Roman" w:hAnsi="Times New Roman"/>
                <w:sz w:val="12"/>
                <w:szCs w:val="12"/>
                <w:b w:val="1"/>
                <w:bCs w:val="1"/>
                <w:color w:val="auto"/>
              </w:rPr>
              <w:t>Title of each class</w:t>
            </w:r>
          </w:p>
        </w:tc>
        <w:tc>
          <w:tcPr>
            <w:tcW w:w="3060" w:type="dxa"/>
            <w:vAlign w:val="bottom"/>
            <w:gridSpan w:val="3"/>
          </w:tcPr>
          <w:p>
            <w:pPr>
              <w:jc w:val="center"/>
              <w:ind w:right="800"/>
              <w:spacing w:after="0"/>
              <w:rPr>
                <w:sz w:val="20"/>
                <w:szCs w:val="20"/>
                <w:color w:val="auto"/>
              </w:rPr>
            </w:pPr>
            <w:r>
              <w:rPr>
                <w:rFonts w:ascii="Times New Roman" w:cs="Times New Roman" w:eastAsia="Times New Roman" w:hAnsi="Times New Roman"/>
                <w:sz w:val="12"/>
                <w:szCs w:val="12"/>
                <w:b w:val="1"/>
                <w:bCs w:val="1"/>
                <w:color w:val="auto"/>
                <w:w w:val="98"/>
              </w:rPr>
              <w:t>Symbol</w:t>
            </w:r>
          </w:p>
        </w:tc>
        <w:tc>
          <w:tcPr>
            <w:tcW w:w="3600" w:type="dxa"/>
            <w:vAlign w:val="bottom"/>
          </w:tcPr>
          <w:p>
            <w:pPr>
              <w:jc w:val="center"/>
              <w:ind w:right="640"/>
              <w:spacing w:after="0"/>
              <w:rPr>
                <w:sz w:val="20"/>
                <w:szCs w:val="20"/>
                <w:color w:val="auto"/>
              </w:rPr>
            </w:pPr>
            <w:r>
              <w:rPr>
                <w:rFonts w:ascii="Times New Roman" w:cs="Times New Roman" w:eastAsia="Times New Roman" w:hAnsi="Times New Roman"/>
                <w:sz w:val="12"/>
                <w:szCs w:val="12"/>
                <w:b w:val="1"/>
                <w:bCs w:val="1"/>
                <w:color w:val="auto"/>
              </w:rPr>
              <w:t>which registered</w:t>
            </w:r>
          </w:p>
        </w:tc>
      </w:tr>
      <w:tr>
        <w:trPr>
          <w:trHeight w:val="122"/>
        </w:trPr>
        <w:tc>
          <w:tcPr>
            <w:tcW w:w="452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Units, each consisting of one share of Class A Common Stock and one Redeemable Warrant</w:t>
            </w:r>
          </w:p>
        </w:tc>
        <w:tc>
          <w:tcPr>
            <w:tcW w:w="120" w:type="dxa"/>
            <w:vAlign w:val="bottom"/>
          </w:tcPr>
          <w:p>
            <w:pPr>
              <w:spacing w:after="0"/>
              <w:rPr>
                <w:sz w:val="10"/>
                <w:szCs w:val="10"/>
                <w:color w:val="auto"/>
              </w:rPr>
            </w:pPr>
          </w:p>
        </w:tc>
        <w:tc>
          <w:tcPr>
            <w:tcW w:w="2260" w:type="dxa"/>
            <w:vAlign w:val="bottom"/>
            <w:tcBorders>
              <w:top w:val="single" w:sz="8" w:color="auto"/>
            </w:tcBorders>
          </w:tcPr>
          <w:p>
            <w:pPr>
              <w:jc w:val="center"/>
              <w:spacing w:after="0" w:line="122" w:lineRule="exact"/>
              <w:rPr>
                <w:sz w:val="20"/>
                <w:szCs w:val="20"/>
                <w:color w:val="auto"/>
              </w:rPr>
            </w:pPr>
            <w:r>
              <w:rPr>
                <w:rFonts w:ascii="Times New Roman" w:cs="Times New Roman" w:eastAsia="Times New Roman" w:hAnsi="Times New Roman"/>
                <w:sz w:val="12"/>
                <w:szCs w:val="12"/>
                <w:color w:val="auto"/>
                <w:w w:val="99"/>
              </w:rPr>
              <w:t>BRKHU</w:t>
            </w:r>
          </w:p>
        </w:tc>
        <w:tc>
          <w:tcPr>
            <w:tcW w:w="10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600" w:type="dxa"/>
            <w:vAlign w:val="bottom"/>
            <w:tcBorders>
              <w:top w:val="single" w:sz="8" w:color="auto"/>
            </w:tcBorders>
          </w:tcPr>
          <w:p>
            <w:pPr>
              <w:jc w:val="center"/>
              <w:ind w:right="640"/>
              <w:spacing w:after="0" w:line="122" w:lineRule="exact"/>
              <w:rPr>
                <w:sz w:val="20"/>
                <w:szCs w:val="20"/>
                <w:color w:val="auto"/>
              </w:rPr>
            </w:pPr>
            <w:r>
              <w:rPr>
                <w:rFonts w:ascii="Times New Roman" w:cs="Times New Roman" w:eastAsia="Times New Roman" w:hAnsi="Times New Roman"/>
                <w:sz w:val="12"/>
                <w:szCs w:val="12"/>
                <w:color w:val="auto"/>
                <w:w w:val="99"/>
              </w:rPr>
              <w:t>The Nasdaq Stock Market, LLC</w:t>
            </w:r>
          </w:p>
        </w:tc>
      </w:tr>
      <w:tr>
        <w:trPr>
          <w:trHeight w:val="144"/>
        </w:trPr>
        <w:tc>
          <w:tcPr>
            <w:tcW w:w="4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Class A Common Stock, par value $0.0001 per share</w:t>
            </w:r>
          </w:p>
        </w:tc>
        <w:tc>
          <w:tcPr>
            <w:tcW w:w="3060" w:type="dxa"/>
            <w:vAlign w:val="bottom"/>
            <w:gridSpan w:val="3"/>
          </w:tcPr>
          <w:p>
            <w:pPr>
              <w:jc w:val="center"/>
              <w:ind w:right="800"/>
              <w:spacing w:after="0"/>
              <w:rPr>
                <w:sz w:val="20"/>
                <w:szCs w:val="20"/>
                <w:color w:val="auto"/>
              </w:rPr>
            </w:pPr>
            <w:r>
              <w:rPr>
                <w:rFonts w:ascii="Times New Roman" w:cs="Times New Roman" w:eastAsia="Times New Roman" w:hAnsi="Times New Roman"/>
                <w:sz w:val="12"/>
                <w:szCs w:val="12"/>
                <w:color w:val="auto"/>
              </w:rPr>
              <w:t>BRKH</w:t>
            </w:r>
          </w:p>
        </w:tc>
        <w:tc>
          <w:tcPr>
            <w:tcW w:w="3600" w:type="dxa"/>
            <w:vAlign w:val="bottom"/>
          </w:tcPr>
          <w:p>
            <w:pPr>
              <w:jc w:val="center"/>
              <w:ind w:right="640"/>
              <w:spacing w:after="0"/>
              <w:rPr>
                <w:sz w:val="20"/>
                <w:szCs w:val="20"/>
                <w:color w:val="auto"/>
              </w:rPr>
            </w:pPr>
            <w:r>
              <w:rPr>
                <w:rFonts w:ascii="Times New Roman" w:cs="Times New Roman" w:eastAsia="Times New Roman" w:hAnsi="Times New Roman"/>
                <w:sz w:val="12"/>
                <w:szCs w:val="12"/>
                <w:color w:val="auto"/>
                <w:w w:val="99"/>
              </w:rPr>
              <w:t>The Nasdaq Stock Market, LLC</w:t>
            </w:r>
          </w:p>
        </w:tc>
      </w:tr>
      <w:tr>
        <w:trPr>
          <w:trHeight w:val="155"/>
        </w:trPr>
        <w:tc>
          <w:tcPr>
            <w:tcW w:w="4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Warrants, each exercisable for one share of Class A Common Stock for $11.50 per share</w:t>
            </w:r>
          </w:p>
        </w:tc>
        <w:tc>
          <w:tcPr>
            <w:tcW w:w="3060" w:type="dxa"/>
            <w:vAlign w:val="bottom"/>
            <w:gridSpan w:val="3"/>
          </w:tcPr>
          <w:p>
            <w:pPr>
              <w:jc w:val="center"/>
              <w:ind w:right="820"/>
              <w:spacing w:after="0"/>
              <w:rPr>
                <w:sz w:val="20"/>
                <w:szCs w:val="20"/>
                <w:color w:val="auto"/>
              </w:rPr>
            </w:pPr>
            <w:r>
              <w:rPr>
                <w:rFonts w:ascii="Times New Roman" w:cs="Times New Roman" w:eastAsia="Times New Roman" w:hAnsi="Times New Roman"/>
                <w:sz w:val="12"/>
                <w:szCs w:val="12"/>
                <w:color w:val="auto"/>
                <w:w w:val="98"/>
              </w:rPr>
              <w:t>BRKHW</w:t>
            </w:r>
          </w:p>
        </w:tc>
        <w:tc>
          <w:tcPr>
            <w:tcW w:w="3600" w:type="dxa"/>
            <w:vAlign w:val="bottom"/>
          </w:tcPr>
          <w:p>
            <w:pPr>
              <w:jc w:val="center"/>
              <w:ind w:right="640"/>
              <w:spacing w:after="0"/>
              <w:rPr>
                <w:sz w:val="20"/>
                <w:szCs w:val="20"/>
                <w:color w:val="auto"/>
              </w:rPr>
            </w:pPr>
            <w:r>
              <w:rPr>
                <w:rFonts w:ascii="Times New Roman" w:cs="Times New Roman" w:eastAsia="Times New Roman" w:hAnsi="Times New Roman"/>
                <w:sz w:val="12"/>
                <w:szCs w:val="12"/>
                <w:color w:val="auto"/>
                <w:w w:val="99"/>
              </w:rPr>
              <w:t>The Nasdaq Stock Market, LLC</w:t>
            </w:r>
          </w:p>
        </w:tc>
      </w:tr>
    </w:tbl>
    <w:p>
      <w:pPr>
        <w:spacing w:after="0" w:line="277" w:lineRule="exact"/>
        <w:rPr>
          <w:sz w:val="24"/>
          <w:szCs w:val="24"/>
          <w:color w:val="auto"/>
        </w:rPr>
      </w:pPr>
    </w:p>
    <w:p>
      <w:pPr>
        <w:ind w:left="8" w:right="80" w:firstLine="432"/>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3" w:lineRule="exact"/>
        <w:rPr>
          <w:sz w:val="24"/>
          <w:szCs w:val="24"/>
          <w:color w:val="auto"/>
        </w:rPr>
      </w:pPr>
    </w:p>
    <w:p>
      <w:pPr>
        <w:ind w:left="428"/>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78" w:lineRule="exact"/>
        <w:rPr>
          <w:sz w:val="24"/>
          <w:szCs w:val="24"/>
          <w:color w:val="auto"/>
        </w:rPr>
      </w:pPr>
    </w:p>
    <w:p>
      <w:pPr>
        <w:ind w:left="8" w:right="100" w:firstLine="432"/>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97790</wp:posOffset>
            </wp:positionV>
            <wp:extent cx="717804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394970</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04" w:right="299" w:bottom="1440" w:gutter="0" w:footer="0" w:header="0"/>
        </w:sectPr>
      </w:pPr>
    </w:p>
    <w:bookmarkStart w:id="1" w:name="page2"/>
    <w:bookmarkEnd w:id="1"/>
    <w:p>
      <w:pPr>
        <w:ind w:left="20"/>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50"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2"/>
          <w:szCs w:val="12"/>
          <w:color w:val="auto"/>
        </w:rPr>
        <w:t>As previously disclosed, on December 22, 2023, BurTech Acquisition Corp. (“</w:t>
      </w:r>
      <w:r>
        <w:rPr>
          <w:rFonts w:ascii="Times New Roman" w:cs="Times New Roman" w:eastAsia="Times New Roman" w:hAnsi="Times New Roman"/>
          <w:sz w:val="12"/>
          <w:szCs w:val="12"/>
          <w:b w:val="1"/>
          <w:bCs w:val="1"/>
          <w:color w:val="auto"/>
        </w:rPr>
        <w:t>BurTech</w:t>
      </w:r>
      <w:r>
        <w:rPr>
          <w:rFonts w:ascii="Times New Roman" w:cs="Times New Roman" w:eastAsia="Times New Roman" w:hAnsi="Times New Roman"/>
          <w:sz w:val="12"/>
          <w:szCs w:val="12"/>
          <w:color w:val="auto"/>
        </w:rPr>
        <w:t>”), BurTech Merger Sub Inc., a Delaware corporation and a direct, wholly owned subsidiary of BurTech (“</w:t>
      </w:r>
      <w:r>
        <w:rPr>
          <w:rFonts w:ascii="Times New Roman" w:cs="Times New Roman" w:eastAsia="Times New Roman" w:hAnsi="Times New Roman"/>
          <w:sz w:val="12"/>
          <w:szCs w:val="12"/>
          <w:b w:val="1"/>
          <w:bCs w:val="1"/>
          <w:color w:val="auto"/>
        </w:rPr>
        <w:t>Merger Sub</w:t>
      </w:r>
      <w:r>
        <w:rPr>
          <w:rFonts w:ascii="Times New Roman" w:cs="Times New Roman" w:eastAsia="Times New Roman" w:hAnsi="Times New Roman"/>
          <w:sz w:val="12"/>
          <w:szCs w:val="12"/>
          <w:color w:val="auto"/>
        </w:rPr>
        <w:t>”), Blaize, Inc., a Delaware corporation (“</w:t>
      </w:r>
      <w:r>
        <w:rPr>
          <w:rFonts w:ascii="Times New Roman" w:cs="Times New Roman" w:eastAsia="Times New Roman" w:hAnsi="Times New Roman"/>
          <w:sz w:val="12"/>
          <w:szCs w:val="12"/>
          <w:b w:val="1"/>
          <w:bCs w:val="1"/>
          <w:color w:val="auto"/>
        </w:rPr>
        <w:t>Blaize</w:t>
      </w:r>
      <w:r>
        <w:rPr>
          <w:rFonts w:ascii="Times New Roman" w:cs="Times New Roman" w:eastAsia="Times New Roman" w:hAnsi="Times New Roman"/>
          <w:sz w:val="12"/>
          <w:szCs w:val="12"/>
          <w:color w:val="auto"/>
        </w:rPr>
        <w:t>”), and for the limited purposes set forth therein, Burkhan Capital LLC, a Delaware limited liability company and affiliate of BurTech (“</w:t>
      </w:r>
      <w:r>
        <w:rPr>
          <w:rFonts w:ascii="Times New Roman" w:cs="Times New Roman" w:eastAsia="Times New Roman" w:hAnsi="Times New Roman"/>
          <w:sz w:val="12"/>
          <w:szCs w:val="12"/>
          <w:b w:val="1"/>
          <w:bCs w:val="1"/>
          <w:color w:val="auto"/>
        </w:rPr>
        <w:t>Burkhan</w:t>
      </w:r>
      <w:r>
        <w:rPr>
          <w:rFonts w:ascii="Times New Roman" w:cs="Times New Roman" w:eastAsia="Times New Roman" w:hAnsi="Times New Roman"/>
          <w:sz w:val="12"/>
          <w:szCs w:val="12"/>
          <w:color w:val="auto"/>
        </w:rPr>
        <w:t>”), entered into an Agreement and Plan of Merger (as amended on April 22, 2024, October 24, 2024 and November 21, 2024, and as may be further amended and/or amended and restated, the “</w:t>
      </w:r>
      <w:r>
        <w:rPr>
          <w:rFonts w:ascii="Times New Roman" w:cs="Times New Roman" w:eastAsia="Times New Roman" w:hAnsi="Times New Roman"/>
          <w:sz w:val="12"/>
          <w:szCs w:val="12"/>
          <w:b w:val="1"/>
          <w:bCs w:val="1"/>
          <w:color w:val="auto"/>
        </w:rPr>
        <w:t>Merger Agreement</w:t>
      </w:r>
      <w:r>
        <w:rPr>
          <w:rFonts w:ascii="Times New Roman" w:cs="Times New Roman" w:eastAsia="Times New Roman" w:hAnsi="Times New Roman"/>
          <w:sz w:val="12"/>
          <w:szCs w:val="12"/>
          <w:color w:val="auto"/>
        </w:rPr>
        <w:t>”), pursuant to which Merger Sub will merge (the “Merger ”) with and into Blaize, whereupon the separate corporate existence of Merger Sub will cease and Blaize will be the surviving company and continue in existence as a wholly owned subsidiary of BurTech, on the terms and subject to the conditions set forth therein (collectively with the other transactions described in the Merger Agreement, the “</w:t>
      </w:r>
      <w:r>
        <w:rPr>
          <w:rFonts w:ascii="Times New Roman" w:cs="Times New Roman" w:eastAsia="Times New Roman" w:hAnsi="Times New Roman"/>
          <w:sz w:val="12"/>
          <w:szCs w:val="12"/>
          <w:b w:val="1"/>
          <w:bCs w:val="1"/>
          <w:color w:val="auto"/>
        </w:rPr>
        <w:t>Business Combination</w:t>
      </w:r>
      <w:r>
        <w:rPr>
          <w:rFonts w:ascii="Times New Roman" w:cs="Times New Roman" w:eastAsia="Times New Roman" w:hAnsi="Times New Roman"/>
          <w:sz w:val="12"/>
          <w:szCs w:val="12"/>
          <w:color w:val="auto"/>
        </w:rPr>
        <w:t>”).</w:t>
      </w:r>
    </w:p>
    <w:p>
      <w:pPr>
        <w:spacing w:after="0" w:line="123"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2"/>
          <w:szCs w:val="12"/>
          <w:color w:val="auto"/>
        </w:rPr>
        <w:t>Attached hereto as Exhibit 99.l and incorporated into this Item 7.01 by reference is an investor presentation that will be used in making presentations to potential investors into Blaize and the post-combination company with respect to the Business Combination.</w:t>
      </w:r>
    </w:p>
    <w:p>
      <w:pPr>
        <w:spacing w:after="0" w:line="10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2"/>
          <w:szCs w:val="12"/>
          <w:color w:val="auto"/>
        </w:rPr>
        <w:t>The information in this Item 7.01 (including Exhibit 99.1) is being furnished and shall not be deemed to be filed for purposes of Section 18 of the Securities and Exchange Act of 1934, as amended (the “</w:t>
      </w:r>
      <w:r>
        <w:rPr>
          <w:rFonts w:ascii="Times New Roman" w:cs="Times New Roman" w:eastAsia="Times New Roman" w:hAnsi="Times New Roman"/>
          <w:sz w:val="12"/>
          <w:szCs w:val="12"/>
          <w:b w:val="1"/>
          <w:bCs w:val="1"/>
          <w:color w:val="auto"/>
        </w:rPr>
        <w:t>Exchange Act</w:t>
      </w:r>
      <w:r>
        <w:rPr>
          <w:rFonts w:ascii="Times New Roman" w:cs="Times New Roman" w:eastAsia="Times New Roman" w:hAnsi="Times New Roman"/>
          <w:sz w:val="12"/>
          <w:szCs w:val="12"/>
          <w:color w:val="auto"/>
        </w:rPr>
        <w:t>”), or otherwise be subject to the liabilities of that section, nor shall it be deemed to be incorporated by reference in any filing under the Securities Act of 1933, as amended, or the Exchange Act.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Important Information About the Proposed Business Combination and Where to Find It</w:t>
      </w:r>
    </w:p>
    <w:p>
      <w:pPr>
        <w:spacing w:after="0" w:line="15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2"/>
          <w:szCs w:val="12"/>
          <w:color w:val="auto"/>
        </w:rPr>
        <w:t>In connection with the Business Combination, BurTech has filed with the Securities and Exchange Commission (the “</w:t>
      </w:r>
      <w:r>
        <w:rPr>
          <w:rFonts w:ascii="Times New Roman" w:cs="Times New Roman" w:eastAsia="Times New Roman" w:hAnsi="Times New Roman"/>
          <w:sz w:val="12"/>
          <w:szCs w:val="12"/>
          <w:b w:val="1"/>
          <w:bCs w:val="1"/>
          <w:color w:val="auto"/>
        </w:rPr>
        <w:t>SEC</w:t>
      </w:r>
      <w:r>
        <w:rPr>
          <w:rFonts w:ascii="Times New Roman" w:cs="Times New Roman" w:eastAsia="Times New Roman" w:hAnsi="Times New Roman"/>
          <w:sz w:val="12"/>
          <w:szCs w:val="12"/>
          <w:color w:val="auto"/>
        </w:rPr>
        <w:t>”) a Registration Statement on Form S-4 (the “</w:t>
      </w:r>
      <w:r>
        <w:rPr>
          <w:rFonts w:ascii="Times New Roman" w:cs="Times New Roman" w:eastAsia="Times New Roman" w:hAnsi="Times New Roman"/>
          <w:sz w:val="12"/>
          <w:szCs w:val="12"/>
          <w:b w:val="1"/>
          <w:bCs w:val="1"/>
          <w:color w:val="auto"/>
        </w:rPr>
        <w:t>Registration Statement</w:t>
      </w:r>
      <w:r>
        <w:rPr>
          <w:rFonts w:ascii="Times New Roman" w:cs="Times New Roman" w:eastAsia="Times New Roman" w:hAnsi="Times New Roman"/>
          <w:sz w:val="12"/>
          <w:szCs w:val="12"/>
          <w:color w:val="auto"/>
        </w:rPr>
        <w:t>”), and the Registration Statement was declared effective on December 2, 2024. BurTech has mailed a definitive proxy statement/prospectus relating to the proposed transaction to its stockholders. This report does not contain all the information that should be considered concerning the proposed transaction and is not intended to form the basis of any investment decision or any other decision in respect of the proposed transaction. BurTech may file other documents regarding the proposed transaction with the SEC, and BurTech’s stockholders and other interested persons are advised to read the definitive proxy statement/prospectus and the other documents filed in connection with the proposed transaction, as these materials contain important information about Blaize, BurTech and the proposed transaction. The definitive proxy statement/prospectus and other relevant materials for the proposed transaction has been mailed to stockholders of BurTech as of the record date established for voting on the proposed transaction and the other matters to be voted upon at a meeting of BurTech’s stockholders to be held to approve the proposed transaction and such other matters. Such stockholders are able to obtain copies of the definitive proxy statement/prospectus and other documents filed with the SEC, without charge, at the SEC’s website at www.sec.gov, or by directing a request to BurTech Acquisition Corp., 1300 Pennsylvania Avenue, Suite 700, New York, NY 20006, Attention: Roman Livson,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281940</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b w:val="1"/>
          <w:bCs w:val="1"/>
          <w:color w:val="auto"/>
        </w:rPr>
        <w:t>Participants in Solicitation</w:t>
      </w:r>
    </w:p>
    <w:p>
      <w:pPr>
        <w:spacing w:after="0" w:line="1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2"/>
          <w:szCs w:val="12"/>
          <w:color w:val="auto"/>
        </w:rPr>
        <w:t>BurTech, Blaize, and their respective directors, executive officers, other members of management, and employees, under SEC rules, may be deemed to be participants in the solicitation of proxies from BurTech’s stockholders in connection with the proposed transaction. Information regarding the persons who may, under SEC rules, be deemed participants in the solicitation of BurTech’s stockholders in connection with the proposed transaction, including the names of such persons and a description of their respective interests, is set forth in BurTech’s Annual Reports on Form 10-K, Quarterly Reports on Form 10-Q and Current Reports on Form 8-K. Additional information regarding the interests of those persons and other persons who may be deemed participants in the proposed transaction may be obtained by reading the Registration Statement regarding the proposed transaction. Stockholders will be able to obtain copies of the documents described in this paragraph that are filed with the SEC, once available, without charge at the SEC’s website at www.sec.gov, or by directing a request to BurTech Acquisition Corp., 1300 Pennsylvania Avenue, Suite 700, New York, NY 20006, Attention: Roman Livson, Chief Financial Officer.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 Offer or Solicitation</w:t>
      </w:r>
    </w:p>
    <w:p>
      <w:pPr>
        <w:spacing w:after="0" w:line="154"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2"/>
          <w:szCs w:val="12"/>
          <w:color w:val="auto"/>
        </w:rPr>
        <w:t>This press release is not a proxy statement or solicitation of a proxy, consent or authorization with respect to any securities or in respect of the proposed transaction and does not constitute an offer to sell or a solicitation of an offer to buy any securities of BurTech or Blaize,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276860</wp:posOffset>
            </wp:positionV>
            <wp:extent cx="71780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80"/>
          </w:cols>
          <w:pgMar w:left="300" w:top="647" w:right="4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2"/>
          <w:szCs w:val="12"/>
          <w:b w:val="1"/>
          <w:bCs w:val="1"/>
          <w:color w:val="auto"/>
        </w:rPr>
        <w:t>Cautionary Statement Regarding Forward Looking Statements</w:t>
      </w:r>
    </w:p>
    <w:p>
      <w:pPr>
        <w:spacing w:after="0" w:line="150"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2"/>
          <w:szCs w:val="12"/>
          <w:color w:val="auto"/>
        </w:rPr>
        <w:t>This report contains forward-looking statements within the meaning of Section 27A of the U.S. Securities Act of 1933, as amended (the “</w:t>
      </w:r>
      <w:r>
        <w:rPr>
          <w:rFonts w:ascii="Times New Roman" w:cs="Times New Roman" w:eastAsia="Times New Roman" w:hAnsi="Times New Roman"/>
          <w:sz w:val="12"/>
          <w:szCs w:val="12"/>
          <w:b w:val="1"/>
          <w:bCs w:val="1"/>
          <w:color w:val="auto"/>
        </w:rPr>
        <w:t>Securities Act</w:t>
      </w:r>
      <w:r>
        <w:rPr>
          <w:rFonts w:ascii="Times New Roman" w:cs="Times New Roman" w:eastAsia="Times New Roman" w:hAnsi="Times New Roman"/>
          <w:sz w:val="12"/>
          <w:szCs w:val="12"/>
          <w:color w:val="auto"/>
        </w:rPr>
        <w:t xml:space="preserve">”), and Section 21E of the Exchange Act that are based on beliefs and assumptions and on information currently available to BurTech and Blaize including statements regarding Blaize’s business plans and growth strategies, market opportunities, and financial prospects. In some cases, you can identify forward-looking statements by the following words: “may,” “will,” “could,” “would,” “should,” “expect,” “intend,” “plan,” “anticipate,” “believe,” “estimate,” “predict,” “project,” “potential,” “continue,” “ongoing,” “target,” “seek” or the negative or plural of these words, or other similar expressions that are predictions or indicate future events or prospects, although not all forward-looking statements contain these words.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document, including but not limited to: (i) the risk that the previously disclosed proposed business combination (the “proposed transaction”) may not be completed in a timely manner or at all, which may adversely affect the price of BurTech’s securities; (ii) the risk that the proposed transaction may not be completed by BurTech’s business combination deadline and the potential failure to obtain an extension of the business combination deadline if sought by BurTech; (iii) the failure to satisfy the conditions to the consummation of the proposed transaction, including the approval of the proposed transaction by BurTech’s stockholders, the satisfaction of the minimum aggregate transaction proceeds amount following redemptions by BurTech’s public stockholders and the receipt of certain governmental and regulatory approvals; (iv) the failure to obtain adequate financing to complete the proposed transaction and to support the future working capital needs of Blaize and the combined company; (v) the effect of the pendency of the proposed transaction on Blaize’s business relationships, performance, and business generally; (vi) risks that the proposed transaction disrupts current plans of Blaize and potential difficulties in the retention of Blaize’s employees as a result of the proposed transaction; (vii) the outcome of any legal proceedings that may be instituted against BurTech or Blaize related to the merger agreement and the proposed transaction; (viii) changes to the proposed structure of the proposed transaction that may be required or appropriate as a result of applicable laws or regulations or as a condition to obtaining regulatory approval of the proposed transaction; (ix) the ability to maintain the listing of BurTech’s securities on Nasdaq; (x) the price of BurTech’s securities, including volatility resulting from changes in the competitive and highly regulated industries in which Blaize operates, variations in performance across competitors, changes in laws and regulations affecting Blaize’s business and changes in the combined capital structure; (xi) the ability to implement business plans, forecasts, and other expectations after the completion of the proposed transaction, including the possibility of cost overruns or unanticipated expenses in development programs, and the ability to identify and realize additional opportunities; (xii) the enforceability of Blaize’s intellectual property, including its patents, and the potential infringement on the intellectual property rights of others, cyber security risks or potential breaches of data security; (xiii) the incurrence of significant expenses to remediate, or damage to Blaize’s reputation as a result of, any defects in Blaize’s products; and (xiv) other risks and uncertainties set forth in the section entitled “Risk Factors” and “Cautionary Note Regarding Forward-Looking Statements” in BurTech’s Annual Reports on Form 10-K, Quarterly Reports on Form 10-Q and Current Reports on Form 8-K that are available on the website of the SEC at </w:t>
      </w:r>
      <w:r>
        <w:rPr>
          <w:rFonts w:ascii="Times New Roman" w:cs="Times New Roman" w:eastAsia="Times New Roman" w:hAnsi="Times New Roman"/>
          <w:sz w:val="12"/>
          <w:szCs w:val="12"/>
          <w:color w:val="467886"/>
        </w:rPr>
        <w:t>www.sec.gov</w:t>
      </w:r>
      <w:r>
        <w:rPr>
          <w:rFonts w:ascii="Times New Roman" w:cs="Times New Roman" w:eastAsia="Times New Roman" w:hAnsi="Times New Roman"/>
          <w:sz w:val="12"/>
          <w:szCs w:val="12"/>
          <w:color w:val="auto"/>
        </w:rPr>
        <w:t xml:space="preserve"> and other documents filed, or to be filed with the SEC by BurTech, including the Registration Statement (defined below). The foregoing list of factors is not exhaustive. There may be additional risks that neither BurTech nor Blaize presently know or that BurTech or Blaize currently believe are immaterial that could also cause actual results to differ from those contained in the forward-looking statements. You should carefully consider the foregoing factors and the other risks and uncertainties described in the definitive proxy statement filed by BurTech with the SEC, including those under “Risk Factors” therein, and other documents filed by BurTech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BurTech and Blaize assume no obligation and, except as required by law, do not intend to update or revise these forward-looking statements, whether as a result of new information, future events, or otherwise. Neither BurTech nor Blaize gives any assurance that either BurTech or Blaize will achieve its expectations.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(d) Exhibits</w:t>
      </w:r>
    </w:p>
    <w:p>
      <w:pPr>
        <w:spacing w:after="0" w:line="1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following exhibits are being filed herewith:</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1000" w:type="dxa"/>
            <w:vAlign w:val="bottom"/>
          </w:tcPr>
          <w:p>
            <w:pPr>
              <w:spacing w:after="0"/>
              <w:rPr>
                <w:sz w:val="13"/>
                <w:szCs w:val="13"/>
                <w:color w:val="auto"/>
              </w:rPr>
            </w:pPr>
          </w:p>
        </w:tc>
        <w:tc>
          <w:tcPr>
            <w:tcW w:w="9480" w:type="dxa"/>
            <w:vAlign w:val="bottom"/>
          </w:tcPr>
          <w:p>
            <w:pPr>
              <w:ind w:left="3940"/>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06"/>
        </w:trPr>
        <w:tc>
          <w:tcPr>
            <w:tcW w:w="580" w:type="dxa"/>
            <w:vAlign w:val="bottom"/>
            <w:tcBorders>
              <w:top w:val="single" w:sz="8" w:color="auto"/>
            </w:tcBorders>
            <w:gridSpan w:val="2"/>
          </w:tcPr>
          <w:p>
            <w:pPr>
              <w:spacing w:after="0" w:line="106" w:lineRule="exact"/>
              <w:rPr>
                <w:sz w:val="20"/>
                <w:szCs w:val="20"/>
                <w:color w:val="auto"/>
              </w:rPr>
            </w:pPr>
            <w:r>
              <w:rPr>
                <w:rFonts w:ascii="Times New Roman" w:cs="Times New Roman" w:eastAsia="Times New Roman" w:hAnsi="Times New Roman"/>
                <w:sz w:val="12"/>
                <w:szCs w:val="12"/>
                <w:color w:val="0000EE"/>
              </w:rPr>
              <w:t>99.</w:t>
            </w:r>
            <w:r>
              <w:rPr>
                <w:rFonts w:ascii="Times New Roman" w:cs="Times New Roman" w:eastAsia="Times New Roman" w:hAnsi="Times New Roman"/>
                <w:sz w:val="12"/>
                <w:szCs w:val="12"/>
                <w:u w:val="single" w:color="auto"/>
                <w:color w:val="0000EE"/>
              </w:rPr>
              <w:t>1</w:t>
            </w:r>
          </w:p>
        </w:tc>
        <w:tc>
          <w:tcPr>
            <w:tcW w:w="240" w:type="dxa"/>
            <w:vAlign w:val="bottom"/>
          </w:tcPr>
          <w:p>
            <w:pPr>
              <w:spacing w:after="0"/>
              <w:rPr>
                <w:sz w:val="9"/>
                <w:szCs w:val="9"/>
                <w:color w:val="auto"/>
              </w:rPr>
            </w:pPr>
          </w:p>
        </w:tc>
        <w:tc>
          <w:tcPr>
            <w:tcW w:w="10480" w:type="dxa"/>
            <w:vAlign w:val="bottom"/>
            <w:tcBorders>
              <w:top w:val="single" w:sz="8" w:color="auto"/>
            </w:tcBorders>
            <w:gridSpan w:val="2"/>
          </w:tcPr>
          <w:p>
            <w:pPr>
              <w:spacing w:after="0" w:line="106" w:lineRule="exact"/>
              <w:rPr>
                <w:sz w:val="20"/>
                <w:szCs w:val="20"/>
                <w:color w:val="auto"/>
              </w:rPr>
            </w:pPr>
            <w:r>
              <w:rPr>
                <w:rFonts w:ascii="Times New Roman" w:cs="Times New Roman" w:eastAsia="Times New Roman" w:hAnsi="Times New Roman"/>
                <w:sz w:val="12"/>
                <w:szCs w:val="12"/>
                <w:color w:val="0000EE"/>
              </w:rPr>
              <w:t>Investor Presentation</w:t>
            </w:r>
          </w:p>
        </w:tc>
      </w:tr>
      <w:tr>
        <w:trPr>
          <w:trHeight w:val="20"/>
        </w:trPr>
        <w:tc>
          <w:tcPr>
            <w:tcW w:w="2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r>
      <w:tr>
        <w:trPr>
          <w:trHeight w:val="151"/>
        </w:trPr>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w w:val="99"/>
              </w:rPr>
              <w:t>104</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450"/>
        </w:trPr>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94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4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color w:val="auto"/>
        </w:rPr>
        <w:t>BURTECH ACQUISITION CORP.</w:t>
      </w:r>
    </w:p>
    <w:p>
      <w:pPr>
        <w:spacing w:after="0" w:line="154" w:lineRule="exact"/>
        <w:rPr>
          <w:sz w:val="20"/>
          <w:szCs w:val="20"/>
          <w:color w:val="auto"/>
        </w:rPr>
      </w:pPr>
    </w:p>
    <w:tbl>
      <w:tblPr>
        <w:tblLayout w:type="fixed"/>
        <w:tblInd w:w="5660" w:type="dxa"/>
        <w:tblCellMar>
          <w:top w:w="0" w:type="dxa"/>
          <w:left w:w="0" w:type="dxa"/>
          <w:bottom w:w="0" w:type="dxa"/>
          <w:right w:w="0" w:type="dxa"/>
        </w:tblCellMar>
      </w:tblP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Shahal Khan</w:t>
            </w:r>
          </w:p>
        </w:tc>
      </w:tr>
      <w:tr>
        <w:trPr>
          <w:trHeight w:val="122"/>
        </w:trPr>
        <w:tc>
          <w:tcPr>
            <w:tcW w:w="56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50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Shahal Khan</w:t>
            </w:r>
          </w:p>
        </w:tc>
      </w:t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Chief Executive Officer</w:t>
            </w: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Dated: December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296545</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5" w:name="page6"/>
    <w:bookmarkEnd w:id="5"/>
    <w:p>
      <w:pPr>
        <w:ind w:left="9420"/>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116205</wp:posOffset>
            </wp:positionV>
            <wp:extent cx="7218680" cy="41148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0" w:num="1">
            <w:col w:w="10160"/>
          </w:cols>
          <w:pgMar w:left="1440" w:top="281" w:right="299" w:bottom="1440"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2024-12-06T05:11:28Z</dcterms:created>
  <dcterms:modified xsi:type="dcterms:W3CDTF">2024-12-06T05:11:28Z</dcterms:modified>
</cp:coreProperties>
</file>