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171450</wp:posOffset>
            </wp:positionV>
            <wp:extent cx="925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207645</wp:posOffset>
            </wp:positionV>
            <wp:extent cx="925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December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256540</wp:posOffset>
            </wp:positionV>
            <wp:extent cx="925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292735</wp:posOffset>
            </wp:positionV>
            <wp:extent cx="925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tbl>
      <w:tblPr>
        <w:tblLayout w:type="fixed"/>
        <w:tblInd w:w="740" w:type="dxa"/>
        <w:tblCellMar>
          <w:top w:w="0" w:type="dxa"/>
          <w:left w:w="0" w:type="dxa"/>
          <w:bottom w:w="0" w:type="dxa"/>
          <w:right w:w="0" w:type="dxa"/>
        </w:tblCellMar>
      </w:tblPr>
      <w:tr>
        <w:trPr>
          <w:trHeight w:val="235"/>
        </w:trPr>
        <w:tc>
          <w:tcPr>
            <w:tcW w:w="3620" w:type="dxa"/>
            <w:vAlign w:val="bottom"/>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001-41139</w:t>
            </w:r>
          </w:p>
        </w:tc>
        <w:tc>
          <w:tcPr>
            <w:tcW w:w="206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138"/>
        </w:trPr>
        <w:tc>
          <w:tcPr>
            <w:tcW w:w="3620" w:type="dxa"/>
            <w:vAlign w:val="bottom"/>
          </w:tcPr>
          <w:p>
            <w:pPr>
              <w:jc w:val="center"/>
              <w:ind w:right="401"/>
              <w:spacing w:after="0" w:line="13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040" w:type="dxa"/>
            <w:vAlign w:val="bottom"/>
          </w:tcPr>
          <w:p>
            <w:pPr>
              <w:jc w:val="center"/>
              <w:ind w:right="441"/>
              <w:spacing w:after="0" w:line="13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60" w:type="dxa"/>
            <w:vAlign w:val="bottom"/>
          </w:tcPr>
          <w:p>
            <w:pPr>
              <w:jc w:val="center"/>
              <w:ind w:left="944"/>
              <w:spacing w:after="0" w:line="13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620" w:type="dxa"/>
            <w:vAlign w:val="bottom"/>
          </w:tcPr>
          <w:p>
            <w:pPr>
              <w:jc w:val="center"/>
              <w:ind w:right="4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040" w:type="dxa"/>
            <w:vAlign w:val="bottom"/>
          </w:tcPr>
          <w:p>
            <w:pPr>
              <w:spacing w:after="0"/>
              <w:rPr>
                <w:sz w:val="15"/>
                <w:szCs w:val="15"/>
                <w:color w:val="auto"/>
              </w:rPr>
            </w:pPr>
          </w:p>
        </w:tc>
        <w:tc>
          <w:tcPr>
            <w:tcW w:w="206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501"/>
        </w:trPr>
        <w:tc>
          <w:tcPr>
            <w:tcW w:w="3620" w:type="dxa"/>
            <w:vAlign w:val="bottom"/>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30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35"/>
        </w:trPr>
        <w:tc>
          <w:tcPr>
            <w:tcW w:w="3620" w:type="dxa"/>
            <w:vAlign w:val="bottom"/>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El Dorado Hills, California</w:t>
            </w:r>
          </w:p>
        </w:tc>
        <w:tc>
          <w:tcPr>
            <w:tcW w:w="3040" w:type="dxa"/>
            <w:vAlign w:val="bottom"/>
          </w:tcPr>
          <w:p>
            <w:pPr>
              <w:spacing w:after="0"/>
              <w:rPr>
                <w:sz w:val="20"/>
                <w:szCs w:val="20"/>
                <w:color w:val="auto"/>
              </w:rPr>
            </w:pPr>
          </w:p>
        </w:tc>
        <w:tc>
          <w:tcPr>
            <w:tcW w:w="206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178"/>
        </w:trPr>
        <w:tc>
          <w:tcPr>
            <w:tcW w:w="3620" w:type="dxa"/>
            <w:vAlign w:val="bottom"/>
          </w:tcPr>
          <w:p>
            <w:pPr>
              <w:jc w:val="center"/>
              <w:ind w:right="4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040" w:type="dxa"/>
            <w:vAlign w:val="bottom"/>
          </w:tcPr>
          <w:p>
            <w:pPr>
              <w:spacing w:after="0"/>
              <w:rPr>
                <w:sz w:val="15"/>
                <w:szCs w:val="15"/>
                <w:color w:val="auto"/>
              </w:rPr>
            </w:pPr>
          </w:p>
        </w:tc>
        <w:tc>
          <w:tcPr>
            <w:tcW w:w="2060" w:type="dxa"/>
            <w:vAlign w:val="bottom"/>
          </w:tcPr>
          <w:p>
            <w:pPr>
              <w:jc w:val="center"/>
              <w:ind w:left="9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916 347-0050</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292735</wp:posOffset>
            </wp:positionV>
            <wp:extent cx="925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3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5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380" w:type="dxa"/>
            <w:vAlign w:val="bottom"/>
            <w:gridSpan w:val="2"/>
            <w:vMerge w:val="continue"/>
          </w:tcPr>
          <w:p>
            <w:pPr>
              <w:spacing w:after="0"/>
              <w:rPr>
                <w:sz w:val="20"/>
                <w:szCs w:val="20"/>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5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4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BZAI</w:t>
            </w:r>
          </w:p>
        </w:tc>
        <w:tc>
          <w:tcPr>
            <w:tcW w:w="160" w:type="dxa"/>
            <w:vAlign w:val="bottom"/>
          </w:tcPr>
          <w:p>
            <w:pPr>
              <w:spacing w:after="0"/>
              <w:rPr>
                <w:sz w:val="18"/>
                <w:szCs w:val="18"/>
                <w:color w:val="auto"/>
              </w:rPr>
            </w:pPr>
          </w:p>
        </w:tc>
        <w:tc>
          <w:tcPr>
            <w:tcW w:w="5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189"/>
        </w:trPr>
        <w:tc>
          <w:tcPr>
            <w:tcW w:w="438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184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8"/>
                <w:szCs w:val="18"/>
                <w:color w:val="auto"/>
                <w:w w:val="98"/>
              </w:rPr>
              <w:t>BZAIW</w:t>
            </w:r>
          </w:p>
        </w:tc>
        <w:tc>
          <w:tcPr>
            <w:tcW w:w="50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34"/>
        </w:trPr>
        <w:tc>
          <w:tcPr>
            <w:tcW w:w="4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common stock at an exercise price of $11.50 per share</w:t>
            </w: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67" w:right="339" w:bottom="46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December 3, 2025, Blaize Holdings, Inc. (the “Company”) held its Annual Meeting of Stockholders (the “2025 Annual Meeting”) to (1) elect seven directors to hold office until the Company’s 2026 Annual Meeting of Stockholders, or until their successors are duly elected and qualified; (2) amend the Company’s Third Amended and Restated Certificate of Incorporation, to provide that directors may be removed in a manner consistent with Section 141(k) of the Delaware General Corporation Law; and (3) to ratify the appointment of UHY LLP as the Company’s independent registered public accounting firm for the Company’s current fiscal year ending December 31, 2025, in each case as described in further detail in the Company’s definitive proxy statement for the 2025 Annual Meeting, which was filed with the U.S. Securities and Exchange Commission on October 20, 2025. All results presented below reflect the voting power of the Company’s common stock.</w:t>
      </w:r>
    </w:p>
    <w:p>
      <w:pPr>
        <w:spacing w:after="0" w:line="21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At the close of business of October 6, 2025, the record date of the 2025 Annual Meeting, an aggregate of 107,866,345 shares of the Company’s common stock were issued and outstanding. At the 2025 Annual Meeting, 68,916,604 shares of the Company’s common stock were represented in person, online, or by proxy; therefore, a quorum was present.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2025 Annual Meeting, the Company’s stockholders voted as follows: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5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nominees for election to the Board of Directors (the “Board”) were elected, each until the next Annual Meeting of Stockholders or their earlier resignation or retirement. For each nominee, the votes cast for, abstentions, and broker non-votes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Name</w:t>
            </w:r>
          </w:p>
        </w:tc>
        <w:tc>
          <w:tcPr>
            <w:tcW w:w="23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Shares For</w:t>
            </w:r>
          </w:p>
        </w:tc>
        <w:tc>
          <w:tcPr>
            <w:tcW w:w="2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Shares Abstained / Withheld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18"/>
        </w:trPr>
        <w:tc>
          <w:tcPr>
            <w:tcW w:w="3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Lane M. Bess</w:t>
            </w:r>
          </w:p>
        </w:tc>
        <w:tc>
          <w:tcPr>
            <w:tcW w:w="140" w:type="dxa"/>
            <w:vAlign w:val="bottom"/>
          </w:tcPr>
          <w:p>
            <w:pPr>
              <w:spacing w:after="0"/>
              <w:rPr>
                <w:sz w:val="18"/>
                <w:szCs w:val="18"/>
                <w:color w:val="auto"/>
              </w:rPr>
            </w:pPr>
          </w:p>
        </w:tc>
        <w:tc>
          <w:tcPr>
            <w:tcW w:w="224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40,825,853</w:t>
            </w:r>
          </w:p>
        </w:tc>
        <w:tc>
          <w:tcPr>
            <w:tcW w:w="140" w:type="dxa"/>
            <w:vAlign w:val="bottom"/>
          </w:tcPr>
          <w:p>
            <w:pPr>
              <w:spacing w:after="0"/>
              <w:rPr>
                <w:sz w:val="18"/>
                <w:szCs w:val="18"/>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1,271,950</w:t>
            </w:r>
          </w:p>
        </w:tc>
        <w:tc>
          <w:tcPr>
            <w:tcW w:w="140" w:type="dxa"/>
            <w:vAlign w:val="bottom"/>
          </w:tcPr>
          <w:p>
            <w:pPr>
              <w:spacing w:after="0"/>
              <w:rPr>
                <w:sz w:val="18"/>
                <w:szCs w:val="18"/>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26,818,801</w:t>
            </w:r>
          </w:p>
        </w:tc>
      </w:tr>
      <w:tr>
        <w:trPr>
          <w:trHeight w:val="229"/>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Dinakar Munagala</w:t>
            </w:r>
          </w:p>
        </w:tc>
        <w:tc>
          <w:tcPr>
            <w:tcW w:w="2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41,101,928</w:t>
            </w:r>
          </w:p>
        </w:tc>
        <w:tc>
          <w:tcPr>
            <w:tcW w:w="14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995,875</w:t>
            </w:r>
          </w:p>
        </w:tc>
        <w:tc>
          <w:tcPr>
            <w:tcW w:w="1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26,818,801</w:t>
            </w:r>
          </w:p>
        </w:tc>
      </w:tr>
      <w:tr>
        <w:trPr>
          <w:trHeight w:val="23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Edward Frank</w:t>
            </w:r>
          </w:p>
        </w:tc>
        <w:tc>
          <w:tcPr>
            <w:tcW w:w="2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39,900,443</w:t>
            </w:r>
          </w:p>
        </w:tc>
        <w:tc>
          <w:tcPr>
            <w:tcW w:w="14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2,197,360</w:t>
            </w:r>
          </w:p>
        </w:tc>
        <w:tc>
          <w:tcPr>
            <w:tcW w:w="1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26,818,801</w:t>
            </w:r>
          </w:p>
        </w:tc>
      </w:tr>
      <w:tr>
        <w:trPr>
          <w:trHeight w:val="229"/>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Juergen Hambrecht</w:t>
            </w:r>
          </w:p>
        </w:tc>
        <w:tc>
          <w:tcPr>
            <w:tcW w:w="2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40,920,056</w:t>
            </w:r>
          </w:p>
        </w:tc>
        <w:tc>
          <w:tcPr>
            <w:tcW w:w="14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1,177,747</w:t>
            </w:r>
          </w:p>
        </w:tc>
        <w:tc>
          <w:tcPr>
            <w:tcW w:w="1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26,818,801</w:t>
            </w:r>
          </w:p>
        </w:tc>
      </w:tr>
      <w:tr>
        <w:trPr>
          <w:trHeight w:val="23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Cannestra</w:t>
            </w:r>
          </w:p>
        </w:tc>
        <w:tc>
          <w:tcPr>
            <w:tcW w:w="2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40,892,076</w:t>
            </w:r>
          </w:p>
        </w:tc>
        <w:tc>
          <w:tcPr>
            <w:tcW w:w="14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1,205,727</w:t>
            </w:r>
          </w:p>
        </w:tc>
        <w:tc>
          <w:tcPr>
            <w:tcW w:w="1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26,818,801</w:t>
            </w:r>
          </w:p>
        </w:tc>
      </w:tr>
      <w:tr>
        <w:trPr>
          <w:trHeight w:val="23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George de Urioste</w:t>
            </w:r>
          </w:p>
        </w:tc>
        <w:tc>
          <w:tcPr>
            <w:tcW w:w="2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40,888,539</w:t>
            </w:r>
          </w:p>
        </w:tc>
        <w:tc>
          <w:tcPr>
            <w:tcW w:w="14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1,209,264</w:t>
            </w:r>
          </w:p>
        </w:tc>
        <w:tc>
          <w:tcPr>
            <w:tcW w:w="1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26,818,801</w:t>
            </w:r>
          </w:p>
        </w:tc>
      </w:tr>
      <w:tr>
        <w:trPr>
          <w:trHeight w:val="234"/>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Yoshiaki Fujimori</w:t>
            </w:r>
          </w:p>
        </w:tc>
        <w:tc>
          <w:tcPr>
            <w:tcW w:w="2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41,393,269</w:t>
            </w:r>
          </w:p>
        </w:tc>
        <w:tc>
          <w:tcPr>
            <w:tcW w:w="14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704,534</w:t>
            </w:r>
          </w:p>
        </w:tc>
        <w:tc>
          <w:tcPr>
            <w:tcW w:w="14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26,818,801</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Amendment to Certificate of Incorporation</w:t>
      </w:r>
    </w:p>
    <w:p>
      <w:pPr>
        <w:spacing w:after="0" w:line="2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proposal to amend the Company’s Third Amended and Restated Certificate of Incorporation, to provide that directors may be removed in a manner consistent with Section 141(k) of the Delaware General Corporation Law was not approved. The votes cast for, against, abstentions, and broker non-votes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Shares For</w:t>
            </w:r>
          </w:p>
        </w:tc>
        <w:tc>
          <w:tcPr>
            <w:tcW w:w="2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Shares Against</w:t>
            </w:r>
          </w:p>
        </w:tc>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 Abstained / Withheld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28"/>
        </w:trPr>
        <w:tc>
          <w:tcPr>
            <w:tcW w:w="294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41,675,545</w:t>
            </w:r>
          </w:p>
        </w:tc>
        <w:tc>
          <w:tcPr>
            <w:tcW w:w="140" w:type="dxa"/>
            <w:vAlign w:val="bottom"/>
          </w:tcPr>
          <w:p>
            <w:pPr>
              <w:spacing w:after="0"/>
              <w:rPr>
                <w:sz w:val="19"/>
                <w:szCs w:val="19"/>
                <w:color w:val="auto"/>
              </w:rPr>
            </w:pPr>
          </w:p>
        </w:tc>
        <w:tc>
          <w:tcPr>
            <w:tcW w:w="266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271,394</w:t>
            </w:r>
          </w:p>
        </w:tc>
        <w:tc>
          <w:tcPr>
            <w:tcW w:w="140" w:type="dxa"/>
            <w:vAlign w:val="bottom"/>
          </w:tcPr>
          <w:p>
            <w:pPr>
              <w:spacing w:after="0"/>
              <w:rPr>
                <w:sz w:val="19"/>
                <w:szCs w:val="19"/>
                <w:color w:val="auto"/>
              </w:rPr>
            </w:pPr>
          </w:p>
        </w:tc>
        <w:tc>
          <w:tcPr>
            <w:tcW w:w="248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150,864</w:t>
            </w:r>
          </w:p>
        </w:tc>
        <w:tc>
          <w:tcPr>
            <w:tcW w:w="140" w:type="dxa"/>
            <w:vAlign w:val="bottom"/>
          </w:tcPr>
          <w:p>
            <w:pPr>
              <w:spacing w:after="0"/>
              <w:rPr>
                <w:sz w:val="19"/>
                <w:szCs w:val="19"/>
                <w:color w:val="auto"/>
              </w:rPr>
            </w:pPr>
          </w:p>
        </w:tc>
        <w:tc>
          <w:tcPr>
            <w:tcW w:w="2740" w:type="dxa"/>
            <w:vAlign w:val="bottom"/>
            <w:tcBorders>
              <w:top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26,818,801</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Ratification of Appointment of Independent Registered Public Accounting Firm for Fiscal 2025</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proposal to ratify the appointment of UHY LLP as the Company’s independent registered public accounting firm for the fiscal year ending December 31, 2025 was approved. The votes cast for and against as well as the abstentions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Shares For</w:t>
            </w:r>
          </w:p>
        </w:tc>
        <w:tc>
          <w:tcPr>
            <w:tcW w:w="3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 Against</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Abstained / Withheld</w:t>
            </w:r>
          </w:p>
        </w:tc>
      </w:tr>
      <w:tr>
        <w:trPr>
          <w:trHeight w:val="228"/>
        </w:trPr>
        <w:tc>
          <w:tcPr>
            <w:tcW w:w="3460" w:type="dxa"/>
            <w:vAlign w:val="bottom"/>
            <w:tcBorders>
              <w:top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49,539,874</w:t>
            </w:r>
          </w:p>
        </w:tc>
        <w:tc>
          <w:tcPr>
            <w:tcW w:w="140" w:type="dxa"/>
            <w:vAlign w:val="bottom"/>
          </w:tcPr>
          <w:p>
            <w:pPr>
              <w:spacing w:after="0"/>
              <w:rPr>
                <w:sz w:val="19"/>
                <w:szCs w:val="19"/>
                <w:color w:val="auto"/>
              </w:rPr>
            </w:pPr>
          </w:p>
        </w:tc>
        <w:tc>
          <w:tcPr>
            <w:tcW w:w="3540" w:type="dxa"/>
            <w:vAlign w:val="bottom"/>
            <w:tcBorders>
              <w:top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rPr>
              <w:t>495,596</w:t>
            </w:r>
          </w:p>
        </w:tc>
        <w:tc>
          <w:tcPr>
            <w:tcW w:w="140" w:type="dxa"/>
            <w:vAlign w:val="bottom"/>
          </w:tcPr>
          <w:p>
            <w:pPr>
              <w:spacing w:after="0"/>
              <w:rPr>
                <w:sz w:val="19"/>
                <w:szCs w:val="19"/>
                <w:color w:val="auto"/>
              </w:rPr>
            </w:pPr>
          </w:p>
        </w:tc>
        <w:tc>
          <w:tcPr>
            <w:tcW w:w="3960" w:type="dxa"/>
            <w:vAlign w:val="bottom"/>
            <w:tcBorders>
              <w:top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18,881,134</w:t>
            </w:r>
          </w:p>
        </w:tc>
      </w:tr>
      <w:tr>
        <w:trPr>
          <w:trHeight w:val="1298"/>
        </w:trPr>
        <w:tc>
          <w:tcPr>
            <w:tcW w:w="3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 w:name="page4"/>
    <w:bookmarkEnd w:id="3"/>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9"/>
                <w:szCs w:val="19"/>
                <w:color w:val="auto"/>
              </w:rPr>
            </w:pPr>
          </w:p>
        </w:tc>
        <w:tc>
          <w:tcPr>
            <w:tcW w:w="9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41"/>
        </w:trPr>
        <w:tc>
          <w:tcPr>
            <w:tcW w:w="1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18"/>
          <w:szCs w:val="18"/>
          <w:color w:val="auto"/>
        </w:rPr>
        <w:t>Date: December 4, 2025</w:t>
      </w:r>
      <w:r>
        <w:rPr>
          <w:sz w:val="20"/>
          <w:szCs w:val="20"/>
          <w:color w:val="auto"/>
        </w:rPr>
        <w:tab/>
      </w:r>
      <w:r>
        <w:rPr>
          <w:rFonts w:ascii="Times New Roman" w:cs="Times New Roman" w:eastAsia="Times New Roman" w:hAnsi="Times New Roman"/>
          <w:sz w:val="18"/>
          <w:szCs w:val="18"/>
          <w:b w:val="1"/>
          <w:bCs w:val="1"/>
          <w:color w:val="auto"/>
        </w:rPr>
        <w:t>Blaize Holdings, Inc.</w:t>
      </w:r>
    </w:p>
    <w:p>
      <w:pPr>
        <w:spacing w:after="0" w:line="29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Dinakar Munagala</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Dinakar Munagala</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Chief Executive Officer</w:t>
      </w:r>
    </w:p>
    <w:sectPr>
      <w:pgSz w:w="11900" w:h="16838" w:orient="portrait"/>
      <w:cols w:equalWidth="0" w:num="1">
        <w:col w:w="11200"/>
      </w:cols>
      <w:pgMar w:left="320" w:top="12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2025-12-04T15:22:56Z</dcterms:created>
  <dcterms:modified xsi:type="dcterms:W3CDTF">2025-12-04T15:22:56Z</dcterms:modified>
</cp:coreProperties>
</file>