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SEC Form 4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FORM 4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ind w:left="340" w:right="140"/>
        <w:spacing w:after="0" w:line="26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-240665</wp:posOffset>
            </wp:positionV>
            <wp:extent cx="114300" cy="1143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208280</wp:posOffset>
            </wp:positionV>
            <wp:extent cx="114300" cy="1143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ind w:left="340"/>
        <w:spacing w:after="0" w:line="2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5960" w:type="dxa"/>
            <w:vAlign w:val="bottom"/>
          </w:tcPr>
          <w:p>
            <w:pPr>
              <w:jc w:val="center"/>
              <w:ind w:right="2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5960" w:type="dxa"/>
            <w:vAlign w:val="bottom"/>
          </w:tcPr>
          <w:p>
            <w:pPr>
              <w:jc w:val="center"/>
              <w:ind w:right="2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9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6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5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5960" w:type="dxa"/>
            <w:vAlign w:val="bottom"/>
            <w:vMerge w:val="restart"/>
          </w:tcPr>
          <w:p>
            <w:pPr>
              <w:jc w:val="center"/>
              <w:ind w:right="2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580" w:type="dxa"/>
            <w:vAlign w:val="bottom"/>
            <w:tcBorders>
              <w:top w:val="single" w:sz="8" w:color="808080"/>
            </w:tcBorders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4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59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7"/>
              </w:rPr>
              <w:t>Estimated average burden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5960" w:type="dxa"/>
            <w:vAlign w:val="bottom"/>
            <w:vMerge w:val="restart"/>
          </w:tcPr>
          <w:p>
            <w:pPr>
              <w:jc w:val="center"/>
              <w:ind w:right="2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580" w:type="dxa"/>
            <w:vAlign w:val="bottom"/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59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9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5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5960" w:type="dxa"/>
            <w:vAlign w:val="bottom"/>
          </w:tcPr>
          <w:p>
            <w:pPr>
              <w:jc w:val="center"/>
              <w:ind w:right="2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or Section 30(h) of the Investment Company Act of 1940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3776980</wp:posOffset>
            </wp:positionH>
            <wp:positionV relativeFrom="paragraph">
              <wp:posOffset>-744855</wp:posOffset>
            </wp:positionV>
            <wp:extent cx="1290955" cy="6197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955" cy="619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-1633855</wp:posOffset>
            </wp:positionH>
            <wp:positionV relativeFrom="paragraph">
              <wp:posOffset>664210</wp:posOffset>
            </wp:positionV>
            <wp:extent cx="6732905" cy="42557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32905" cy="4255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3" w:lineRule="exact"/>
        <w:rPr>
          <w:sz w:val="24"/>
          <w:szCs w:val="24"/>
          <w:color w:val="auto"/>
        </w:rPr>
      </w:pPr>
    </w:p>
    <w:p>
      <w:pPr>
        <w:sectPr>
          <w:pgSz w:w="11900" w:h="16840" w:orient="portrait"/>
          <w:cols w:equalWidth="0" w:num="2">
            <w:col w:w="2240" w:space="320"/>
            <w:col w:w="8000"/>
          </w:cols>
          <w:pgMar w:left="660" w:top="556" w:right="680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8"/>
              </w:rPr>
              <w:t xml:space="preserve">1. Name and Address of Reporting Person </w:t>
            </w:r>
            <w:r>
              <w:rPr>
                <w:rFonts w:ascii="Arial" w:cs="Arial" w:eastAsia="Arial" w:hAnsi="Arial"/>
                <w:sz w:val="19"/>
                <w:szCs w:val="19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 Ticker or Trading Symbol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8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  <w:t>Hambrecht Juergen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20" w:type="dxa"/>
            <w:vAlign w:val="bottom"/>
            <w:gridSpan w:val="7"/>
          </w:tcPr>
          <w:p>
            <w:pPr>
              <w:ind w:left="60"/>
              <w:spacing w:after="0" w:line="132" w:lineRule="exact"/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15"/>
                  <w:szCs w:val="15"/>
                  <w:color w:val="0000EE"/>
                </w:rPr>
                <w:t xml:space="preserve">Blaize Holdings, Inc. </w:t>
              </w:r>
            </w:hyperlink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BZAI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00"/>
              </w:rPr>
              <w:t>]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(Check all applicable)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20" w:type="dxa"/>
            <w:vAlign w:val="bottom"/>
            <w:gridSpan w:val="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3. Date of Earliest Transaction (Month/Day/Year)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EEEE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EEEE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EEEE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EEEE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EEEE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EEEE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EEEE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Officer (give title</w:t>
            </w:r>
          </w:p>
        </w:tc>
        <w:tc>
          <w:tcPr>
            <w:tcW w:w="1580" w:type="dxa"/>
            <w:vAlign w:val="bottom"/>
            <w:gridSpan w:val="2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12/03/2025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(Last)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(First)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(Middle)</w:t>
            </w:r>
          </w:p>
        </w:tc>
        <w:tc>
          <w:tcPr>
            <w:tcW w:w="10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2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C/O BLAIZE HOLDINGS, INC.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20" w:type="dxa"/>
            <w:vAlign w:val="bottom"/>
            <w:gridSpan w:val="8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80" w:type="dxa"/>
            <w:vAlign w:val="bottom"/>
            <w:gridSpan w:val="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20" w:type="dxa"/>
            <w:vAlign w:val="bottom"/>
            <w:gridSpan w:val="7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4659 GOLDEN FOOTHILL PARKWAY, SUITE 206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8"/>
              </w:rPr>
              <w:t>Form filed by One Reporting Person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EEEE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EEEE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EEEE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EEEE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EEEE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EEEE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EEEE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4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(Street)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EL DORADO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CA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95762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HILLS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EEEE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EEEE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EEEE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EEEEEE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EEEE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EEEE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(City)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760" w:type="dxa"/>
            <w:vAlign w:val="bottom"/>
            <w:gridSpan w:val="18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808080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1. Title of Security (Instr. 3)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4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6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3"/>
              </w:rPr>
              <w:t>Following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5"/>
              </w:rPr>
              <w:t>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12/03/2025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A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75,258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(1)</w:t>
            </w:r>
          </w:p>
        </w:tc>
        <w:tc>
          <w:tcPr>
            <w:tcW w:w="3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378,757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(2)</w:t>
            </w:r>
          </w:p>
        </w:tc>
        <w:tc>
          <w:tcPr>
            <w:tcW w:w="9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960" w:type="dxa"/>
            <w:vAlign w:val="bottom"/>
            <w:gridSpan w:val="1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320" w:type="dxa"/>
            <w:vAlign w:val="bottom"/>
            <w:gridSpan w:val="15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808080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4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 of Derivative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4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3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4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9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5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7"/>
              </w:rPr>
              <w:t>Title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40" w:right="220" w:firstLine="2"/>
        <w:spacing w:after="0" w:line="280" w:lineRule="auto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Represents an award of restricted stock units granted at the Issuer's 2025 Annual Meeting under the Non-Employee Director Compensation Program, which vest at the ealier of one year or the Issuer's next Annual Meeting.</w:t>
      </w:r>
    </w:p>
    <w:p>
      <w:pPr>
        <w:spacing w:after="0" w:line="14" w:lineRule="exact"/>
        <w:rPr>
          <w:rFonts w:ascii="Times New Roman" w:cs="Times New Roman" w:eastAsia="Times New Roman" w:hAnsi="Times New Roman"/>
          <w:sz w:val="12"/>
          <w:szCs w:val="12"/>
          <w:color w:val="008000"/>
        </w:rPr>
      </w:pPr>
    </w:p>
    <w:p>
      <w:pPr>
        <w:ind w:left="160" w:hanging="118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Includes 90,999 Earn-Out Shares, each of which represents a contingent right to receive one share of Common Stock if the trading price of the Issuer's Common Stock exceeds certain thresholds.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tbl>
      <w:tblPr>
        <w:tblLayout w:type="fixed"/>
        <w:tblInd w:w="63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/s/ Harminder Sehmi, as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5"/>
              </w:rPr>
              <w:t>12/05/2025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150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1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Attorney-in-Fact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1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0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** Signature of Reporting Person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Reminder: Report on a separate line for each class of securities beneficially owned directly or indirectly.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4 (b)(v).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87" w:lineRule="auto"/>
        <w:tabs>
          <w:tab w:leader="none" w:pos="167" w:val="left"/>
        </w:tabs>
        <w:numPr>
          <w:ilvl w:val="0"/>
          <w:numId w:val="2"/>
        </w:numPr>
        <w:rPr>
          <w:rFonts w:ascii="Arial" w:cs="Arial" w:eastAsia="Arial" w:hAnsi="Arial"/>
          <w:sz w:val="11"/>
          <w:szCs w:val="11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1"/>
          <w:szCs w:val="11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40" w:orient="portrait"/>
      <w:cols w:equalWidth="0" w:num="1">
        <w:col w:w="10560"/>
      </w:cols>
      <w:pgMar w:left="660" w:top="556" w:right="680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87163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2025-12-05T16:09:40Z</dcterms:created>
  <dcterms:modified xsi:type="dcterms:W3CDTF">2025-12-05T16:09:40Z</dcterms:modified>
</cp:coreProperties>
</file>