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18,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60" w:type="dxa"/>
            <w:vAlign w:val="bottom"/>
            <w:gridSpan w:val="3"/>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85-2708752</w:t>
            </w:r>
          </w:p>
        </w:tc>
      </w:tr>
      <w:tr>
        <w:trPr>
          <w:trHeight w:val="194"/>
        </w:trPr>
        <w:tc>
          <w:tcPr>
            <w:tcW w:w="3180" w:type="dxa"/>
            <w:vAlign w:val="bottom"/>
            <w:tcBorders>
              <w:top w:val="single" w:sz="8" w:color="auto"/>
            </w:tcBorders>
          </w:tcPr>
          <w:p>
            <w:pPr>
              <w:jc w:val="center"/>
              <w:ind w:lef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(Commission File Number)</w:t>
            </w:r>
          </w:p>
        </w:tc>
        <w:tc>
          <w:tcPr>
            <w:tcW w:w="1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tcPr>
          <w:p>
            <w:pPr>
              <w:jc w:val="center"/>
              <w:ind w:right="5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8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1300 Pennsylvania Ave NW, Suite 700</w:t>
            </w:r>
          </w:p>
        </w:tc>
        <w:tc>
          <w:tcPr>
            <w:tcW w:w="294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Washington, DC 20004</w:t>
            </w:r>
          </w:p>
        </w:tc>
        <w:tc>
          <w:tcPr>
            <w:tcW w:w="2940" w:type="dxa"/>
            <w:vAlign w:val="bottom"/>
          </w:tcPr>
          <w:p>
            <w:pPr>
              <w:spacing w:after="0"/>
              <w:rPr>
                <w:sz w:val="18"/>
                <w:szCs w:val="18"/>
                <w:color w:val="auto"/>
              </w:rPr>
            </w:pPr>
          </w:p>
        </w:tc>
      </w:tr>
      <w:tr>
        <w:trPr>
          <w:trHeight w:val="238"/>
        </w:trPr>
        <w:tc>
          <w:tcPr>
            <w:tcW w:w="3180" w:type="dxa"/>
            <w:vAlign w:val="bottom"/>
          </w:tcPr>
          <w:p>
            <w:pPr>
              <w:spacing w:after="0"/>
              <w:rPr>
                <w:sz w:val="20"/>
                <w:szCs w:val="20"/>
                <w:color w:val="auto"/>
              </w:rPr>
            </w:pPr>
          </w:p>
        </w:tc>
        <w:tc>
          <w:tcPr>
            <w:tcW w:w="51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9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(202) 600-5757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3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on</w:t>
            </w:r>
          </w:p>
        </w:tc>
      </w:tr>
      <w:tr>
        <w:trPr>
          <w:trHeight w:val="245"/>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8"/>
        </w:trPr>
        <w:tc>
          <w:tcPr>
            <w:tcW w:w="45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Units, each consisting of one share of Class A Common Stock</w:t>
            </w:r>
          </w:p>
        </w:tc>
        <w:tc>
          <w:tcPr>
            <w:tcW w:w="1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BRKHU</w:t>
            </w:r>
          </w:p>
        </w:tc>
        <w:tc>
          <w:tcPr>
            <w:tcW w:w="12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and one Redeemable Warrant</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BRKH</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6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 A Common</w:t>
            </w:r>
          </w:p>
        </w:tc>
        <w:tc>
          <w:tcPr>
            <w:tcW w:w="23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BRKHW</w:t>
            </w:r>
          </w:p>
        </w:tc>
        <w:tc>
          <w:tcPr>
            <w:tcW w:w="4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 for $11.50 per share</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described in a current report on Form 8-K filed on December 29, 2023, on December 22, 2023, BurTech Acquisition Corp., a publicly traded special purpose acquisition company incorporated under the laws of the State of Delaware (“</w:t>
      </w:r>
      <w:r>
        <w:rPr>
          <w:rFonts w:ascii="Times New Roman" w:cs="Times New Roman" w:eastAsia="Times New Roman" w:hAnsi="Times New Roman"/>
          <w:sz w:val="18"/>
          <w:szCs w:val="18"/>
          <w:u w:val="single" w:color="auto"/>
          <w:color w:val="auto"/>
        </w:rPr>
        <w:t>BurTech</w:t>
      </w:r>
      <w:r>
        <w:rPr>
          <w:rFonts w:ascii="Times New Roman" w:cs="Times New Roman" w:eastAsia="Times New Roman" w:hAnsi="Times New Roman"/>
          <w:sz w:val="18"/>
          <w:szCs w:val="18"/>
          <w:color w:val="auto"/>
        </w:rPr>
        <w:t>”), entered into an Agreement and Plan of Merger (as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BurTech, BurTech Merger Sub Inc., a Delaware corporation and a direct, wholly owned subsidiary of BurTech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Blaize, Inc., a Delaware corporation (“</w:t>
      </w:r>
      <w:r>
        <w:rPr>
          <w:rFonts w:ascii="Times New Roman" w:cs="Times New Roman" w:eastAsia="Times New Roman" w:hAnsi="Times New Roman"/>
          <w:sz w:val="18"/>
          <w:szCs w:val="18"/>
          <w:u w:val="single" w:color="auto"/>
          <w:color w:val="auto"/>
        </w:rPr>
        <w:t>Blaize</w:t>
      </w:r>
      <w:r>
        <w:rPr>
          <w:rFonts w:ascii="Times New Roman" w:cs="Times New Roman" w:eastAsia="Times New Roman" w:hAnsi="Times New Roman"/>
          <w:sz w:val="18"/>
          <w:szCs w:val="18"/>
          <w:color w:val="auto"/>
        </w:rPr>
        <w:t>”), and, solely for the limited purposes set forth therein, Burkhan Capital LLC, a Delaware limited liability company (“</w:t>
      </w:r>
      <w:r>
        <w:rPr>
          <w:rFonts w:ascii="Times New Roman" w:cs="Times New Roman" w:eastAsia="Times New Roman" w:hAnsi="Times New Roman"/>
          <w:sz w:val="18"/>
          <w:szCs w:val="18"/>
          <w:u w:val="single" w:color="auto"/>
          <w:color w:val="auto"/>
        </w:rPr>
        <w:t>Burkhan</w:t>
      </w:r>
      <w:r>
        <w:rPr>
          <w:rFonts w:ascii="Times New Roman" w:cs="Times New Roman" w:eastAsia="Times New Roman" w:hAnsi="Times New Roman"/>
          <w:sz w:val="18"/>
          <w:szCs w:val="18"/>
          <w:color w:val="auto"/>
        </w:rPr>
        <w:t>”), pursuant to which Merger Sub will merge with and into Blaize, whereupon the separate corporate existence of Merger Sub will cease and Blaize will be the surviving company and continue in existence as a direct, wholly owned subsidiary of BurTech, on the terms and subject to the conditions set forth therein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collectively with the other transactions described in the Merger Agreement, the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In connection with the consummation of the Business Combination, BurTech will be renamed “Blaize Holdings, Inc.”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July 18, 2024, BurTech and Blaize issued a joint press release (the “</w:t>
      </w:r>
      <w:r>
        <w:rPr>
          <w:rFonts w:ascii="Times New Roman" w:cs="Times New Roman" w:eastAsia="Times New Roman" w:hAnsi="Times New Roman"/>
          <w:sz w:val="18"/>
          <w:szCs w:val="18"/>
          <w:u w:val="single" w:color="auto"/>
          <w:color w:val="auto"/>
        </w:rPr>
        <w:t>Press Release</w:t>
      </w:r>
      <w:r>
        <w:rPr>
          <w:rFonts w:ascii="Times New Roman" w:cs="Times New Roman" w:eastAsia="Times New Roman" w:hAnsi="Times New Roman"/>
          <w:sz w:val="18"/>
          <w:szCs w:val="18"/>
          <w:color w:val="auto"/>
        </w:rPr>
        <w:t>”) announcing the filing of a registration statement of BurTech and Blaize on Form S-4 (the “Registration Statement”) with the U.S. Securities and Exchange Commission on July 18, 2024 relating to their previously announced Business Combination.</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Registration Statement contains a preliminary proxy statement/prospectus in connection with the proposed Business Combination. While the Registration Statement has not yet become effective and the information contained therein is subject to change, it provides important information about BurTech, Blaize and the Business Combination. The Press Release is attached hereto as Exhibit 99.1 and incorporated by reference herein.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Form 8-K is not a proxy statement or solicitation of a proxy, consent or authorization with respect to any securities or in respect of the Business Combination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8-K does not contain all the information that should be considered concerning the Business Combination and is not intended to form the basis of any investment decision or any other decision in respect of the Business Combination. BurTech has filed a Registration Statement on Form S-4 with the U.S.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which includes a preliminary prospectus and proxy statement of BurTech in connection with the Business Combination, referred to as a proxy statement/prospectus, and after the Registration Statement is declared effective, BurTech will mail a definitive proxy statement/prospectus relating to the Business Combination to its stockholders. BurTech may file other documents regarding the Business Combination with the SEC, and BurTech’s stockholders and other interested persons are advised to read, when available, the preliminary proxy statement/prospectus and the amendments thereto, the definitive proxy statement/prospectus and the other documents filed in connection with the Business Combination, as these materials will contain important information about Blaize, BurTech and the Business Combination. When available, the definitive proxy statement/prospectus and other relevant materials for the Business Combination will be mailed to stockholders of BurTech as of a record date to be established for voting on the Business Combination and the other matters to be voted upon at a meeting of BurTech’s stockholders to be held to approve the Business Combination and such other matters. Such stockholders will also be able to obtain copies of the preliminary proxy statement/prospectus, the definitive proxy statement/prospectus and other documents filed with the SEC, without charge, once available, at the SEC’s website at www.sec.gov, or by directing a request to BurTech Acquisition Corp., 1300 Pennsylvania Avenue, Suite 700, New York, NY 20006, Attention: Roman Livson,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Before making any voting decision, investors and security holders of BurTech are urged to read the registration statement, the proxy statement/prospectus, and amendments thereto, and the definitive proxy statement/prospectus in connection with BurTech’s solicitation of proxies for its stockholders’ meeting to be held to approve the Business Combination, and all other relevant documents filed or that will be filed with the SEC in connection with the Business Combination as they become available because they will contain important information about BurTech, Blaize and the Business Combination.</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ANY SECURITIES DESCRIBED HEREIN HAS NOT BEEN APPROVED OR DISAPPROVED BY THE SEC OR ANY OTHER REGULATORY AUTHORITY NOR HAS ANY AUTHORITY PASSED UPON OR ENDORSED THE MERITS OF THE BUSINESS COMBINATION OR THE ACCURACY OR ADEQUACY OF THE INFORMATION CONTAINED HEREIN. ANY REPRESENTATION TO THE CONTRARY IS A CRIMINAL OFFENSE.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BurTech, Blaize, and their respective directors, executive officers, other members of management, and employees, under SEC rules, may be deemed to be participants in the solicitation of proxies from BurTech’s stockholders in connection with the Business Combination. Information regarding the persons who may, under SEC rules, be deemed participants in the solicitation of BurTech’s stockholders in connection with the Business Combination, including the names of such persons and a description of their respective interests, is set forth in BurTech’s Annual Reports on Form 10-K, Quarterly Reports on Form 10-Q and Current Reports on Form 8-K. Additional information regarding the interests of those persons and other persons who may be deemed participants in the proposed business combination may be obtained by reading the Registration Statement regarding the proposed business combination when it becomes available. Stockholders will be able to obtain copies of the documents described in this paragraph that are filed with the SEC, once available, without charge at the SEC’s website at www.sec.gov, or by directing a request to BurTech Acquisition Corp., 1300 Pennsylvania Avenue, Suite 700, New York, NY 20006, Attention: Roman Livson, Chief Financial Officer.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Legend</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Section 27A of the U.S.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Section 21E of the U.S.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that are based on beliefs and assumptions and on information currently available to BurTech and Blaize.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Business Combination may not be completed in a timely manner or at all, which may adversely affect the price of BurTech’s securities; (ii) the risk that the Business Combination may not be completed by BurTech’s business combination deadline and the potential failure to obtain an extension of the business combination deadline if sought by BurTech; (iii) the failure to satisfy the conditions to the consummation of the Business Combination, including the approval of the Business Combination by BurTech’s stockholders, the satisfaction of the minimum aggregate transaction proceeds amount following redemptions by BurTech’s public stockholders and the receipt of certain governmental and regulatory approvals; (iv) the failure to obtain financing to complete the Business Combination and to support the future working capital needs of Blaize and the combined company; (v) the effect of the announcement or pendency of the Business Combination on Blaize’s business relationships, performance, and business generally; (vi) risks that the Business Combination disrupts current plans of Blaize and potential difficulties in the retention of Blaize employees as a result of the Business Combination; (vii) the outcome of any legal proceedings that may be instituted against BurTech or Blaize related to the Merger Agreement and the Business Combination; (viii) changes to the proposed structure of the Business Combination that may be required or appropriate as a result of applicable laws or regulations or as a condition to obtaining regulatory approval of the Business Combination;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 (xi) the ability to implement business plans, forecasts, and other expectations after the completion of the Business Combination,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 (xiii) the incurrence of significant expenses to remediate, or damage to Blaize’s reputation as a result of, any defects in Blaize’s products; (xiv) the risk that Blaize may never achieve or sustain profitability; (xv) changes in the competitive and regulated industries in which Blaize operates, variations in operating performance across competitors, changes in laws and regulations affecting Blaize’s business and changes in the combined capital structure, and (xvi) other risks and uncertainties set forth in the section entitled “Risk Factors” and “Cautionary Note Regarding Forward-Looking Statements” in BurTech’s Annual Reports on Form 10-K, Quarterly Reports on Form 10-Q and Current Reports on Form 8-K that are available on the website of the SEC at www.sec.gov and other documents filed, or to be filed with the SEC by BurTech, including the Registration Statement.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that will be described in the definitive proxy statement to be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List of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Index is incorporated by reference herein.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7440" w:type="dxa"/>
            <w:vAlign w:val="bottom"/>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169"/>
        </w:trPr>
        <w:tc>
          <w:tcPr>
            <w:tcW w:w="1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BurTech Acquisition Corp. and Blaize Announce filing of registration statement on Form S-4 Related to Proposed Business</w:t>
            </w:r>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Combination, dated July 18, 2024</w:t>
            </w:r>
          </w:p>
        </w:tc>
        <w:tc>
          <w:tcPr>
            <w:tcW w:w="7440" w:type="dxa"/>
            <w:vAlign w:val="bottom"/>
            <w:tcBorders>
              <w:top w:val="single" w:sz="8" w:color="0000EE"/>
            </w:tcBorders>
            <w:gridSpan w:val="3"/>
          </w:tcPr>
          <w:p>
            <w:pPr>
              <w:spacing w:after="0"/>
              <w:rPr>
                <w:sz w:val="17"/>
                <w:szCs w:val="17"/>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91"/>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BurTech Acquisition Corp.</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July 19, 2024</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Shahal Khan</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Shahal Khan</w:t>
            </w: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107"/>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32"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168275</wp:posOffset>
            </wp:positionV>
            <wp:extent cx="874395"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7439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BurTech Acquisition Corp. and Blaize Announce filing of registration statement on Form S-4 Related to Proposed Business Combination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Washington, DC, July 18, 2024 — BurTech Acquisition Corp. (“BurTech”) (NASDAQ: BRKH), a publicly traded special purpose acquisition company, and Blaize, Inc., a provider of purpose-built, artificial intelligence (“AI”)-enabled edge computing solutions today announced its filing with the U.S. Securities and Exchange Commission (“SEC”) of a registration statement on Form S-4 (the “Registration Statement”).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Statement contains a preliminary proxy statement/prospectus in connection with the proposed business combination between Blaize and Burtech. While the Registration Statement has not yet become effective and the information contained therein is subject to change, it provides important information about Blaize, Burtech, and the proposed business combination.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CEO and Chairman of BurTech Shahal Khan, commented, </w:t>
      </w:r>
      <w:r>
        <w:rPr>
          <w:rFonts w:ascii="Times New Roman" w:cs="Times New Roman" w:eastAsia="Times New Roman" w:hAnsi="Times New Roman"/>
          <w:sz w:val="18"/>
          <w:szCs w:val="18"/>
          <w:color w:val="212121"/>
        </w:rPr>
        <w:t>“We are thrilled to reach this milestone with Blaize as we continue the partnership. The 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of edge AI is immense, and this partnership positions the combined company for success. We are confident Blaize is poised to be a leading player and are eager to continue on the path ahead.”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merger agreement entered into by BurTech and Blaize, among others, with respect to the proposed business combination, Blaize will merge with and into a wholly owned subsidiary of BurTech that was formed for the proposed transaction (the “Merger”), with Blaize surviving the Merger as a direct wholly owned subsidiary of BurTech. At the effective time of the Merger, stockholders of Blaize immediately prior to the effective time of the Merger will receive shares of BurTech common stock based on an implied pro forma enterprise value of approximately $1.14 billion at a price of $10.00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Norton Rose Fulbright US LLP is acting as U. S. legal counsel to BurTech. Latham &amp; Watkins LLP is acting as legal counsel to Blaize. Blueshirt Capital Advisors is also serving as an investor relations advisor to Blaize.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BurTech Acquisition Corp.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BurTech Acquisition Corp. (NASDAQ: BRKH) is a special purpose acquisition company dedicated to partnering with exceptional businesses and providing them with the resources and expertise to excel in the public market. With a focus on delivering long-term value to stockholders and supporting innovative companies, BurTech Acquisition Corp. is committed to creating success stories in technology industries. With steadfast stockholders, a robust financial footing, and an unyielding commitment to innovation, BurTech Acquisition Corp. is a visionary force in the technology world.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Blaize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Blaize has raised over $330 million from strategic investors such as DENSO, Mercedes-Benz AG, Magna, and Samsung and financial investors such as Franklin Templeton, Temasek, GGV, Bess Ventures, BurTech LP LLC, Rizvi Traverse, and Ava Investors. Headquartered in El Dorado Hills (CA), Blaize has more than 200 employees worldwide with teams in San Jose (CA), Cary (NC), and subsidiaries in Hyderabad (India), Leeds and Kings Langley (UK), and Abu Dhabi (UAE).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6466205</wp:posOffset>
            </wp:positionH>
            <wp:positionV relativeFrom="page">
              <wp:posOffset>586105</wp:posOffset>
            </wp:positionV>
            <wp:extent cx="874395"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874395" cy="3003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BurTech Acquisition Corporation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Roman Livson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1300 Pennsylvania Avenue, Suite 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investors@burtechacq.us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Blaize 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 Merle | Blaize,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leo.merle@blaize.com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Blaize 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Roberts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Blueshirt Capital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ir@Blaize.com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BurTech and Blaize, including statements regarding Blaize’s business plans and growth strategies, market opportunities, and financial prospects.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previously disclosed proposed business combination (the “proposed transaction”) may not be completed in a timely manner or at all, which may adversely affect the price of BurTech’s securities; (ii) the risk that the proposed transaction may not be completed by BurTech’s business combination deadline and the potential failure to obtain an extension of the business combination deadline if sought by BurTech; (iii) the failure to satisfy the conditions to the consummation of the proposed transaction, including the approval of the proposed transaction by BurTech’s stockholders, the satisfaction of the minimum aggregate transaction proceeds amount following redemptions by BurTech’s public stockholders and the receipt of certain governmental and regulatory approvals; (iv) the failure to obtain adequate financing to complete the proposed transaction and to support the future working capital needs of Blaize and the combined company; (v) the effect of the pendency of the proposed transaction on Blaize’s business relationships, performance, and business generally; (vi) risks that the proposed transaction disrupts current plans of Blaize and potential difficulties in the retention of Blaize’s employees as a result of the proposed transaction; (vii) the outcome of any legal proceedings that may be instituted against BurTech or Blaize related to the merger agreement and the proposed transaction; (viii) changes to the proposed structure of the proposed transaction that may be required or appropriate as a result of applicable laws or regulations or as a condition to obtaining regulatory approval of the proposed transaction;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 (xi) the ability to implement business plans, forecasts, and other expectations after the completion of the proposed transaction,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w:t>
      </w:r>
    </w:p>
    <w:p>
      <w:pPr>
        <w:spacing w:after="0" w:line="10" w:lineRule="exact"/>
        <w:rPr>
          <w:sz w:val="20"/>
          <w:szCs w:val="20"/>
          <w:color w:val="auto"/>
        </w:rPr>
      </w:pPr>
    </w:p>
    <w:p>
      <w:pPr>
        <w:jc w:val="both"/>
        <w:ind w:firstLine="8"/>
        <w:spacing w:after="0" w:line="251" w:lineRule="auto"/>
        <w:tabs>
          <w:tab w:leader="none" w:pos="4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significant expenses to remediate, or damage to Blaize’s reputation as a result of, any defects in Blaize’s products; and (xiv) other risks and uncertainties set forth in the section entitled “Risk Factors” and “Cautionary Note Regarding Forward-Looking Statements” in BurTech’s Annual Reports on Form 10-K, Quarterly Reports on Form 10-Q and Current Reports on Form 8-K that are available on the website of the Securities and Exchange Commission (the “SEC”) at www.sec.gov and other documents filed, or to be filed with the SEC by BurTech, including the Registration Statement.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that will be described in the definitive proxy statement to be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6466205</wp:posOffset>
            </wp:positionH>
            <wp:positionV relativeFrom="page">
              <wp:posOffset>448945</wp:posOffset>
            </wp:positionV>
            <wp:extent cx="874395"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874395" cy="3003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connection with the proposed transaction, BurTech filed with the SEC the Registration Statement on Form S-4, and after the Registration Statement is declared effective, BurTech will mail a definitive proxy statement/prospectus relating to the proposed transaction to its stockholders. This press release does not contain all the information that should be considered concerning the proposed transaction and is not intended to form the basis of any investment decision or any other decision in respect of the proposed transaction. BurTech may file other documents regarding the proposed transaction with the SEC, and BurTech’s stockholders and other interested persons are advised to read, when available, the preliminary proxy statement/prospectus and the amendments thereto, the definitive proxy statement/prospectus and the other documents filed in connection with the proposed transaction, as these materials will contain important information about Blaize, BurTech and the proposed transaction. When available, the definitive proxy statement/prospectus and other relevant materials for the proposed transaction will be mailed to stockholders of BurTech as of a record date to be established for voting on the proposed transaction and the other matters to be voted upon at a meeting of BurTech’s stockholders to be held to approve the proposed transaction and such other matters. Such stockholders will also be able to obtain copies of the preliminary proxy statement/prospectus, the definitive proxy statement/prospectus and other documents filed with the SEC, without charge, once available, at the SEC’s website at www.sec.gov, or by directing a request to BurTech Acquisition Corp., 1300 Pennsylvania Avenue, Suite 700, Washington, DC 20006, Attention: Roman Livson, Chief Financial Officer.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BurTech, Blaize, and their respective directors, executive officers, other members of management, and employees, under SEC rules, may be deemed to be participants in the solicitation of proxies from BurTech’s stockholders in connection with the proposed transaction. Information regarding the persons who may, under SEC rules, be deemed participants in the solicitation of BurTech’s stockholders in connection with the proposed transaction, including the names of such persons and a description of their respective interests, is set forth in BurTech’s Annual Reports on Form 10-K, Quarterly Reports on Form 10-Q and Current Reports on Form 8-K. Additional information regarding the interests of those persons and other persons who may be deemed participants in the proposed transaction may be obtained by reading the Registration Statement regarding the proposed transaction when it becomes available. Stockholders will be able to obtain copies of the documents described in this paragraph that are filed with the SEC, once available, without charge at the SEC’s website at www.sec.gov, or by directing a request to BurTech Acquisition Corp., 1300 Pennsylvania Avenue, Suite 700, Washington, DC 20006, Attention: Roman Livson, Chief Financial Officer.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is not a proxy statement or solicitation of a proxy, consent or authorization with respect to any securities or in respect of the proposed transaction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2024-07-19T15:51:59Z</dcterms:created>
  <dcterms:modified xsi:type="dcterms:W3CDTF">2024-07-19T15:51:59Z</dcterms:modified>
</cp:coreProperties>
</file>