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333-288742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 SUPPLEMENT NO. 6</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August 7,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20,326,158 Shares of Common Stock by the Selling Stockholder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769,231 Shares of Common Stock by Cantor</w:t>
      </w:r>
    </w:p>
    <w:p>
      <w:pPr>
        <w:pStyle w:val="TextBody"/>
        <w:bidi w:val="0"/>
        <w:spacing w:before="0" w:after="0"/>
        <w:jc w:val="center"/>
        <w:rPr/>
      </w:pPr>
      <w:r>
        <w:rPr/>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August 13, 2026, which is set forth below.</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August 12, 2026, the closing prices for our Common Stock and Warrants on the Nasdaq Stock Market LLC were $1.15 per share of Common Stock and $0.22 per Warrant.</w:t>
      </w:r>
    </w:p>
    <w:p>
      <w:pPr>
        <w:pStyle w:val="TextBody"/>
        <w:bidi w:val="0"/>
        <w:spacing w:lineRule="auto" w:line="333" w:before="0" w:after="0"/>
        <w:jc w:val="left"/>
        <w:rPr>
          <w:color w:val="000000"/>
        </w:rPr>
      </w:pPr>
      <w:r>
        <w:rPr>
          <w:color w:val="000000"/>
        </w:rPr>
        <w: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August 13,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88"/>
        <w:gridCol w:w="1808"/>
        <w:gridCol w:w="1832"/>
        <w:gridCol w:w="109"/>
        <w:gridCol w:w="109"/>
        <w:gridCol w:w="109"/>
        <w:gridCol w:w="406"/>
        <w:gridCol w:w="406"/>
        <w:gridCol w:w="408"/>
        <w:gridCol w:w="109"/>
        <w:gridCol w:w="109"/>
        <w:gridCol w:w="109"/>
        <w:gridCol w:w="731"/>
        <w:gridCol w:w="731"/>
        <w:gridCol w:w="1041"/>
      </w:tblGrid>
      <w:tr>
        <w:trPr/>
        <w:tc>
          <w:tcPr>
            <w:tcW w:w="21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August 13, 2026, there were 144,832,039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2889"/>
        <w:gridCol w:w="2540"/>
        <w:gridCol w:w="2550"/>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6">
              <w:r>
                <w:rPr>
                  <w:rStyle w:val="InternetLink"/>
                  <w:rFonts w:ascii="Times New Roman;serif" w:hAnsi="Times New Roman;serif"/>
                  <w:b w:val="false"/>
                  <w:strike w:val="false"/>
                  <w:dstrike w:val="false"/>
                  <w:color w:val="000000"/>
                  <w:sz w:val="20"/>
                  <w:u w:val="none"/>
                  <w:effect w:val="none"/>
                </w:rPr>
                <w:t>ii</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9">
              <w:r>
                <w:rPr>
                  <w:rStyle w:val="InternetLink"/>
                  <w:rFonts w:ascii="Times New Roman;serif" w:hAnsi="Times New Roman;serif"/>
                  <w:b w:val="false"/>
                  <w:strike w:val="false"/>
                  <w:dstrike w:val="false"/>
                  <w:color w:val="000000"/>
                  <w:sz w:val="20"/>
                  <w:u w:val="none"/>
                  <w:effect w:val="none"/>
                </w:rPr>
                <w:t>iii</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25">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54daa1021b9641d0b50fd6d209d1cf0a_25">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25">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28">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28">
              <w:r>
                <w:rPr>
                  <w:rStyle w:val="InternetLink"/>
                  <w:rFonts w:ascii="Times New Roman;serif" w:hAnsi="Times New Roman;serif"/>
                  <w:b w:val="false"/>
                  <w:strike w:val="false"/>
                  <w:dstrike w:val="false"/>
                  <w:color w:val="000000"/>
                  <w:sz w:val="20"/>
                  <w:u w:val="none"/>
                  <w:effect w:val="non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54daa1021b9641d0b50fd6d209d1cf0a_31">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31">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54daa1021b9641d0b50fd6d209d1cf0a_37">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37">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40">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40">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43">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43">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46">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46">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49">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49">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52">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52">
              <w:r>
                <w:rPr>
                  <w:rStyle w:val="InternetLink"/>
                  <w:rFonts w:ascii="Times New Roman;serif" w:hAnsi="Times New Roman;serif"/>
                  <w:b w:val="false"/>
                  <w:strike w:val="false"/>
                  <w:dstrike w:val="false"/>
                  <w:color w:val="000000"/>
                  <w:sz w:val="20"/>
                  <w:u w:val="none"/>
                  <w:effect w:val="non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55">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55">
              <w:r>
                <w:rPr>
                  <w:rStyle w:val="InternetLink"/>
                  <w:rFonts w:ascii="Times New Roman;serif" w:hAnsi="Times New Roman;serif"/>
                  <w:b w:val="false"/>
                  <w:strike w:val="false"/>
                  <w:dstrike w:val="false"/>
                  <w:color w:val="000000"/>
                  <w:sz w:val="20"/>
                  <w:u w:val="none"/>
                  <w:effect w:val="none"/>
                </w:rPr>
                <w:t>14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58">
              <w:r>
                <w:rPr>
                  <w:rStyle w:val="InternetLink"/>
                  <w:rFonts w:ascii="Times New Roman;serif" w:hAnsi="Times New Roman;serif"/>
                  <w:b w:val="false"/>
                  <w:strike w:val="false"/>
                  <w:dstrike w:val="false"/>
                  <w:color w:val="000000"/>
                  <w:sz w:val="20"/>
                  <w:u w:val="none"/>
                  <w:effect w:val="none"/>
                </w:rPr>
                <w:t>Note 6 — Common Stock</w:t>
              </w:r>
            </w:hyperlink>
            <w:r>
              <w:rPr>
                <w:rFonts w:ascii="Times New Roman;serif" w:hAnsi="Times New Roman;serif"/>
                <w:b w:val="false"/>
                <w:color w:val="000000"/>
                <w:sz w:val="20"/>
              </w:rPr>
              <w:t xml:space="preserve"> and Contingently Issuable Common Stock and Preferred Stock</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58">
              <w:r>
                <w:rPr>
                  <w:rStyle w:val="InternetLink"/>
                  <w:rFonts w:ascii="Times New Roman;serif" w:hAnsi="Times New Roman;serif"/>
                  <w:b w:val="false"/>
                  <w:strike w:val="false"/>
                  <w:dstrike w:val="false"/>
                  <w:color w:val="000000"/>
                  <w:sz w:val="20"/>
                  <w:u w:val="none"/>
                  <w:effect w:val="none"/>
                </w:rPr>
                <w:t>15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64">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64">
              <w:r>
                <w:rPr>
                  <w:rStyle w:val="InternetLink"/>
                  <w:rFonts w:ascii="Times New Roman;serif" w:hAnsi="Times New Roman;serif"/>
                  <w:b w:val="false"/>
                  <w:strike w:val="false"/>
                  <w:dstrike w:val="false"/>
                  <w:color w:val="000000"/>
                  <w:sz w:val="20"/>
                  <w:u w:val="none"/>
                  <w:effect w:val="none"/>
                </w:rPr>
                <w:t>17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67">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67">
              <w:r>
                <w:rPr>
                  <w:rStyle w:val="InternetLink"/>
                  <w:rFonts w:ascii="Times New Roman;serif" w:hAnsi="Times New Roman;serif"/>
                  <w:b w:val="false"/>
                  <w:strike w:val="false"/>
                  <w:dstrike w:val="false"/>
                  <w:color w:val="000000"/>
                  <w:sz w:val="20"/>
                  <w:u w:val="none"/>
                  <w:effect w:val="none"/>
                </w:rPr>
                <w:t>18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73">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73">
              <w:r>
                <w:rPr>
                  <w:rStyle w:val="InternetLink"/>
                  <w:rFonts w:ascii="Times New Roman;serif" w:hAnsi="Times New Roman;serif"/>
                  <w:b w:val="false"/>
                  <w:strike w:val="false"/>
                  <w:dstrike w:val="false"/>
                  <w:color w:val="000000"/>
                  <w:sz w:val="20"/>
                  <w:u w:val="none"/>
                  <w:effect w:val="non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 10 — Commitments and Contingencies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76">
              <w:r>
                <w:rPr>
                  <w:rStyle w:val="InternetLink"/>
                  <w:rFonts w:ascii="Times New Roman;serif" w:hAnsi="Times New Roman;serif"/>
                  <w:b w:val="false"/>
                  <w:strike w:val="false"/>
                  <w:dstrike w:val="false"/>
                  <w:color w:val="000000"/>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daa1021b9641d0b50fd6d209d1cf0a_79">
              <w:r>
                <w:rPr>
                  <w:rStyle w:val="InternetLink"/>
                  <w:rFonts w:ascii="Times New Roman;serif" w:hAnsi="Times New Roman;serif"/>
                  <w:b w:val="false"/>
                  <w:strike w:val="false"/>
                  <w:dstrike w:val="false"/>
                  <w:color w:val="000000"/>
                  <w:sz w:val="20"/>
                  <w:u w:val="none"/>
                  <w:effect w:val="none"/>
                </w:rPr>
                <w:t>Note 11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79">
              <w:r>
                <w:rPr>
                  <w:rStyle w:val="InternetLink"/>
                  <w:rFonts w:ascii="Times New Roman;serif" w:hAnsi="Times New Roman;serif"/>
                  <w:b w:val="false"/>
                  <w:strike w:val="false"/>
                  <w:dstrike w:val="false"/>
                  <w:color w:val="000000"/>
                  <w:sz w:val="20"/>
                  <w:u w:val="none"/>
                  <w:effect w:val="non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82">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82">
              <w:r>
                <w:rPr>
                  <w:rStyle w:val="InternetLink"/>
                  <w:rFonts w:ascii="Times New Roman;serif" w:hAnsi="Times New Roman;serif"/>
                  <w:b w:val="false"/>
                  <w:strike w:val="false"/>
                  <w:dstrike w:val="false"/>
                  <w:color w:val="000000"/>
                  <w:sz w:val="20"/>
                  <w:u w:val="none"/>
                  <w:effect w:val="none"/>
                </w:rPr>
                <w:t>24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12">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12">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15">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15">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18">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18">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21">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21">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24">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24">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27">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27">
              <w:r>
                <w:rPr>
                  <w:rStyle w:val="InternetLink"/>
                  <w:rFonts w:ascii="Times New Roman;serif" w:hAnsi="Times New Roman;serif"/>
                  <w:b w:val="false"/>
                  <w:strike w:val="false"/>
                  <w:dstrike w:val="false"/>
                  <w:color w:val="000000"/>
                  <w:sz w:val="20"/>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30">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30">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33">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33">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36">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36">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39">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39">
              <w:r>
                <w:rPr>
                  <w:rStyle w:val="InternetLink"/>
                  <w:rFonts w:ascii="Times New Roman;serif" w:hAnsi="Times New Roman;serif"/>
                  <w:b w:val="false"/>
                  <w:strike w:val="false"/>
                  <w:dstrike w:val="false"/>
                  <w:color w:val="000000"/>
                  <w:sz w:val="20"/>
                  <w:u w:val="none"/>
                  <w:effect w:val="non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daa1021b9641d0b50fd6d209d1cf0a_142">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4daa1021b9641d0b50fd6d209d1cf0a_142">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filed with the U.S. Securities and Exchange Commission (“SEC”) on March 24, 2026, and amended by Amendment No. 1 on Form 10-K/A filed with the SEC on April 30, 2026 (the “Annual Report on Form 10-K” or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in the Form 10-K,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strike w:val="false"/>
            <w:dstrike w:val="false"/>
            <w:color w:val="0000FF"/>
            <w:sz w:val="20"/>
            <w:u w:val="none"/>
            <w:effect w:val="non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98"/>
        <w:gridCol w:w="2242"/>
        <w:gridCol w:w="2213"/>
        <w:gridCol w:w="109"/>
        <w:gridCol w:w="109"/>
        <w:gridCol w:w="109"/>
        <w:gridCol w:w="208"/>
        <w:gridCol w:w="705"/>
        <w:gridCol w:w="116"/>
        <w:gridCol w:w="109"/>
        <w:gridCol w:w="109"/>
        <w:gridCol w:w="109"/>
        <w:gridCol w:w="225"/>
        <w:gridCol w:w="864"/>
        <w:gridCol w:w="180"/>
      </w:tblGrid>
      <w:tr>
        <w:trPr/>
        <w:tc>
          <w:tcPr>
            <w:tcW w:w="279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credit losses of $9,548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loan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Unissued shares of common stock for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shares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$0.0001 par value; 600,000,000 and 600,000,000 shares authorized as of June 30, 2026 and December 31, 2025, respectively, and 142,778,075 and 122,043,966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675,143</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42,790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39,000</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9580"/>
                <wp:effectExtent l="0" t="0" r="0" b="0"/>
                <wp:wrapNone/>
                <wp:docPr id="7"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505"/>
        <w:gridCol w:w="1097"/>
        <w:gridCol w:w="1105"/>
        <w:gridCol w:w="109"/>
        <w:gridCol w:w="109"/>
        <w:gridCol w:w="109"/>
        <w:gridCol w:w="427"/>
        <w:gridCol w:w="502"/>
        <w:gridCol w:w="264"/>
        <w:gridCol w:w="170"/>
        <w:gridCol w:w="170"/>
        <w:gridCol w:w="170"/>
        <w:gridCol w:w="420"/>
        <w:gridCol w:w="382"/>
        <w:gridCol w:w="384"/>
        <w:gridCol w:w="109"/>
        <w:gridCol w:w="109"/>
        <w:gridCol w:w="109"/>
        <w:gridCol w:w="391"/>
        <w:gridCol w:w="388"/>
        <w:gridCol w:w="384"/>
        <w:gridCol w:w="158"/>
        <w:gridCol w:w="158"/>
        <w:gridCol w:w="158"/>
        <w:gridCol w:w="391"/>
        <w:gridCol w:w="471"/>
        <w:gridCol w:w="456"/>
      </w:tblGrid>
      <w:tr>
        <w:trPr/>
        <w:tc>
          <w:tcPr>
            <w:tcW w:w="150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1,362</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1,064</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263</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2,989</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1,131</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2,494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1,858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22,731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26,082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647</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12,035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61,762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(30,604)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(53,992)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(59,904)</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109,261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(117,245)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(28,541)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(177,149)</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(51,462)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(50,972)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053" w:type="dxa"/>
        <w:jc w:val="left"/>
        <w:tblInd w:w="0" w:type="dxa"/>
        <w:tblLayout w:type="fixed"/>
        <w:tblCellMar>
          <w:top w:w="28" w:type="dxa"/>
          <w:left w:w="28" w:type="dxa"/>
          <w:bottom w:w="28" w:type="dxa"/>
          <w:right w:w="28" w:type="dxa"/>
        </w:tblCellMar>
      </w:tblPr>
      <w:tblGrid>
        <w:gridCol w:w="636"/>
        <w:gridCol w:w="229"/>
        <w:gridCol w:w="231"/>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122,746,757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681,481</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457,908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276"/>
        <w:gridCol w:w="278"/>
        <w:gridCol w:w="334"/>
        <w:gridCol w:w="334"/>
        <w:gridCol w:w="219"/>
        <w:gridCol w:w="114"/>
        <w:gridCol w:w="114"/>
        <w:gridCol w:w="114"/>
        <w:gridCol w:w="205"/>
        <w:gridCol w:w="691"/>
        <w:gridCol w:w="114"/>
        <w:gridCol w:w="109"/>
        <w:gridCol w:w="109"/>
        <w:gridCol w:w="109"/>
        <w:gridCol w:w="304"/>
        <w:gridCol w:w="304"/>
        <w:gridCol w:w="308"/>
        <w:gridCol w:w="109"/>
        <w:gridCol w:w="109"/>
        <w:gridCol w:w="109"/>
        <w:gridCol w:w="208"/>
        <w:gridCol w:w="367"/>
        <w:gridCol w:w="116"/>
        <w:gridCol w:w="109"/>
        <w:gridCol w:w="109"/>
        <w:gridCol w:w="109"/>
        <w:gridCol w:w="203"/>
        <w:gridCol w:w="778"/>
        <w:gridCol w:w="112"/>
        <w:gridCol w:w="109"/>
        <w:gridCol w:w="109"/>
        <w:gridCol w:w="109"/>
        <w:gridCol w:w="109"/>
        <w:gridCol w:w="109"/>
        <w:gridCol w:w="199"/>
        <w:gridCol w:w="766"/>
        <w:gridCol w:w="110"/>
        <w:gridCol w:w="109"/>
        <w:gridCol w:w="109"/>
        <w:gridCol w:w="109"/>
        <w:gridCol w:w="213"/>
        <w:gridCol w:w="720"/>
        <w:gridCol w:w="177"/>
      </w:tblGrid>
      <w:tr>
        <w:trPr/>
        <w:tc>
          <w:tcPr>
            <w:tcW w:w="6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 (Deficit)</w:t>
            </w:r>
          </w:p>
        </w:tc>
        <w:tc>
          <w:tcPr>
            <w:tcW w:w="1437" w:type="dxa"/>
            <w:gridSpan w:val="6"/>
            <w:tcBorders/>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2025</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2,854,242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33,061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98,818,874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593,712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188" w:type="dxa"/>
        <w:jc w:val="left"/>
        <w:tblInd w:w="0" w:type="dxa"/>
        <w:tblLayout w:type="fixed"/>
        <w:tblCellMar>
          <w:top w:w="28" w:type="dxa"/>
          <w:left w:w="28" w:type="dxa"/>
          <w:bottom w:w="28" w:type="dxa"/>
          <w:right w:w="28" w:type="dxa"/>
        </w:tblCellMar>
      </w:tblPr>
      <w:tblGrid>
        <w:gridCol w:w="742"/>
        <w:gridCol w:w="244"/>
        <w:gridCol w:w="245"/>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122,043,966</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730,683</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1,111,497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earnout awards to liability</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1"/>
        <w:gridCol w:w="319"/>
        <w:gridCol w:w="321"/>
        <w:gridCol w:w="302"/>
        <w:gridCol w:w="302"/>
        <w:gridCol w:w="285"/>
        <w:gridCol w:w="120"/>
        <w:gridCol w:w="120"/>
        <w:gridCol w:w="120"/>
        <w:gridCol w:w="271"/>
        <w:gridCol w:w="447"/>
        <w:gridCol w:w="120"/>
        <w:gridCol w:w="109"/>
        <w:gridCol w:w="109"/>
        <w:gridCol w:w="109"/>
        <w:gridCol w:w="304"/>
        <w:gridCol w:w="304"/>
        <w:gridCol w:w="308"/>
        <w:gridCol w:w="109"/>
        <w:gridCol w:w="109"/>
        <w:gridCol w:w="109"/>
        <w:gridCol w:w="208"/>
        <w:gridCol w:w="367"/>
        <w:gridCol w:w="116"/>
        <w:gridCol w:w="109"/>
        <w:gridCol w:w="109"/>
        <w:gridCol w:w="109"/>
        <w:gridCol w:w="207"/>
        <w:gridCol w:w="795"/>
        <w:gridCol w:w="115"/>
        <w:gridCol w:w="109"/>
        <w:gridCol w:w="109"/>
        <w:gridCol w:w="109"/>
        <w:gridCol w:w="109"/>
        <w:gridCol w:w="109"/>
        <w:gridCol w:w="201"/>
        <w:gridCol w:w="776"/>
        <w:gridCol w:w="111"/>
        <w:gridCol w:w="109"/>
        <w:gridCol w:w="109"/>
        <w:gridCol w:w="109"/>
        <w:gridCol w:w="200"/>
        <w:gridCol w:w="775"/>
        <w:gridCol w:w="167"/>
      </w:tblGrid>
      <w:tr>
        <w:trPr/>
        <w:tc>
          <w:tcPr>
            <w:tcW w:w="6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Deficit</w:t>
            </w:r>
          </w:p>
        </w:tc>
        <w:tc>
          <w:tcPr>
            <w:tcW w:w="1469" w:type="dxa"/>
            <w:gridSpan w:val="6"/>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318,783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(429,251)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(110,463)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Legacy Blaize convertible notes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exercise of Legacy Blaize warrants</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PIPE financing</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2,854,242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on shareholder note receivable</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warrants to advisor</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9580"/>
                <wp:effectExtent l="0" t="0" r="0" b="0"/>
                <wp:wrapNone/>
                <wp:docPr id="10"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665"/>
        <w:gridCol w:w="2286"/>
        <w:gridCol w:w="2303"/>
        <w:gridCol w:w="109"/>
        <w:gridCol w:w="109"/>
        <w:gridCol w:w="109"/>
        <w:gridCol w:w="211"/>
        <w:gridCol w:w="783"/>
        <w:gridCol w:w="109"/>
        <w:gridCol w:w="109"/>
        <w:gridCol w:w="109"/>
        <w:gridCol w:w="109"/>
        <w:gridCol w:w="211"/>
        <w:gridCol w:w="826"/>
        <w:gridCol w:w="157"/>
      </w:tblGrid>
      <w:tr>
        <w:trPr/>
        <w:tc>
          <w:tcPr>
            <w:tcW w:w="2665"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public offering, net of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expenses of issuance of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11,428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(21,626)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liabilities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to issue shares of common stock in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warrant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deferred offering costs included in accounts payable and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common shares with cash held in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9580"/>
                <wp:effectExtent l="0" t="0" r="0" b="0"/>
                <wp:wrapNone/>
                <wp:docPr id="11" name="Frame10"/>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 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Updates to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and Functional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the Company and substantially all of its subsidiaries. In 2026, the Company’s newly-formed, wholly owned Chinese subsidiary adopted the Chinese renminbi (RMB/CNY) as its functional currency, reflecting that the primary economic environment in which that subsidiary operates is within China.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the Chinese subsidiary are translated into U.S. dollars at the exchange rate in effect at the balance sheet date. Revenues and expenses are translated at average exchange rates in effect during the period. The resulting </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are recorded as a component of accumulated other comprehensive income (loss) in stockholders’ equity.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Transactions denominated in currencies other than an entity’s functional currency are remeasured at the exchange rate in effect at the date of the transaction. Monetary assets and liabilities denominated in foreign currencies are remeasured at period-end exchange rates, and the resulting gains and losses are recognized in “Other, net” in the condensed consolidated statements of operations and comprehensive loss.</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 accounts are translated at the historical exchange rates in effect at the dates the underlying equity transactions occurred. Retained earnings (accumulated deficit) is translated at historical rates, with current-period activity reflecting net income (loss) translated at average exchange rates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adoption of the renminbi as the functional currency of the Company’s Chinese subsidiary at the subsidiary’s inception resulted in foreign currency translation adjustments of $0.5 million being recorded in accumulated other comprehensive income on the Company’s condensed consolidated balance sheet as of June 30, 2026, and $0.4 million and $0.5 million, respectively, recorded as “other comprehensive income” on the Company’s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Accounts receivable represent the Company’s unconditional right to consideration under contracts with customers, where only the passage of time is required before payment becomes due. Accounts receivable include receivables for which the Company has issued a commercial invoice and has satisfied its performance obligation and has an unconditional right to consideration, but for which the official tax invoice (“</w:t>
      </w:r>
      <w:r>
        <w:rPr>
          <w:rFonts w:ascii="Times New Roman;serif" w:hAnsi="Times New Roman;serif"/>
          <w:b w:val="false"/>
          <w:i/>
          <w:color w:val="000000"/>
          <w:sz w:val="20"/>
        </w:rPr>
        <w:t>fapiao</w:t>
      </w:r>
      <w:r>
        <w:rPr>
          <w:color w:val="000000"/>
        </w:rPr>
        <w:t>”</w:t>
      </w:r>
      <w:r>
        <w:rPr>
          <w:rFonts w:ascii="Times New Roman;serif" w:hAnsi="Times New Roman;serif"/>
          <w:b w:val="false"/>
          <w:color w:val="000000"/>
          <w:sz w:val="20"/>
        </w:rPr>
        <w:t>) has not yet been issued. These receivables relate to sales by the Company’s subsidiary in China, formed in 2026, where, consistent with local business practice, the fapiao is issued upon receipt of final payment rather than upon shipment or delivery of goods. Prior to the Company’s formation of this subsidiary, accounts receivable that had arisen from sales in China were due to the Company’s operating subsidiary in the United States, which issued invoices immediately upon unconditional transfer of goods. Because the Company’s right to payment for these sales is unconditional upon transfer of control of the goods, such amounts are classified within accounts receivable rather than as contract assets. As of June 30, 2026, the amount of such receivables included within accounts receivable, prior to allowance for credit losses, was $13.3 million, which was the result of a sale in the second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Accounts receivable are recorded at the invoiced or invoiceable amount, do not bear interest, and are presented net of an allowance for credit losses estimated in accordance with ASC 326, Financial Instruments — </w:t>
      </w:r>
      <w:r>
        <w:rPr>
          <w:rFonts w:ascii="Times New Roman;serif" w:hAnsi="Times New Roman;serif"/>
          <w:b w:val="false"/>
          <w:i/>
          <w:color w:val="000000"/>
          <w:sz w:val="20"/>
        </w:rPr>
        <w:t>Credit Losses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Newly Adopted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did not adopt any new accounting standards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Since the issuance of the Company’s Annual Report on Form 10-K for the year ended December 31, 2025, there have been no material updates to the recent accounting pronouncement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on hand of $36.8 million, of which approximately $12.4 million, or approximately 34%, of the balance is located in Chinese banks and subject to currency controls that may delay any requested repatriation, and the remainder is held in accounts either in the United States or in countries that do not have strict currency controls.</w:t>
      </w:r>
    </w:p>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near-term assets and liabilities included accounts receivable less allowance for credit losses of $13.9 million, which resulted from sales in China and for which the associated cash is substantially receivable by the Company’s wholly owned Chinese subsidiary; while accounts payable, accrued expenses and other current liabilities, and accrued trade payables totaled $17.1 million, which obligations are primarily owed outside of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Initial net proceeds of approximately $32.8 million in cash provided by financing activities, net of underwriting discounts and offering expenses, were provided by an equity raise during the second quarter of 2026, which was the result of the sole capital raising activity during the six months ended June 30, 2026. Cash used in operations for the six months ended June 30, 2026 was $41.3 million. The Company is party to a committed equity facility with a remaining available capacity of approximately $15.5 million; however, under the terms of the facility, the Company may not effect sales thereunder while the market price of its common stock is below $1.00 per share. Because the Company’s common stock has recently begun trading below $1.00 per share, the facility may not currently represent a readily available source of liquidity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Given the Company’s liquidity condition, as described above, the Company will be unable to continue to operate as a going concern and continue its operations unless it raises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8"/>
        <w:gridCol w:w="198"/>
        <w:gridCol w:w="279"/>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*Percentages may not total to 100%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Company’s revenue recognition method was substantially at a “point in time,” with no material revenue recognized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(where right to payment would be conditional) and no material contract liabilities (deferred revenue) as of June 30, 2026 and December 31, 2025. The Company did not have any outstanding or unsatisfied performance obligations as of June 30, 2026 and December 31, 2025. The Company did not have material costs related to obtaining a contract, or fulfilling a contract that are not addressed by other accounting standards, with amortization periods greater than one year as of June 30, 2026 and December 31, 2025.</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one customer for sales that occurred in the fourth quarter of 2025 and the second quarter of 2026 included repayment terms up to 90 days. As of June 30, 2026, the Company’s accounts receivable before allowance for credit losses were 57% current and 43% over 90 days past due, with no amounts between 1 - 90 days past due, under the credit terms of the applicable customer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six months ended June 30, 2026 and as of and for the year ended December 31, 2025 are set forth as follows:</w:t>
      </w:r>
    </w:p>
    <w:p>
      <w:pPr>
        <w:pStyle w:val="TextBody"/>
        <w:bidi w:val="0"/>
        <w:spacing w:before="0" w:after="0"/>
        <w:jc w:val="left"/>
        <w:rPr/>
      </w:pPr>
      <w:r>
        <w:rPr/>
      </w:r>
    </w:p>
    <w:tbl>
      <w:tblPr>
        <w:tblW w:w="5823" w:type="dxa"/>
        <w:jc w:val="left"/>
        <w:tblInd w:w="0" w:type="dxa"/>
        <w:tblLayout w:type="fixed"/>
        <w:tblCellMar>
          <w:top w:w="28" w:type="dxa"/>
          <w:left w:w="28" w:type="dxa"/>
          <w:bottom w:w="28" w:type="dxa"/>
          <w:right w:w="28" w:type="dxa"/>
        </w:tblCellMar>
      </w:tblPr>
      <w:tblGrid>
        <w:gridCol w:w="1630"/>
        <w:gridCol w:w="1429"/>
        <w:gridCol w:w="1441"/>
        <w:gridCol w:w="109"/>
        <w:gridCol w:w="109"/>
        <w:gridCol w:w="109"/>
        <w:gridCol w:w="211"/>
        <w:gridCol w:w="63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 related party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 activity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to the provision for credit losses for the six months ended June 30, 2026 of $9.0 million, included within “selling, general and administrative” expense on the Company’s condensed consolidated statements of operations and comprehensive loss, were substantially comprised of the full credit loss reserve for Customer C, along with “Day 1” credit losses recorded at the inception of an account receivable, net of reversal of the provision due to collections and estimated recoveries.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June 30,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56.7%</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June 30, 2026.</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 Customer C’s account receivable arose in the third quarter of 2025, and has been fully reserved as of June 30, 2026. The receivable for Customer D includes value-added tax (“VAT”) while the revenue recognized from Customer D excludes VAT.</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 but is primarily within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99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26"/>
        <w:gridCol w:w="774"/>
        <w:gridCol w:w="117"/>
        <w:gridCol w:w="117"/>
        <w:gridCol w:w="117"/>
        <w:gridCol w:w="117"/>
        <w:gridCol w:w="255"/>
        <w:gridCol w:w="256"/>
        <w:gridCol w:w="29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 Customer C’s account receivable arose in the third quarter of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June 30, 2026, the customer paid this balance of $23.8 million in full.</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 but is substantially due from a related party located within the United States.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June 30, 2026 and December 31, 2025:</w:t>
      </w:r>
    </w:p>
    <w:p>
      <w:pPr>
        <w:pStyle w:val="TextBody"/>
        <w:bidi w:val="0"/>
        <w:spacing w:before="0" w:after="0"/>
        <w:jc w:val="left"/>
        <w:rPr/>
      </w:pPr>
      <w:r>
        <w:rPr/>
      </w:r>
    </w:p>
    <w:tbl>
      <w:tblPr>
        <w:tblW w:w="9641" w:type="dxa"/>
        <w:jc w:val="left"/>
        <w:tblInd w:w="0" w:type="dxa"/>
        <w:tblLayout w:type="fixed"/>
        <w:tblCellMar>
          <w:top w:w="28" w:type="dxa"/>
          <w:left w:w="28" w:type="dxa"/>
          <w:bottom w:w="28" w:type="dxa"/>
          <w:right w:w="28" w:type="dxa"/>
        </w:tblCellMar>
      </w:tblPr>
      <w:tblGrid>
        <w:gridCol w:w="1533"/>
        <w:gridCol w:w="1342"/>
        <w:gridCol w:w="1354"/>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Unissued shares of common stock - related party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5, 2026, the Polar warrant exercise price was reduced from $5.00 per warrant to $3.00 per warrant, as described in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effect of the price reduction is described below in the table that sets forth information regarding the Company’s significant Level 3 inputs.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$1.7 million in earnout shares - related party.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represents the fair value of 2,000,000 shares of the Company’s common stock expected to be issued but not yet issued as of June 30, 2026. The fair value of this obligation was determined using the closing price of the Company’s common stock as of June 30, 2026, as quoted on the Nasdaq, an active market. The obligation is classified as a Level 2 measurement within the fair value hierarchy, as the liability is not itself quoted in an active market, but its fair value is derived directly from the observable quoted price of an identical instrument — the Company’s common stock — traded on Nasdaq. The shares were subsequently issued on July 7, 2026, and this liability settled in full.</w:t>
      </w:r>
    </w:p>
    <w:p>
      <w:pPr>
        <w:pStyle w:val="TextBody"/>
        <w:bidi w:val="0"/>
        <w:spacing w:before="0" w:after="0"/>
        <w:ind w:left="0" w:right="0" w:firstLine="180"/>
        <w:jc w:val="left"/>
        <w:rPr/>
      </w:pPr>
      <w:r>
        <w:rPr/>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and six months ended June 30, 2026 and 2025.</w:t>
      </w:r>
    </w:p>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as of and for the prior year and as of and for the six months ended June 30, 2026 about the Company’s Level 3 liabilities measured at fair value on a recurring basis:</w:t>
      </w:r>
    </w:p>
    <w:p>
      <w:pPr>
        <w:pStyle w:val="TextBody"/>
        <w:bidi w:val="0"/>
        <w:spacing w:before="0" w:after="0"/>
        <w:jc w:val="left"/>
        <w:rPr/>
      </w:pPr>
      <w:r>
        <w:rPr/>
      </w:r>
    </w:p>
    <w:tbl>
      <w:tblPr>
        <w:tblW w:w="8657" w:type="dxa"/>
        <w:jc w:val="left"/>
        <w:tblInd w:w="0" w:type="dxa"/>
        <w:tblLayout w:type="fixed"/>
        <w:tblCellMar>
          <w:top w:w="28" w:type="dxa"/>
          <w:left w:w="28" w:type="dxa"/>
          <w:bottom w:w="28" w:type="dxa"/>
          <w:right w:w="28" w:type="dxa"/>
        </w:tblCellMar>
      </w:tblPr>
      <w:tblGrid>
        <w:gridCol w:w="2586"/>
        <w:gridCol w:w="2267"/>
        <w:gridCol w:w="2286"/>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5"/>
        <w:gridCol w:w="811"/>
        <w:gridCol w:w="109"/>
        <w:gridCol w:w="109"/>
        <w:gridCol w:w="109"/>
        <w:gridCol w:w="629"/>
        <w:gridCol w:w="621"/>
        <w:gridCol w:w="559"/>
        <w:gridCol w:w="109"/>
        <w:gridCol w:w="109"/>
        <w:gridCol w:w="109"/>
        <w:gridCol w:w="703"/>
        <w:gridCol w:w="678"/>
        <w:gridCol w:w="606"/>
        <w:gridCol w:w="109"/>
        <w:gridCol w:w="109"/>
        <w:gridCol w:w="109"/>
        <w:gridCol w:w="240"/>
        <w:gridCol w:w="581"/>
        <w:gridCol w:w="308"/>
        <w:gridCol w:w="109"/>
        <w:gridCol w:w="109"/>
        <w:gridCol w:w="109"/>
        <w:gridCol w:w="291"/>
        <w:gridCol w:w="705"/>
        <w:gridCol w:w="44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six months ended June 30, 2026, the Company’s derivatives were comprised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liability-classified Earnout Shares, representing a freestanding structured forward contract;</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June 30,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7238" w:type="dxa"/>
        <w:jc w:val="left"/>
        <w:tblInd w:w="0" w:type="dxa"/>
        <w:tblLayout w:type="fixed"/>
        <w:tblCellMar>
          <w:top w:w="28" w:type="dxa"/>
          <w:left w:w="28" w:type="dxa"/>
          <w:bottom w:w="28" w:type="dxa"/>
          <w:right w:w="28" w:type="dxa"/>
        </w:tblCellMar>
      </w:tblPr>
      <w:tblGrid>
        <w:gridCol w:w="1392"/>
        <w:gridCol w:w="1218"/>
        <w:gridCol w:w="1229"/>
        <w:gridCol w:w="109"/>
        <w:gridCol w:w="109"/>
        <w:gridCol w:w="109"/>
        <w:gridCol w:w="234"/>
        <w:gridCol w:w="800"/>
        <w:gridCol w:w="121"/>
        <w:gridCol w:w="109"/>
        <w:gridCol w:w="109"/>
        <w:gridCol w:w="109"/>
        <w:gridCol w:w="309"/>
        <w:gridCol w:w="1056"/>
        <w:gridCol w:w="225"/>
      </w:tblGrid>
      <w:tr>
        <w:trPr/>
        <w:tc>
          <w:tcPr>
            <w:tcW w:w="13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fiscal periods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 finished goods - resale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of finished goods - resale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finished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 finished goods - resale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Finished goods - resale is comprised of purchased hardware, primarily servers, for resale or integration with manufactured inventories.</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Supplier concentration for “Purchase of finished goods - resale” was concentrated between two suppliers located in China in 2025, and one supplier located in China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manufactured inventories are produced by a third party contract manufacturer.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Details of the Company’s cost of revenue for the three and six months ended June 30, 2026 and 2025 are set forth below:</w:t>
      </w:r>
    </w:p>
    <w:p>
      <w:pPr>
        <w:pStyle w:val="TextBody"/>
        <w:bidi w:val="0"/>
        <w:spacing w:before="0" w:after="0"/>
        <w:jc w:val="both"/>
        <w:rPr/>
      </w:pPr>
      <w:r>
        <w:rPr/>
      </w:r>
    </w:p>
    <w:tbl>
      <w:tblPr>
        <w:tblW w:w="7543"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239"/>
        <w:gridCol w:w="818"/>
        <w:gridCol w:w="123"/>
        <w:gridCol w:w="123"/>
        <w:gridCol w:w="123"/>
        <w:gridCol w:w="123"/>
        <w:gridCol w:w="239"/>
        <w:gridCol w:w="529"/>
        <w:gridCol w:w="123"/>
        <w:gridCol w:w="109"/>
        <w:gridCol w:w="109"/>
        <w:gridCol w:w="109"/>
        <w:gridCol w:w="211"/>
        <w:gridCol w:w="721"/>
        <w:gridCol w:w="109"/>
        <w:gridCol w:w="109"/>
        <w:gridCol w:w="109"/>
        <w:gridCol w:w="109"/>
        <w:gridCol w:w="21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cost of revenue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cost of revenue” is substantially comprised of the cost of goods for the Company’s manufactured inventory.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were primarily comprised of vendor deposits for raw materials for manufactured inventories as of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and Contingently Issuable Common Stock and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The Option Shares expired, unexercised.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June 30, 2026:</w:t>
      </w:r>
    </w:p>
    <w:p>
      <w:pPr>
        <w:pStyle w:val="TextBody"/>
        <w:bidi w:val="0"/>
        <w:spacing w:before="0" w:after="0"/>
        <w:jc w:val="left"/>
        <w:rPr/>
      </w:pPr>
      <w:r>
        <w:rPr/>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Company entered into a Rights Agreement (the “Rights Agreement”) with Continental Stock Transfer &amp; Trust Company, as rights agent, which had been previously approved by the Board. In connection with the adoption of the Rights Agreement, the Board declared a dividend of one preferred stock purchase right (each, a “Right”) for each share of the Company’s common stock, par value $0.0001 per share, outstanding at the close of business on May 6, 2026 (the “Record Date”). One Right will also attach to each share of common stock issued after the Record Date and prior to the Distribution Date (as defined in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Right, when exercisable, entitles the registered holder to purchase from the Company one one-hundredth of a share of Series A Junior Participating Preferred Stock, par value $0.0001 per share (the “Series A Preferred Stock”), at an exercise price of $11.00 per Right, subject to adjustment. The Company has reserved 6,000,000 shares of Series A Preferred Stock for issuance upon exercise of the Rights. The Rights are not presently exercisable and trade with, and are inseparable from, the common stock. No separate rights certificates have been issued.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become exercisable only if a person or group acquires beneficial ownership (including certain synthetic or derivative ownership positions) of 10% or more of the Company’s outstanding common stock (an “Acquiring Person”). In that event, each Right (other than Rights held by the Acquiring Person, which become void) will entitle its holder to purchase, at the exercise price, shares of common stock having a market value of twice the exercise price. In addition, the Board may, at its option, exchange each outstanding Right (other than Rights held by the Acquiring Person) for one share of common stock. Persons who beneficially owned 10% or more of the outstanding common stock immediately prior to the first public announcement of the Rights Agreement are not deemed Acquiring Persons unless they acquire additional shares, subject to certain exceptions.</w:t>
      </w:r>
    </w:p>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may redeem the Rights, in whole but not in part, at a price of $0.01 per Right at any time prior to the time the Rights become exercisable. The Rights will expire on April 21, 2027, unless earlier redeemed or exchanged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have no dilutive effect on earnings per share until they become exercisable, and because the Rights were determined to have only nominal value at the date of declaration, the declaration and distribution of the Rights had no impact on the Company’s condensed consolidated balance sheet or condensed consolidated statement of operations and comprehensive loss as of June 30, 2026 and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Polar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10, 2025, the Company issued 9,375,000 freestanding warrants (the “Polar warrants”), each Polar warrant exercisable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condensed consolidated statements of operations and comprehensive loss. The warrants will continue to be remeasured until the earlier of the exercise during the warrant term or the automatic exercise on a cashless basis at the end of the warrant term of five years, or November 10, 2030.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are considered long-term liabilities, due to the warrants being out-of-the-money,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had an initial exercise price of $5.00 per share. During the quarter ended June 30, 2026, the Company amended the outstanding Polar warrants to adjust the exercise price from $5.00 per share to $3.00 per share, recognizing the difference between the fair value of the warrants immediately prior to the amendment and immediately after the amendment as a financing charge in the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BZAI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total of 29,648,250 warrants outstanding immediately prior to the Merger became warrants to purchase the Company’s common stock (the “BZAI warrants”). The Company determined that these warrants should be accounted for as equity rather than a liability at the inception date, and thus recognized the BZAI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 issued to an advisor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 issued, to an advisor, warrants to purchase 50,000 shares of common stock at $11.50 per share (the “advisor warrants”), which expire after a term of five years, on February 10, 2030. The Company deemed these warrants to be equity rather than a liability at the inception date, and thus recognized the advisor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stockholders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stockholders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stockholders,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recorded $4.1 million and $8.0 million, and $4.1 million and $7.6 million, respectively, in stock-based compensation expense related to the Employee Earnout Shares. As of June 30, 2026, there was $57.7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and six months ended June 30, 2026 and 2025, as the effect of any potentially dilutive security would have been anti-dilutive due to the net losses in those periods.</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130"/>
        <w:gridCol w:w="1134"/>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11"/>
        <w:gridCol w:w="891"/>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stockholders because the impact of including them would have been anti-dilutive or out-of-the-money:</w:t>
      </w:r>
    </w:p>
    <w:p>
      <w:pPr>
        <w:pStyle w:val="TextBody"/>
        <w:bidi w:val="0"/>
        <w:spacing w:before="0" w:after="0"/>
        <w:jc w:val="left"/>
        <w:rPr/>
      </w:pPr>
      <w:r>
        <w:rPr/>
      </w:r>
    </w:p>
    <w:tbl>
      <w:tblPr>
        <w:tblW w:w="5743"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32"/>
        <w:gridCol w:w="132"/>
        <w:gridCol w:w="132"/>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28,011,982 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9,124,212 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87,482,113 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 xml:space="preserve">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w:t>
      </w:r>
      <w:r>
        <w:rPr>
          <w:rFonts w:ascii="Times New Roman;serif" w:hAnsi="Times New Roman;serif"/>
          <w:b w:val="false"/>
          <w:i/>
          <w:color w:val="000000"/>
          <w:sz w:val="20"/>
        </w:rPr>
        <w:t>Fair Value Measurements and Derivative Instruments</w:t>
      </w:r>
      <w:r>
        <w:rPr>
          <w:color w:val="000000"/>
        </w:rPr>
        <w:t xml:space="preserve"> </w:t>
      </w:r>
      <w:r>
        <w:rPr>
          <w:rFonts w:ascii="Times New Roman;serif" w:hAnsi="Times New Roman;serif"/>
          <w:b w:val="false"/>
          <w:color w:val="000000"/>
          <w:sz w:val="20"/>
        </w:rPr>
        <w:t xml:space="preserve">for details regarding the Company’s cash equivalents. See Note 3 — </w:t>
      </w:r>
      <w:r>
        <w:rPr>
          <w:rFonts w:ascii="Times New Roman;serif" w:hAnsi="Times New Roman;serif"/>
          <w:b w:val="false"/>
          <w:i/>
          <w:color w:val="000000"/>
          <w:sz w:val="20"/>
        </w:rPr>
        <w:t>Revenue and Accounts Receivable</w:t>
      </w:r>
      <w:r>
        <w:rPr>
          <w:color w:val="000000"/>
        </w:rPr>
        <w:t xml:space="preserve"> </w:t>
      </w:r>
      <w:r>
        <w:rPr>
          <w:rFonts w:ascii="Times New Roman;serif" w:hAnsi="Times New Roman;serif"/>
          <w:b w:val="false"/>
          <w:color w:val="000000"/>
          <w:sz w:val="20"/>
        </w:rPr>
        <w:t>for details regarding the Company’s total revenue disaggregated by customer geographical location and the major customer concentrations of the Company’s total revenue and accounts receivable balances.</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9386"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10061"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designated BurTech Systems Tech LLC (“BST”), an affiliate of the Sales Partner, as the initial approved customer. The Referral Agreement provided for the purchase of the Company’s products by BST on behalf of a certain unaffiliated end user, subject to BST’s issuance of purchase orders. The Company received a single hardware purchase order in the second quarter of 2025 from BST for $6.3 million. A portion of the hardware purchase order was fulfilled in the second and third quarters of 2025, remaining unpaid as of December 31, 2025, resulting in a gross accounts receivable - related party as of December 31, 2025 of $3.4 million. The remainder of the hardware purchase order was fulfilled in the first quarter of 2026. BST paid the purchase order amount in full in the first quarter of 2026, relieving the accounts receivable balance and resulting in immediate hardware revenue recognition for the first quarter of 2026 (on transfer of control), with an immaterial amount of support revenue being recognized over time, including for the three and six months ended June 30, 2026. The Company has not received any further purchase orders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Sales Partner is entitled to receive a commission from the Company of up to 10%, depending on the Company’s gross margins under the associated purchase orders. The sales commission is payable in cash, or, partially, at the Company’s discretion, in shares of the Company’s common stock. The commission became payable to the Sales Partner upon the Company’s receipt of cash from these sales. The Company paid the sales commissions due to the Sales Partner in cash in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$2.6 million in revenue from the Referral Agreement, which was substantially recognized in the first quarter of 2026. Sales commissions of $0.3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$1.6 million in revenue from the Referral Agreement. Sales commissions of $0.2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 related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portion of the earnout shares were issued to an affiliate of the Sponsor at the time of the Merger. See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fair value of these earnout shares - related party as of June 30, 2026 and December 31, 2025 was $1.7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Transactions arising from the Merger having been repaid or deemed to have been repaid by the Company and release of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liabilities due to the Sponsor resulting from the Merger, and the release of those activities during the quarter ended June 30, 2026:</w:t>
      </w:r>
    </w:p>
    <w:p>
      <w:pPr>
        <w:pStyle w:val="TextBody"/>
        <w:bidi w:val="0"/>
        <w:spacing w:before="0" w:after="283"/>
        <w:jc w:val="left"/>
        <w:rPr/>
      </w:pPr>
      <w:r>
        <w:rPr/>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5433" w:type="dxa"/>
        <w:jc w:val="left"/>
        <w:tblInd w:w="0" w:type="dxa"/>
        <w:tblLayout w:type="fixed"/>
        <w:tblCellMar>
          <w:top w:w="28" w:type="dxa"/>
          <w:left w:w="28" w:type="dxa"/>
          <w:bottom w:w="28" w:type="dxa"/>
          <w:right w:w="28" w:type="dxa"/>
        </w:tblCellMar>
      </w:tblPr>
      <w:tblGrid>
        <w:gridCol w:w="1496"/>
        <w:gridCol w:w="1309"/>
        <w:gridCol w:w="1320"/>
        <w:gridCol w:w="109"/>
        <w:gridCol w:w="109"/>
        <w:gridCol w:w="109"/>
        <w:gridCol w:w="211"/>
        <w:gridCol w:w="61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at the Merger: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Working capital loan - related party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Advances from related party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payable - related party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Release of accounts payable - related party</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related party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Simultaneous with the Merger, the Company issued an unsecured promissory note (the “working capital loan”) to the Sponsor, regarding a borrowing for general corporate purposes.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Simultaneous with the Merger, the Sponsor provided the Company with certain working capital advances (the “advances from related party”), which were non-interest bearing and payable on demand.</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recorded the management fees due to the Sponsor as an assumed liability at the Merger of “accounts payable - related party”.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release of “accounts payable - related party” was recorded as an addition to “additional paid-in capital” on the Company’s condensed consolidated balance sheet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 further demands from the Sponsor regarding the release of liabilities, and considers the matter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consummation of the Merger, the Sponsor issued a secured promissory note and pledge agreement (the “shareholder note receivable”) to the Company, which was set to decrease when the Sponsor repaid the Company for certain transaction costs that the Company assumed from the Sponsor during the Merger. Immediately after the Merger, the Company recorded the shareholder note receivable as a deduction from additional paid-in capital.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receivables from the Sponsor resulting from the Merger, and the net release of the shareholder note receivable during the quarter ended June 30, 2026:</w:t>
      </w:r>
    </w:p>
    <w:p>
      <w:pPr>
        <w:pStyle w:val="TextBody"/>
        <w:bidi w:val="0"/>
        <w:spacing w:before="0" w:after="0"/>
        <w:jc w:val="left"/>
        <w:rPr/>
      </w:pPr>
      <w:r>
        <w:rPr/>
      </w:r>
    </w:p>
    <w:tbl>
      <w:tblPr>
        <w:tblW w:w="7323" w:type="dxa"/>
        <w:jc w:val="left"/>
        <w:tblInd w:w="0" w:type="dxa"/>
        <w:tblLayout w:type="fixed"/>
        <w:tblCellMar>
          <w:top w:w="28" w:type="dxa"/>
          <w:left w:w="28" w:type="dxa"/>
          <w:bottom w:w="28" w:type="dxa"/>
          <w:right w:w="28" w:type="dxa"/>
        </w:tblCellMar>
      </w:tblPr>
      <w:tblGrid>
        <w:gridCol w:w="2179"/>
        <w:gridCol w:w="1910"/>
        <w:gridCol w:w="1926"/>
        <w:gridCol w:w="109"/>
        <w:gridCol w:w="109"/>
        <w:gridCol w:w="109"/>
        <w:gridCol w:w="211"/>
        <w:gridCol w:w="616"/>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during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 from Sponsor recorded at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made by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Release of shareholder note receivable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Payments made by the Company to third parties were recorded as reductions of cash with an offsetting charge to the income statement on the Company’s condensed consolidated statements of operations and comprehensive loss in the periods in which the payments were made, and did not offset the shareholder note receivable, as the payments were made by the Company and not the Sponsor.</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release of the shareholder note receivable resulted in a transfer between “additional paid-in capital” accounts within the Company’s subledger of additional paid-in capital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shareholder note receivable was secured by collateral of 2,000,000 shares of the Company’s common stock owned by the Sponsor. During the quarter ended June 30, 2026, the Company released the restrictive legend on these shares, which allowed the shares to be released directly to the Sponsor. No new shares of common stock were issued to the Sponsor as a result of the release of the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Liability to issue stock to related party, and subsequent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recorded on the Company’s condensed consolidated balance sheet as of June 30, 2026 of $2.8 million and the corresponding expense recorded on the Company’s condensed consolidated statement of operations and comprehensive loss for the three and six months ended June 30, 2026 included within “selling, general, and administrative - related party” expense represents the fair value of 2,000,000 shares of the Company’s common stock expected to be issued but not yet issued as of June 30, 2026. The shares were subsequently issued on July 7, 2026, and this liability settled in full.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marketing services and a related party employed by the Company are set forth in the table below:</w:t>
      </w:r>
    </w:p>
    <w:p>
      <w:pPr>
        <w:pStyle w:val="TextBody"/>
        <w:bidi w:val="0"/>
        <w:spacing w:before="0" w:after="0"/>
        <w:jc w:val="left"/>
        <w:rPr/>
      </w:pPr>
      <w:r>
        <w:rPr/>
      </w:r>
    </w:p>
    <w:tbl>
      <w:tblPr>
        <w:tblW w:w="9780" w:type="dxa"/>
        <w:jc w:val="left"/>
        <w:tblInd w:w="0" w:type="dxa"/>
        <w:tblLayout w:type="fixed"/>
        <w:tblCellMar>
          <w:top w:w="28" w:type="dxa"/>
          <w:left w:w="28" w:type="dxa"/>
          <w:bottom w:w="28" w:type="dxa"/>
          <w:right w:w="28" w:type="dxa"/>
        </w:tblCellMar>
      </w:tblPr>
      <w:tblGrid>
        <w:gridCol w:w="1598"/>
        <w:gridCol w:w="1400"/>
        <w:gridCol w:w="1412"/>
        <w:gridCol w:w="109"/>
        <w:gridCol w:w="109"/>
        <w:gridCol w:w="109"/>
        <w:gridCol w:w="290"/>
        <w:gridCol w:w="558"/>
        <w:gridCol w:w="149"/>
        <w:gridCol w:w="149"/>
        <w:gridCol w:w="149"/>
        <w:gridCol w:w="149"/>
        <w:gridCol w:w="290"/>
        <w:gridCol w:w="558"/>
        <w:gridCol w:w="149"/>
        <w:gridCol w:w="109"/>
        <w:gridCol w:w="109"/>
        <w:gridCol w:w="109"/>
        <w:gridCol w:w="255"/>
        <w:gridCol w:w="491"/>
        <w:gridCol w:w="131"/>
        <w:gridCol w:w="131"/>
        <w:gridCol w:w="131"/>
        <w:gridCol w:w="131"/>
        <w:gridCol w:w="255"/>
        <w:gridCol w:w="564"/>
        <w:gridCol w:w="18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 with other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received by related party employee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expenses incurred with related parties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 company owned by a direct family member of Mr. Lane M. Bess, chair of the Company’s Board, provided marketing services to the Company.</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 relative of one of the Company’s named executive officers is employed by the Company.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Included in “selling, general and administrative - related party” expense on the Company’s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subject to various legal proceedings, lawsuits, disputes and claims arising in the ordinary course of business.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On August 4, 2026, a class action complaint was filed against the Company and certain current officers of the Company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w:t>
      </w:r>
      <w:r>
        <w:rPr>
          <w:color w:val="000000"/>
          <w:shd w:fill="FFFFFF" w:val="clear"/>
        </w:rPr>
        <w:t xml:space="preserve"> </w:t>
      </w:r>
      <w:r>
        <w:rPr>
          <w:rFonts w:ascii="Times New Roman;serif" w:hAnsi="Times New Roman;serif"/>
          <w:b w:val="false"/>
          <w:color w:val="000000"/>
          <w:sz w:val="20"/>
        </w:rPr>
        <w:t>The Company is in the process of evaluating the effects of the foregoing events and cannot make a reasonable estimate of any outcome, recovery, or loss at this time.</w:t>
      </w:r>
    </w:p>
    <w:p>
      <w:pPr>
        <w:pStyle w:val="TextBody"/>
        <w:bidi w:val="0"/>
        <w:spacing w:lineRule="auto" w:line="288" w:before="0" w:after="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primarily relies on a single contract manufacturer to manufacture most of its proprietary hardware products. The Company received notice from this primary contract manufacturer of its intent to terminate the Company’s contract manufacturing agreement within six months of the contract manufacturer’s notice to the Company, by December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purchase commitments for raw materials for its manufactured inventories of $10.8 million and purchase commitments for finished goods for resale of $1.9 million as of June 30, 2026. Certain of these purchase commitments for raw materials for inventory manufacture, in the amount of $5.4 million, require prepayment in advance from the Company in order for the vendor to be obligated to the Company’s purchase commitment. Purchase commitments for finished goods held for resale are generally made when a customer has issued a purchase order.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7, 2026, a subsidiary of the Company, Blaize, Inc.,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the Company issued 2,000,000 shares of the Company’s common stock to Bess Ventures in consideration for the mutual covenants and releases set forth therein. See Note 9 — </w:t>
      </w:r>
      <w:r>
        <w:rPr>
          <w:rFonts w:ascii="Times New Roman;serif" w:hAnsi="Times New Roman;serif"/>
          <w:b w:val="false"/>
          <w:i/>
          <w:color w:val="000000"/>
          <w:sz w:val="20"/>
        </w:rPr>
        <w:t xml:space="preserve">Related Party Transactions and Balances </w:t>
      </w:r>
      <w:r>
        <w:rPr>
          <w:rFonts w:ascii="Times New Roman;serif" w:hAnsi="Times New Roman;serif"/>
          <w:b w:val="false"/>
          <w:color w:val="000000"/>
          <w:sz w:val="20"/>
        </w:rPr>
        <w:t>for details regarding the liability to issue stock to related party as of June 30, 2026, and the subsequent settlement on July 7,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August 4, 2026, a class action complaint was filed against the Company and certain current officers of the Company in the United States District Court for the Central District of California, captioned Daniel v. Blaize Holdings, Inc., et al., Case No. 2:26-cv-08563. See Note 10 —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and analysis of our financial condition and results of operations should be read together with our Annual Report on Form 10-K for the year ended December 31, 2025 (the “Annual Report on Form 10-K”), previous Quarterly Reports on Form 10-Q released during fiscal year </w:t>
      </w:r>
      <w:r>
        <w:rPr>
          <w:rFonts w:ascii="Times New Roman;serif" w:hAnsi="Times New Roman;serif"/>
          <w:b w:val="false"/>
          <w:color w:val="000000"/>
          <w:sz w:val="20"/>
        </w:rPr>
        <w:t>2026</w:t>
      </w:r>
      <w:r>
        <w:rPr>
          <w:rFonts w:ascii="Times New Roman;serif" w:hAnsi="Times New Roman;serif"/>
          <w:b w:val="false"/>
          <w:i/>
          <w:color w:val="000000"/>
          <w:sz w:val="20"/>
        </w:rPr>
        <w:t>, and the unaudited interim condensed consolidated financial statements as of and for the three and six months ended June 30,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f390335df7e3486a946db07610cf7209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we entered into a Purchase Order Contract Agreement (the “POCA”) with a potential customer in the United Arab Emirates that was intended to provide defense and other solutions to entities in the region. The contract was later amended on October 18, 2024, to add additional detail regarding the potential customer’s hardware and software requirements, as well as intended estimated delivery schedules. Discussions with the potential customer regarding this opportunity and other potential opportunities in the region were ongoing throughout 2025 and into 2026. This opportunity, and / or other potential opportunities that have been discussed with the potential customer, was expected to result in up to $104.0 million in revenue; however, as of August 13, 2026, we have not received a purchase order from this potential customer, nor have we received any revenue from this potential customer. We are currently reevaluating our relationship with this potential customer, and there is substantial uncertainty that any commercial relationship will progress.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certain agreements entered into in 2025, including a Strategic Cooperation Agreement (the “Starshine Agreement”) with Starshine Computing Power Technology Limited, a Hong Kong company (“Starshine”), and the Sales Partner Referral Agreement (the “Referral Agreement”) with Burkhan LLC (the “Sales Partner”), an affiliate of BurTech LP, LLC (the “Sponsor”). The Referral Agreement designated BurTech Systems Tech LLC (“BST”), an affiliate of the Sales Partner, as the initial approved customer under the Referral Agreement. Starshine had agreed, in the Starshine Agreement, to deliver a minimum of $120.0 million in revenue to us, subject to the issuance of purchase orders, over the first 18 months of the Starshine Agreement. Under the Referral Agreement, BST agreed to purchase, subject to the issuance of purchase orders, up to $56.5 million of our products on behalf of a certain unaffiliated end user.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Starshine issued one purchase order to us in the third quarter of 2025 for $10.4 million and paid $1.6 million to us at that time. The remaining $8.8 million of Starshine’s account receivable remains outstanding as of August 13, 2026. This account receivable has been transferred to our wholly-owned Chinese subsidiary, and collection of the account is being pursued by a third party (the “collections agent”). If the collections agent is able to collect the receivable, it will earn a fee </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10% of the amount collected. There is substantial risk that the collections agent may not be successful in its attempts to collect this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BST issued one purchase order to us in the second quarter of 2025. We delivered hardware under that purchase order in the second and third quarters of 2025, and completed the final delivery of hardware in the first quarter of 2026, after receiving payment in full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received any purchase orders from either Starshine or BST in 2026. We do not expect further purchase orders to be forthcoming from Starshine. We do not have any visibility into any potential further purchase orders from BST for the remainder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received a purchase order from NeoTensr in the amount of $23.8 million, and we completed our performance obligation at that time. During 2026, NeoTensr paid this amount in full. On April 14, 2026, we entered into a contract with NeoTensr for up to $50.0 million in revenue within the first year of the agreement, subject to NeoTensr’s issuance of purchase orders. NeoTensr has issued one purchase order under this agreement for $13.7 million, and paid its required deposit of 3%, or $0.4 million. The remaining $13.3 million of accounts receivable is due on September 24, 2026. On August 7, 2026, this contract was amended to be a firm contract with a minimum purchase commitment, also known as a “take or pay” arrangement, where our performance obligations over time of deliveries of servers to the customer is intended to be completed by July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us and certain of our current officers in the United States District Court for the Central District of California, alleging, among other things, that we and the individual defendants made false and misleading statements or omissions regarding our contracts with Starshine and NeoTensr. The case is at a preliminary stage. We are in the process of evaluating this complaint and cannot make a reasonable estimate of any outcome, recovery, or loss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f6c5998d4e744dacb27d1c60ab21f50b_1594"/>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Starting this quarter, management has focused its evaluation of the business on the following key business metrics: revenue, EBITDA and Adjusted EBITDA. See “Non-GAAP Measures” in this Item 2, Management’s Discussion and Analysis of Financial Condition and Results of Operations, for additional information, including a reconciliation of net loss to EBITDA and Adjusted EBITDA. As our business continues to scale and evolve, we may supplement or modify these metrics. For example, management is currently reviewing the connection between purchase orders received and backlog to determine whether such metrics are meaningful measures of our future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Annual Report on Form 10-K and Quarterly Report on Form 10-Q for the three months ended March 31, 2026, as well as certain other earnings materials furnished in connection therewith, we presented pipeline metrics as key business metrics. We classified pipeline metrics into the following categories: proof of concept stage, partners, and design wins. Although our sales pipeline itself and pipeline progression from the inception of a deal through actual conversion of that pipeline into revenue are indicators of our future business, we determined that these metrics were not as closely connected with future revenue as previously expected. Therefore, management no longer considers these pipeline metrics as key business metrics. As a result, this Quarterly Report on Form 10-Q does not include updated figures for these metrics and we do not expect to present these metrics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64218bb18c82432ca21b5711b9d5ff41_3800"/>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(when applicable)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difference between revenue and cost of revenue is gross profit, as calculated in accordance with accounting principles generally accepted in the United States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cost of revenue, and gross profit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2026 was primarily earned from sales of our complementary third party hardware. Revenue in the second quarter ended June 30, 2026 was primarily earned from the sale of complementary third party hardware to a major customer located in China. Revenue in the first quarter of 2026 was earned at the final shipment of such hardware along with our manufactured hardware to a related party,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2025 was earned primarily from a related party for the initial sale of complementary third party hardware and our branded hardware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and six months ended June 30, 2026 and 2025 is primarily a result of the mix between complementary third party hardware and our branded hardware. Cost of revenue increases as the proportion of third party hardware in the revenue mix increases. Further, cost of revenue increases as our proportion of revenue from hardware increases, and decreases with revenue earned from software sales. There were no material sales of software for the three and six months ended June 30, 2026, compared to the three and six months ended June 30, 2025, which had a more significant component of revenue derived from software.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expected credit loss provision, tax, corporate software licenses, and insurance-related expenses.</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SG&amp;A - related party expense is comprised of expenses incurred with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and six months ended June 30, 2026 and 2025:</w:t>
      </w:r>
    </w:p>
    <w:p>
      <w:pPr>
        <w:pStyle w:val="TextBody"/>
        <w:bidi w:val="0"/>
        <w:spacing w:before="0" w:after="0"/>
        <w:jc w:val="left"/>
        <w:rPr/>
      </w:pPr>
      <w:r>
        <w:rPr/>
      </w:r>
    </w:p>
    <w:tbl>
      <w:tblPr>
        <w:tblW w:w="8908" w:type="dxa"/>
        <w:jc w:val="left"/>
        <w:tblInd w:w="0" w:type="dxa"/>
        <w:tblLayout w:type="fixed"/>
        <w:tblCellMar>
          <w:top w:w="28" w:type="dxa"/>
          <w:left w:w="28" w:type="dxa"/>
          <w:bottom w:w="28" w:type="dxa"/>
          <w:right w:w="28" w:type="dxa"/>
        </w:tblCellMar>
      </w:tblPr>
      <w:tblGrid>
        <w:gridCol w:w="1492"/>
        <w:gridCol w:w="1314"/>
        <w:gridCol w:w="1319"/>
        <w:gridCol w:w="214"/>
        <w:gridCol w:w="732"/>
        <w:gridCol w:w="110"/>
        <w:gridCol w:w="110"/>
        <w:gridCol w:w="110"/>
        <w:gridCol w:w="110"/>
        <w:gridCol w:w="214"/>
        <w:gridCol w:w="732"/>
        <w:gridCol w:w="110"/>
        <w:gridCol w:w="109"/>
        <w:gridCol w:w="109"/>
        <w:gridCol w:w="109"/>
        <w:gridCol w:w="211"/>
        <w:gridCol w:w="466"/>
        <w:gridCol w:w="109"/>
        <w:gridCol w:w="109"/>
        <w:gridCol w:w="109"/>
        <w:gridCol w:w="109"/>
        <w:gridCol w:w="291"/>
        <w:gridCol w:w="294"/>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1" w:type="dxa"/>
        <w:jc w:val="left"/>
        <w:tblInd w:w="0" w:type="dxa"/>
        <w:tblLayout w:type="fixed"/>
        <w:tblCellMar>
          <w:top w:w="28" w:type="dxa"/>
          <w:left w:w="28" w:type="dxa"/>
          <w:bottom w:w="28" w:type="dxa"/>
          <w:right w:w="28" w:type="dxa"/>
        </w:tblCellMar>
      </w:tblPr>
      <w:tblGrid>
        <w:gridCol w:w="1492"/>
        <w:gridCol w:w="1314"/>
        <w:gridCol w:w="131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June 30, 2026, compared to June 30, 2025, was primarily due to higher technology costs, which was partially offset by a reduction in employee costs, including costs related to stock compensation expense.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decrease in R&amp;D expense for the six months ended June 30, 2026, compared to June 30, 2025, was primarily due to a reduction in employee costs related to stock compensation expense.</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SG&amp;A expense for the three and six months ended June 30, 2026, compared to June 30, 2025, was primarily due to an increase in our provision for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and six months ended June 30, 2026, were substantially comprised of a liability arising from a resolution to enter into a future settlement agreement to issue shares of our common stock to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three months ended June 30, 2025, were comprised solely of payroll expenses for an individual related to one of our executive officers. During the six months ended June 30, 2025, these expenses included payroll expenses for the individual as well as advertising expenses incurred with a company owned by a relative of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and six months ended June 30, 2026 and 2025:</w:t>
      </w:r>
    </w:p>
    <w:p>
      <w:pPr>
        <w:pStyle w:val="TextBody"/>
        <w:bidi w:val="0"/>
        <w:spacing w:before="0" w:after="0"/>
        <w:jc w:val="left"/>
        <w:rPr/>
      </w:pPr>
      <w:r>
        <w:rPr/>
      </w:r>
    </w:p>
    <w:tbl>
      <w:tblPr>
        <w:tblW w:w="9129" w:type="dxa"/>
        <w:jc w:val="left"/>
        <w:tblInd w:w="0" w:type="dxa"/>
        <w:tblLayout w:type="fixed"/>
        <w:tblCellMar>
          <w:top w:w="28" w:type="dxa"/>
          <w:left w:w="28" w:type="dxa"/>
          <w:bottom w:w="28" w:type="dxa"/>
          <w:right w:w="28" w:type="dxa"/>
        </w:tblCellMar>
      </w:tblPr>
      <w:tblGrid>
        <w:gridCol w:w="1709"/>
        <w:gridCol w:w="1505"/>
        <w:gridCol w:w="1511"/>
        <w:gridCol w:w="226"/>
        <w:gridCol w:w="662"/>
        <w:gridCol w:w="117"/>
        <w:gridCol w:w="117"/>
        <w:gridCol w:w="117"/>
        <w:gridCol w:w="117"/>
        <w:gridCol w:w="226"/>
        <w:gridCol w:w="743"/>
        <w:gridCol w:w="117"/>
        <w:gridCol w:w="109"/>
        <w:gridCol w:w="109"/>
        <w:gridCol w:w="109"/>
        <w:gridCol w:w="211"/>
        <w:gridCol w:w="616"/>
        <w:gridCol w:w="109"/>
        <w:gridCol w:w="109"/>
        <w:gridCol w:w="109"/>
        <w:gridCol w:w="109"/>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2"/>
        <w:gridCol w:w="1766"/>
        <w:gridCol w:w="1772"/>
        <w:gridCol w:w="211"/>
        <w:gridCol w:w="616"/>
        <w:gridCol w:w="109"/>
        <w:gridCol w:w="109"/>
        <w:gridCol w:w="109"/>
        <w:gridCol w:w="109"/>
        <w:gridCol w:w="211"/>
        <w:gridCol w:w="898"/>
        <w:gridCol w:w="109"/>
        <w:gridCol w:w="109"/>
        <w:gridCol w:w="109"/>
        <w:gridCol w:w="109"/>
        <w:gridCol w:w="211"/>
        <w:gridCol w:w="826"/>
        <w:gridCol w:w="109"/>
        <w:gridCol w:w="109"/>
        <w:gridCol w:w="109"/>
        <w:gridCol w:w="109"/>
        <w:gridCol w:w="109"/>
        <w:gridCol w:w="109"/>
        <w:gridCol w:w="156"/>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other income (expense), net” for the three and six months ended June 30, 2026 compared to the three and six months ended June 30, 2025 was driven by the fair value changes in the different financial instruments in place during each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fair value of the liability-classified earnout shares varied by changes in the value of those instruments. During that same period, the fair value of the Polar warrants also varied by the change in value of those instruments, and a financing charge was also applied to the modification of the warrants during the second quarter of 2026.</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as a result of the Merger, the Legacy Blaize convertible notes and warrants were all converted into shares of our common stock. These instruments were, therefore, not outstanding in 2026. During the three and six months ended June 30, 2025, there were shares of common stock issuable but unissued to an advisor, and the change in the fair value is therefore applicable to 2025 but not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bookmarkStart w:id="3" w:name="i7c47c3b15a344bd5bba14efff4ef2f8b_2074"/>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loss to EBITDA and Adjusted EBITDA for the three and six months ended June 30, 2026 and 2025: </w:t>
      </w:r>
    </w:p>
    <w:p>
      <w:pPr>
        <w:pStyle w:val="TextBody"/>
        <w:bidi w:val="0"/>
        <w:spacing w:before="0" w:after="0"/>
        <w:jc w:val="left"/>
        <w:rPr/>
      </w:pPr>
      <w:r>
        <w:rPr/>
      </w:r>
    </w:p>
    <w:tbl>
      <w:tblPr>
        <w:tblW w:w="929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6"/>
        <w:gridCol w:w="310"/>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a482add7b58c432595a649ff4c7f098f_9222"/>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August 13, 2026:</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to related party on July 7, 2026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August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144,832,039 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July 7, 2026, one of our subsidiaries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we issued 2,000,000 shares of common stock to Bess Ventures in consideration for the mutual covenants and releases set forth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August 13, 2026:</w:t>
      </w:r>
    </w:p>
    <w:p>
      <w:pPr>
        <w:pStyle w:val="TextBody"/>
        <w:bidi w:val="0"/>
        <w:spacing w:before="0" w:after="0"/>
        <w:jc w:val="left"/>
        <w:rPr/>
      </w:pPr>
      <w:r>
        <w:rPr/>
      </w:r>
    </w:p>
    <w:tbl>
      <w:tblPr>
        <w:tblW w:w="7276"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40"/>
        <w:gridCol w:w="54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 we had commitments to issue 29,785,144 shares of common stock to employees and others under stock option awards, and an additional</w:t>
      </w:r>
      <w:r>
        <w:rPr>
          <w:color w:val="EE2724"/>
        </w:rPr>
        <w:t xml:space="preserve"> </w:t>
      </w:r>
      <w:r>
        <w:rPr>
          <w:rFonts w:ascii="Times New Roman;serif" w:hAnsi="Times New Roman;serif"/>
          <w:b w:val="false"/>
          <w:color w:val="000000"/>
          <w:sz w:val="20"/>
        </w:rPr>
        <w:t>8,628,534 shares of our common stock under employee and other RSU awards. These commitments did not differ materially as of August 13, 2026, as we did not issue additional such awards during the time period between June 30, 2026 and August 13,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stockholders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exercisable at $11.50 per share, which expire in the first quarter of 2030.</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2025, we entered into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To date, we have chosen to pay any such commissions in cash and not in shares of our common stock. During 2026, we have not received any new purchase orders under the Sales Partner Referral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remaining number of shares that we may sell under the committed equity facility (the “Committed Equity Facility”) with B. Riley Principal Capital, LLC (“B. Riley”) varies in relation to our stock price. However, under the terms of the facility, we may not effect sales thereunder while the market price of our common stock is below $1.00 per share. Our common stock has recently begun trading below $1.00 per share, and therefore, this facility may not be available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$41.3 million for the six months ended June 30, 2026, compared to $32.4 million for the six months ended June 30, 2025, an increase of $8.9 million. Although net loss decreased by $125.9 million, the reduction in net loss was primarily due to a decrease of $109.9 million in non-cash adjustments to reconcile net loss to net cash used in operating activities, as the prior-year period included significant non-cash losses from changes in fair value measurements that did not recur in the current period. The change in operating assets and liabilities of $24.9 million reflected our payment of accrued trade and other payables and increases in accounts receivables and prepaid expenses, partially offset by cash collections of accounts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used $0.6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activities was $32.6 million, which consisted primarily of net proceeds from the issuance of common stock. During the six months ended June 30, 2025, net cash provided by financing activities consisted of $15.9 million of proceeds from the Merger and PIPE financing, partially offset by the $4.3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Availability,</w:t>
      </w:r>
      <w:r>
        <w:rPr>
          <w:color w:val="000000"/>
        </w:rPr>
        <w:t xml:space="preserve"> </w:t>
      </w:r>
      <w:r>
        <w:rPr>
          <w:rFonts w:ascii="Times New Roman;serif" w:hAnsi="Times New Roman;serif"/>
          <w:b/>
          <w:i/>
          <w:color w:val="000000"/>
          <w:sz w:val="20"/>
        </w:rPr>
        <w:t>Material Cash Requirements, and Cash Collections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on hand of $36.8 million, of which approximately $12.4 million, or approximately 34%, is held in China and subject to currency controls. Currency controls may delay our access to this cash. We are a party to a Committed Equity Facility with a remaining available capacity of approximately $15.5 million; however, under the terms of the facility, we may not effect sales thereunder while the market price of our common stock is below $1.00 per share. Because our common stock has recently begun trading below $1.00 per share, the facility may not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recorded on our condensed consolidated balance sheet as of June 30, 2026 included normal course of business near-term general corporate expenses accrued in accounts payable and accrued expenses, such as consulting fees and employee payroll. Additionally, we had purchase commitments for raw materials for manufactured inventories of $10.8 million and purchase commitments for finished goods for resale of $1.9 million as of June 30, 2026. Certain of these purchase commitments for raw materials for inventory manufacture, in the amount of $5.4 million require prepayment in advance from us in order for the vendor to be obligated to our purchase commitment. Purchase commitments for finished goods held for resale are generally made when a customer has issued a purchase order.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pursue collections of the Starshine account receivable of $8.8 million, through a third-party collections agent. This receivable has been transferred to our wholly-owned Chinese subsidiary, and any such recovery is </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 10% collections fee to such collections agent. Any recovered cash would be deposited in our subsidiary’s bank account in China, and therefore subject to currency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accounts receivable are currently generally deemed to be collectible in the normal course of business. Substantially all of the balance of these accounts receivable are due from one customer located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Emerging Growth Company and Smaller Reporting Company Statuses during the six months ended June 30, 2026. The Company will remain a Smaller Reporting Company for the year ended December 31, 2026, but will not retain its Emerging Growth Company status past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6b76002db6dd4156b26d3710c01da3ca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From time to time, we may become subject to various legal proceedings, lawsuits, disputes and claims either asserted or unasserted, which may arise in the ordinary course of our business. The outcome of these matters cannot be predicted with certainty. See Note 10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for a discussion of loss contingencies, if any. Below is a discussion of significant pending legal proceedings involving the Company and/or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the Company and certain current officers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Computing Power Technology Limited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 We are in the process of evaluating the effects of the foregoing events and we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See the caption titled “</w:t>
      </w:r>
      <w:r>
        <w:rPr>
          <w:rFonts w:ascii="Times New Roman;serif" w:hAnsi="Times New Roman;serif"/>
          <w:b w:val="false"/>
          <w:i/>
          <w:color w:val="000000"/>
          <w:sz w:val="20"/>
        </w:rPr>
        <w:t>We are subject to securities class action litigation, which could result in substantial costs and adversely affect our reputation, business, and stock price</w:t>
      </w:r>
      <w:r>
        <w:rPr>
          <w:color w:val="000000"/>
        </w:rPr>
        <w:t xml:space="preserve">” </w:t>
      </w:r>
      <w:r>
        <w:rPr>
          <w:rFonts w:ascii="Times New Roman;serif" w:hAnsi="Times New Roman;serif"/>
          <w:b w:val="false"/>
          <w:color w:val="000000"/>
          <w:sz w:val="20"/>
        </w:rPr>
        <w:t>in Part II, Item 1A “Risk Factors” in this Quarterly Report on Form 10-Q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securities class action litigation, which could result in substantial costs and adversely affect our reputation,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our company and certain of our company’s current officers in the United States District Court for the Central District of California, captioned Daniel v. Blaize Holdings, Inc., et al., Case No. 2:26-cv-08563. The complaint alleges, among other things, that we and the individual defendants made false and misleading statements or omissions regarding our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our common stock between July 18, 2025 and April 28, 2026, inclusive. The case is at a preliminary stage.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litigation may be expensive, time consuming, and disruptive to normal business operations, and may divert the attention of our management and other personnel from operating our business. We may incur significant legal and other expenses in defending this action and any related matters, and such expenses may not be fully covered by insurance or may exceed applicable insurance coverage.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unfavorable outcome of this litigation or any related matters could result in substantial monetary damages, settlement payments, fines or penalties, or other relief, and could harm our reputation, relationships with customers, partners, investors, and other stakeholders, and the market price of our common stock. Even if we are successful in defending against such claims, the litigation and any related publicity could adversely affect our business, financial condition, results of operations, liquidity, reputation, and ability to raise capital.</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primary contract manufacturer provided notice to terminate its contract with us. The termination of our contract manufacturing agreement with this contract manufacturer could disrupt our supply chain and materially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primarily rely on a single contract manufacturer to manufacture most of our proprietary hardware products. We received notice from it of its intent to terminate our contract manufacturing agreement with us within six months of its notice to us, by December 14, 2026. The loss of our primary contract manufacturer could result in significant disruption to our supply chain and our ability to fulfill customer orders for our manufactured products on a timely basis, or at all. Identifying, qualifying, and onboarding an alternative contract manufacturer is a time-consuming and costly process, and we may not be able to secure a replacement contract manufacturer on commercially acceptable terms, or within a time frame that avoids material disruption to our operations. Any such disruption could result in delays in product delivery, loss of customer relationships, cancellation of contracts, and damage to our reputation. Furthermore, a transition to a new contract manufacturer may involve additional costs, quality control risks, and operational uncertainties. If we are unable to replace our current primary contract manufacturer in a timely and cost-effective manner,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 significant portion of our cash is held in China, where strict currency controls and repatriation restrictions may limit our ability to access and transfer these funds, which may materially reduce the liquidity actually available to fund our operations and exacerbates our going concern condition.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$36.8 million. A portion of these funds, approximately $12.4 million, or approximately 34%, is held in China through our subsidiary operations. Further, as of June 30, 2026, substantially all of our accounts receivable are due in China, while our accounts payable are largely due outside of China. This structural mismatch means that the cash needed to fund our non-China obligations must be repatriated from China or raised through external financing. China imposes strict foreign currency controls administered by its State Administration </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Foreign Exchange, which regulates the conversion of Chinese renminbi into foreign currencies and the cross-border transfer of funds. These regulations may restrict or delay our ability to repatriate cash held in China or otherwise make such funds available to our global operations, including our U.S.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access this cash is subject to various approval processes, compliance requirements, and regulatory conditions that are outside of our control and may change at any time without notice. Any delays or restrictions in accessing or transferring funds held in China could materially reduce the liquidity actually available to fund our operations and meet our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This risk is particularly acute given our going concern condition. Our management has concluded that our liquidity condition raises substantial doubt about our ability to continue as a going concern through one year from the date of issuance of these condensed consolidated financial statements. We are dependent on raising additional financing to continue operations, and if funds held in China cannot be freely accessed or transferred, our effective liquidity position may be materially less than our reported cash balance of $36.8 million suggests. We may not be able to access these funds in a timely manner, and inability to do so could have a material adverse effect on our business, financial condition, results of operations, and ability to continue as a going concern.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access the Committed Equity Facility is subject to conditions that we may be unable to satisfy, which could limit our access to additional liquidity and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party to a Committed Equity Facility with B. Riley, pursuant to which B. Riley has committed to purchase up to $50.0 million of our common stock over an approximately 36-month period, subject to certain limitations and conditions set forth in the Committed Equity Facility. As of June 30, 2026, the Committed Equity Facility had a remaining available capacity of approximately $15.5 million. However, the Committed Equity Facility is subject to a number of conditions that must be satisfied before we may effect any sale thereunder, including that the market price of our common stock cannot be below $1.00 per share. Our common stock has recently begun trading below $1.00 per share, and as a result, the Committed Equity Facility may not currently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the market price of our common stock were to increase to $1.00 per share or above, the price may not remain at or above that threshold for a sufficient period of time to allow us to access the facility in a meaningful amount, nor can we anticipate that other conditions to drawing on the facility would be satisfied.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inability to access the Committed Equity Facility, whether due to the $1.00 per share minimum price requirement or other conditions under the facility, could materially limit our available liquidity and our ability to fund our ongoing operations. If we are unable to access the Committed Equity Facility and cannot raise capital through other means, our business, financial condition, results of operations, and ability to continue as a going concern could be materially and adversely affected.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stockholder rights plan, anti-takeover provisions in our certificate of incorporation and bylaws, provisions of Delaware law, and the change of control premium provisions applicable to the Earnout Shares could delay, deter, or prevent a change in control that our stockholders may consider favorable, reduce the per-share consideration available to our stockholders in any such transaction, or make any such transaction more costly.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we entered into a stockholder rights plan (the “Rights Plan”) and declared a dividend of one right for each outstanding share of our common stock. The rights generally become exercisable if any person or group acquires beneficial ownership of 10% or more of our outstanding common stock without prior board approval. Upon such an event, each right (other than rights held by the acquiring person, which become void) would entitle its holder to purchase shares of our common stock at an effective 50% discount to the then-current market price, or, at the board’s election, to receive shares of common stock in exchange for the rights, in either case resulting in substantial dilution to the acquiring person. Our board may redeem the rights for $0.01 per right at any time before a person or group becomes an acquiring person. The Rights Plan is scheduled to expire on April 21, 2027, unless earlier redeemed, exchanged, or terminated. While the </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Rights Plan is intended to protect stockholders from coercive or otherwise unfair takeover tactics, it may have the effect of rendering more difficult or discouraging any attempt to acquire us — including a fully financed offer at a premium to the prevailing market price of our common stock — unless our board first approves the transaction or redeems the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and bylaws contain provisions that could delay or prevent changes in control of our company or our management without the consent of our board of directors, or that could make it more difficult for a third party to acquire us or to effect a change in the composition of our board, even if doing so would be beneficial to our stockholders. These provisions include, among others: (i) the absence of cumulative voting in the election of directors, which limits the ability of minority stockholders to elect director candidates; (ii) the requirement that directors may be removed only by the affirmative vote of holders of at least 66⅔% of the voting power of our outstanding capital stock; (iii) the provision that special meetings of stockholders may be called only by or at the direction of our board of directors, the chairperson of our board, our Chief Executive Officer, or our President, and the related limitations on stockholder action outside of duly called meetings; (iv) advance notice requirements for stockholder proposals and director nominations; and (v) the authorization of undesignated “blank check” preferred stock and substantial amounts of authorized but unissued common stock, which our board may issue without stockholder approval, including to persons friendly to current management, and with rights and preferences that could impede the success of any attempt to acquire us. We are also subject to anti-takeover provisions of the Delaware General Corporation Law, which may further discourage, delay, or prevent a business combination with an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under our merger agreement relating to our January 2025 business combination, we remain obligated to issue up to 15,000,000 Earnout Shares to eligible former securityholders of Legacy Blaize and up to 2,600,000 additional shares to Burkhan upon the achievement of specified share price triggering events during the five-year period following the closing. In the event of a change in control of the Company during this period, all then-remaining Earnout Shares that have not previously been issued would become issuable in full, as if all triggering events had occurred. Accordingly, any acquirer would be required to bear the cost of, and our stockholders would experience the dilution associated with, the issuance of up to approximately 17.6 million additional shares in connection with a change in control. This automatic acceleration increases the effective cost of acquiring us, may reduce the per-share consideration that a potential acquirer would otherwise be willing to pay to our stockholders, and could discourage potential acquirers from pursuing a transaction, even one that our stockholders might otherwise consider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provisions, individually or in combination, could discourage acquisition proposals including a merger or tender offer that might otherwise be in the best interest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we completed a public offering of 18,918,918 shares of our common stock at a price of $1.85 per share pursuant to our Registration Statement on Form S-3 (File No. 333-292986), which was declared effective by the SEC on February 4, 2026. Northland Securities, Inc. acted as representative of the underwriters. We received initial net proceeds of approximately $32.8 million, after deducting underwriting discounts and commissions and other initial offering expenses. As of June 30, 2026, we have used approximately $16.5 million of the net proceeds for working capital and general corporate purposes, and the remaining approximately $16.3 million is held in cash and cash equivalents pending application for working capital and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repurchases of common stock in each month of the second quarter of 2026:</w:t>
      </w:r>
    </w:p>
    <w:p>
      <w:pPr>
        <w:pStyle w:val="TextBody"/>
        <w:bidi w:val="0"/>
        <w:spacing w:before="0" w:after="283"/>
        <w:jc w:val="left"/>
        <w:rPr/>
      </w:pPr>
      <w:r>
        <w:rPr/>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570"/>
        <w:gridCol w:w="488"/>
        <w:gridCol w:w="490"/>
        <w:gridCol w:w="109"/>
        <w:gridCol w:w="109"/>
        <w:gridCol w:w="109"/>
        <w:gridCol w:w="324"/>
        <w:gridCol w:w="786"/>
        <w:gridCol w:w="167"/>
        <w:gridCol w:w="109"/>
        <w:gridCol w:w="109"/>
        <w:gridCol w:w="109"/>
        <w:gridCol w:w="771"/>
        <w:gridCol w:w="771"/>
        <w:gridCol w:w="773"/>
        <w:gridCol w:w="109"/>
        <w:gridCol w:w="109"/>
        <w:gridCol w:w="109"/>
        <w:gridCol w:w="765"/>
        <w:gridCol w:w="765"/>
        <w:gridCol w:w="1087"/>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second quarter of 2026, 26,989 shares of common stock were surrendered by an executive officer of the Company in connection with the vesting of RSUs in order to pay for applicable tax withholding. Under the Blaize Holdings, Inc. 2025 Incentive Award Plan (“Incentive Plan”), participants may surrender shares in satisfaction of applicable tax withholding on the vesting of equity awards. Shares so surrendered by participants in the Incentive Plan may be repurchased pursuant to the terms of the Incentive Plan and not pursuant to publicly announced share repurchase programs. The “average price per share” deemed paid for these shares was based on the closing price of our common stock on the date of vesting of $1.76. These shares of common stock have been cancelled.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June 30,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Departure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Mr. Juergen Hambrecht notified the Company’s Board of Directors (the “Board”) of his decision to resign from the Board, effective as of August 13, 2026. Mr. Hambrecht’s resignation was not a result of any disagreement with the Company or its Board on any matter relating to the Company’s operations, policies, or practices. The Company and the Board wish to thank Mr. Hambrecht for his service and contributions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Appointment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the Board appointed Dr. Kurt Lauk, 80, to serve as a director on the Board, to be effective as of August 13, 2026 concurrent with the effectiveness of Mr. Hambrecht’s resignation, with a term expiring at the Company’s next annual meeting of stockholders. Dr. Lauk was recommended for appointment to the Board by the independent directors of the Board, prior to the formation of the Board’s Nominating and Governance Committee. The Board has determined that Dr. Lauk is considered an independent director under Nasdaq rules. Dr. Lauk has been appointed to serve as a member of the Company’s Nominating and Governance Committee. There are no arrangements or understandings between Dr. Lauk and any other person pursuant to which he was selected to serve as a director of the Company. Additionally, there are no related party transactions between Dr. Lauk and the Company that require disclosure under Item 404(a) of Regulation S-K.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Dr. Lauk is the founder of Globe CP GmbH, a private investment and financial advisory firm based in Stuttgart, Germany, and has served as its Chief Executive Officer since 2000. Since 2021, Dr. Lauk has served as Chairman of the board of directors of ADS-TEC Energy plc (Nasdaq: ADSE), a battery-based energy storage and charging technology company. He previously served as a member of the board of directors of Magna International Inc. (NYSE/TSX: MGA), a global </w:t>
      </w: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our Amended and Restated Director Compensation Program, a copy of which is filed as Exhibit 10.1 to this Quarterly Report on Form 10-Q (the “Director Compensation Policy”), and in connection with his appointment to our Board, as a non-employee director, Dr. Lauk will receive an annual cash retainer pro-rated for the portion of the year on which he serves on our Board, and an initial equity grant of restricted stock units, with the number of RSUs determined by dividing (i) $600,000 by (ii) the average closing trading price of the Company’s common stock over the 20 consecutive trading days ending with the trading day immediately preceding the applicable grant date, rounded down to the nearest whole RSU. This initial equity grant shall be automatically granted on August 13, 2026, and shall vest with respect to one-third of the RSUs subject thereto on each of the first three (3) anniversaries of the applicable grant date, subject to Dr. Lauk’s continued service on the Board through the applicable vesting date(s). We will also enter into an indemnification agreement with Dr. Lauk in the same form as our standard form of indemnification agreement with our other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2619"/>
        <w:gridCol w:w="2619"/>
        <w:gridCol w:w="373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Director Compensation Program, dated July 7,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Settlement Agreement, by and between Bess Ventures and Advisory LLC and Blaize, Inc., dated July 7, 2026 (incorporated by reference to Exhibit 10.1 to the Company’s Current Report on Form 8-K filed July 9,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54daa1021b9641d0b50fd6d209d1cf0a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19" w:type="dxa"/>
        <w:jc w:val="left"/>
        <w:tblInd w:w="0" w:type="dxa"/>
        <w:tblLayout w:type="fixed"/>
        <w:tblCellMar>
          <w:top w:w="28" w:type="dxa"/>
          <w:left w:w="28" w:type="dxa"/>
          <w:bottom w:w="28" w:type="dxa"/>
          <w:right w:w="28" w:type="dxa"/>
        </w:tblCellMar>
      </w:tblPr>
      <w:tblGrid>
        <w:gridCol w:w="705"/>
        <w:gridCol w:w="621"/>
        <w:gridCol w:w="624"/>
        <w:gridCol w:w="1131"/>
        <w:gridCol w:w="1131"/>
        <w:gridCol w:w="16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1638/000187163826000046/exhibit101-amendedandresta.htm" TargetMode="External"/><Relationship Id="rId4" Type="http://schemas.openxmlformats.org/officeDocument/2006/relationships/hyperlink" Target="https://www.sec.gov/Archives/edgar/data/1871638/000187163826000037/ex101-blaizexbesssettlemen.htm" TargetMode="External"/><Relationship Id="rId5" Type="http://schemas.openxmlformats.org/officeDocument/2006/relationships/hyperlink" Target="https://www.sec.gov/Archives/edgar/data/1871638/000187163826000046/a2026-q210xqex311xmunagala.htm" TargetMode="External"/><Relationship Id="rId6" Type="http://schemas.openxmlformats.org/officeDocument/2006/relationships/hyperlink" Target="https://www.sec.gov/Archives/edgar/data/1871638/000187163826000046/a2026-q210xqex312xsehmi.htm" TargetMode="External"/><Relationship Id="rId7" Type="http://schemas.openxmlformats.org/officeDocument/2006/relationships/hyperlink" Target="https://www.sec.gov/Archives/edgar/data/1871638/000187163826000046/a2026-q210xqex321xmunagala.htm" TargetMode="External"/><Relationship Id="rId8" Type="http://schemas.openxmlformats.org/officeDocument/2006/relationships/hyperlink" Target="https://www.sec.gov/Archives/edgar/data/1871638/000187163826000046/a2026-q210xqex322xsehmi.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23498</Words>
  <Characters>127900</Characters>
  <CharactersWithSpaces>149736</CharactersWithSpaces>
  <Paragraphs>2840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