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jc w:val="cente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jc w:val="center"/>
              <w:ind w:right="60"/>
              <w:spacing w:after="0" w:line="256" w:lineRule="exact"/>
              <w:rPr>
                <w:rFonts w:ascii="Arial" w:cs="Arial" w:eastAsia="Arial" w:hAnsi="Arial"/>
                <w:sz w:val="24"/>
                <w:szCs w:val="24"/>
                <w:color w:val="0000EE"/>
                <w:w w:val="89"/>
              </w:rPr>
            </w:pPr>
            <w:hyperlink r:id="rId10">
              <w:r>
                <w:rPr>
                  <w:rFonts w:ascii="Arial" w:cs="Arial" w:eastAsia="Arial" w:hAnsi="Arial"/>
                  <w:sz w:val="24"/>
                  <w:szCs w:val="24"/>
                  <w:color w:val="0000EE"/>
                  <w:w w:val="89"/>
                </w:rPr>
                <w:t>Schroeder Christopher Scott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BurTech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BRKHU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BURTECH ACQUISITION CORP.,</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1300 PENNSYLVANIA AVENUE, NW, SUITE 700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WASHINGTON DC</w:t>
            </w:r>
          </w:p>
        </w:tc>
        <w:tc>
          <w:tcPr>
            <w:tcW w:w="780" w:type="dxa"/>
            <w:vAlign w:val="bottom"/>
          </w:tcPr>
          <w:p>
            <w:pPr>
              <w:jc w:val="right"/>
              <w:spacing w:after="0"/>
              <w:rPr>
                <w:sz w:val="20"/>
                <w:szCs w:val="20"/>
                <w:color w:val="auto"/>
              </w:rPr>
            </w:pPr>
            <w:r>
              <w:rPr>
                <w:rFonts w:ascii="Arial" w:cs="Arial" w:eastAsia="Arial" w:hAnsi="Arial"/>
                <w:sz w:val="20"/>
                <w:szCs w:val="20"/>
                <w:color w:val="0000FF"/>
              </w:rPr>
              <w:t>20004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03"/>
        <w:spacing w:after="0"/>
        <w:rPr>
          <w:sz w:val="20"/>
          <w:szCs w:val="20"/>
          <w:color w:val="auto"/>
        </w:rPr>
      </w:pPr>
      <w:r>
        <w:rPr>
          <w:rFonts w:ascii="Arial" w:cs="Arial" w:eastAsia="Arial" w:hAnsi="Arial"/>
          <w:sz w:val="20"/>
          <w:szCs w:val="20"/>
          <w:color w:val="0000FF"/>
        </w:rPr>
        <w:t>Chief Marketing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spacing w:after="0" w:line="359" w:lineRule="exact"/>
              <w:rPr>
                <w:sz w:val="20"/>
                <w:szCs w:val="20"/>
                <w:color w:val="auto"/>
              </w:rPr>
            </w:pPr>
            <w:r>
              <w:rPr>
                <w:rFonts w:ascii="Arial" w:cs="Arial" w:eastAsia="Arial" w:hAnsi="Arial"/>
                <w:sz w:val="39"/>
                <w:szCs w:val="39"/>
                <w:color w:val="0000FF"/>
                <w:w w:val="78"/>
                <w:vertAlign w:val="subscript"/>
              </w:rPr>
              <w:t>0</w:t>
            </w:r>
            <w:r>
              <w:rPr>
                <w:rFonts w:ascii="Arial" w:cs="Arial" w:eastAsia="Arial" w:hAnsi="Arial"/>
                <w:sz w:val="13"/>
                <w:szCs w:val="13"/>
                <w:color w:val="008000"/>
                <w:w w:val="78"/>
              </w:rPr>
              <w:t>(1)</w:t>
            </w: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9"/>
              </w:rPr>
              <w:t>See Footnote</w:t>
            </w:r>
            <w:r>
              <w:rPr>
                <w:rFonts w:ascii="Arial" w:cs="Arial" w:eastAsia="Arial" w:hAnsi="Arial"/>
                <w:sz w:val="25"/>
                <w:szCs w:val="25"/>
                <w:color w:val="008000"/>
                <w:w w:val="89"/>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2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(2)</w:t>
            </w:r>
          </w:p>
        </w:tc>
        <w:tc>
          <w:tcPr>
            <w:tcW w:w="176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740" w:type="dxa"/>
            <w:vAlign w:val="bottom"/>
            <w:vMerge w:val="restart"/>
          </w:tcPr>
          <w:p>
            <w:pPr>
              <w:ind w:left="320"/>
              <w:spacing w:after="0"/>
              <w:rPr>
                <w:sz w:val="20"/>
                <w:szCs w:val="20"/>
                <w:color w:val="auto"/>
              </w:rPr>
            </w:pPr>
            <w:r>
              <w:rPr>
                <w:rFonts w:ascii="Arial" w:cs="Arial" w:eastAsia="Arial" w:hAnsi="Arial"/>
                <w:sz w:val="39"/>
                <w:szCs w:val="39"/>
                <w:color w:val="0000FF"/>
                <w:vertAlign w:val="subscript"/>
              </w:rPr>
              <w:t>0</w:t>
            </w:r>
            <w:r>
              <w:rPr>
                <w:rFonts w:ascii="Arial" w:cs="Arial" w:eastAsia="Arial" w:hAnsi="Arial"/>
                <w:sz w:val="13"/>
                <w:szCs w:val="13"/>
                <w:color w:val="008000"/>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00" w:type="dxa"/>
            <w:vAlign w:val="bottom"/>
            <w:gridSpan w:val="2"/>
            <w:vMerge w:val="restart"/>
          </w:tcPr>
          <w:p>
            <w:pPr>
              <w:ind w:left="8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804,500 shares of Class A common stock of the issuer held by the Sponsor included in the Placement Units as described in the issuer's registration statement on Form S-1 (File No. 333-258914) under the heading "Description of Securities".</w:t>
      </w:r>
    </w:p>
    <w:p>
      <w:pPr>
        <w:spacing w:after="0" w:line="26"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the common stock held by BurTech LP, LLC (the "Sponsor"), acquired pursuant to a private placement by and between the Sponsor and the registrant. The common stock owned by the Sponsor includes up to 1,237,500 shares that are subject to forfeiture in the event the underwriters of the initial public offering of the registrant's securities do not exercise in full their over-allotment option as described in the registrant's registration statement.</w:t>
      </w:r>
    </w:p>
    <w:p>
      <w:pPr>
        <w:spacing w:after="0" w:line="35" w:lineRule="exact"/>
        <w:rPr>
          <w:rFonts w:ascii="Arial" w:cs="Arial" w:eastAsia="Arial" w:hAnsi="Arial"/>
          <w:sz w:val="15"/>
          <w:szCs w:val="15"/>
          <w:color w:val="008000"/>
        </w:rPr>
      </w:pPr>
    </w:p>
    <w:p>
      <w:pPr>
        <w:ind w:left="40" w:right="1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directly or indirectly, a member of our sponsor or has direct or indirect economic interests in our sponsor, and may be deemed to have beneficial ownership of the securities held directly by the Sponsor, and disclaims any beneficial ownership of the reported securities other than to the extent of any pecuniary interest he may have therein, directly or indirectly.</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Arial" w:cs="Arial" w:eastAsia="Arial" w:hAnsi="Arial"/>
                <w:sz w:val="20"/>
                <w:szCs w:val="20"/>
                <w:color w:val="0000FF"/>
                <w:w w:val="90"/>
              </w:rPr>
              <w:t>/s/ Christopher Schroeder  12/16/2021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00" w:type="dxa"/>
            <w:vAlign w:val="bottom"/>
          </w:tcPr>
          <w:p>
            <w:pPr>
              <w:spacing w:after="0"/>
              <w:rPr>
                <w:sz w:val="21"/>
                <w:szCs w:val="21"/>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2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9877"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2021-12-16T16:29:56Z</dcterms:created>
  <dcterms:modified xsi:type="dcterms:W3CDTF">2021-12-16T16:29:56Z</dcterms:modified>
</cp:coreProperties>
</file>