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BurTech Acquisition Corp</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040"/>
        <w:spacing w:after="0"/>
        <w:rPr>
          <w:sz w:val="20"/>
          <w:szCs w:val="20"/>
          <w:color w:val="auto"/>
        </w:rPr>
      </w:pPr>
      <w:r>
        <w:rPr>
          <w:rFonts w:ascii="Arial" w:cs="Arial" w:eastAsia="Arial" w:hAnsi="Arial"/>
          <w:sz w:val="22"/>
          <w:szCs w:val="22"/>
          <w:b w:val="1"/>
          <w:bCs w:val="1"/>
          <w:u w:val="single" w:color="auto"/>
          <w:color w:val="auto"/>
        </w:rPr>
        <w:t>Common Stock, $0.0001 par value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123013203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13,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13d-1(b)</w:t>
      </w:r>
    </w:p>
    <w:p>
      <w:pPr>
        <w:spacing w:after="0" w:line="206" w:lineRule="exact"/>
        <w:rPr>
          <w:sz w:val="24"/>
          <w:szCs w:val="24"/>
          <w:color w:val="auto"/>
        </w:rPr>
      </w:pPr>
    </w:p>
    <w:p>
      <w:pPr>
        <w:jc w:val="both"/>
        <w:ind w:left="660" w:right="898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[_] Rule 13d-1(d)</w:t>
      </w: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60" w:type="dxa"/>
            <w:vAlign w:val="bottom"/>
          </w:tcPr>
          <w:p>
            <w:pPr>
              <w:ind w:left="1440"/>
              <w:spacing w:after="0"/>
              <w:rPr>
                <w:sz w:val="20"/>
                <w:szCs w:val="20"/>
                <w:color w:val="auto"/>
              </w:rPr>
            </w:pPr>
            <w:r>
              <w:rPr>
                <w:rFonts w:ascii="Arial" w:cs="Arial" w:eastAsia="Arial" w:hAnsi="Arial"/>
                <w:sz w:val="22"/>
                <w:szCs w:val="22"/>
                <w:b w:val="1"/>
                <w:bCs w:val="1"/>
                <w:color w:val="auto"/>
              </w:rPr>
              <w:t>SCHEDULE 13G</w:t>
            </w:r>
          </w:p>
        </w:tc>
        <w:tc>
          <w:tcPr>
            <w:tcW w:w="0" w:type="dxa"/>
            <w:vAlign w:val="bottom"/>
          </w:tcPr>
          <w:p>
            <w:pPr>
              <w:spacing w:after="0"/>
              <w:rPr>
                <w:sz w:val="1"/>
                <w:szCs w:val="1"/>
                <w:color w:val="auto"/>
              </w:rPr>
            </w:pPr>
          </w:p>
        </w:tc>
      </w:tr>
      <w:tr>
        <w:trPr>
          <w:trHeight w:val="206"/>
        </w:trPr>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1540" w:type="dxa"/>
            <w:vAlign w:val="bottom"/>
            <w:gridSpan w:val="3"/>
          </w:tcPr>
          <w:p>
            <w:pPr>
              <w:ind w:left="380"/>
              <w:spacing w:after="0"/>
              <w:rPr>
                <w:sz w:val="20"/>
                <w:szCs w:val="20"/>
                <w:color w:val="auto"/>
              </w:rPr>
            </w:pPr>
            <w:r>
              <w:rPr>
                <w:rFonts w:ascii="Arial" w:cs="Arial" w:eastAsia="Arial" w:hAnsi="Arial"/>
                <w:sz w:val="18"/>
                <w:szCs w:val="18"/>
                <w:color w:val="auto"/>
              </w:rPr>
              <w:t>123013203</w:t>
            </w:r>
          </w:p>
        </w:tc>
        <w:tc>
          <w:tcPr>
            <w:tcW w:w="760" w:type="dxa"/>
            <w:vAlign w:val="bottom"/>
            <w:tcBorders>
              <w:right w:val="single" w:sz="8" w:color="auto"/>
            </w:tcBorders>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7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01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01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Saba Capital Management, L.P.</w:t>
            </w: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399"/>
        </w:trPr>
        <w:tc>
          <w:tcPr>
            <w:tcW w:w="10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(a)</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(b)</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rPr>
              <w:t>Sec Use Only</w:t>
            </w:r>
          </w:p>
        </w:tc>
        <w:tc>
          <w:tcPr>
            <w:tcW w:w="760" w:type="dxa"/>
            <w:vAlign w:val="bottom"/>
          </w:tcPr>
          <w:p>
            <w:pPr>
              <w:spacing w:after="0"/>
              <w:rPr>
                <w:sz w:val="19"/>
                <w:szCs w:val="19"/>
                <w:color w:val="auto"/>
              </w:rPr>
            </w:pPr>
          </w:p>
        </w:tc>
        <w:tc>
          <w:tcPr>
            <w:tcW w:w="7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016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14"/>
        </w:trPr>
        <w:tc>
          <w:tcPr>
            <w:tcW w:w="1720" w:type="dxa"/>
            <w:vAlign w:val="bottom"/>
            <w:tcBorders>
              <w:left w:val="single" w:sz="8" w:color="auto"/>
            </w:tcBorders>
            <w:gridSpan w:val="2"/>
            <w:vMerge w:val="restart"/>
          </w:tcPr>
          <w:p>
            <w:pPr>
              <w:jc w:val="center"/>
              <w:ind w:left="210"/>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tcBorders>
            <w:gridSpan w:val="2"/>
            <w:vMerge w:val="continue"/>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3"/>
              </w:rPr>
              <w:t>Shares</w:t>
            </w:r>
          </w:p>
        </w:tc>
        <w:tc>
          <w:tcPr>
            <w:tcW w:w="3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Beneficially</w:t>
            </w:r>
          </w:p>
        </w:tc>
        <w:tc>
          <w:tcPr>
            <w:tcW w:w="34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tcBorders>
            <w:gridSpan w:val="2"/>
          </w:tcPr>
          <w:p>
            <w:pPr>
              <w:jc w:val="center"/>
              <w:ind w:left="21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3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right"/>
              <w:ind w:right="310"/>
              <w:spacing w:after="0" w:line="177" w:lineRule="exact"/>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8"/>
              </w:rPr>
              <w:t>Reporting Person</w:t>
            </w:r>
          </w:p>
        </w:tc>
        <w:tc>
          <w:tcPr>
            <w:tcW w:w="3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Aggregate Amount</w:t>
            </w:r>
          </w:p>
        </w:tc>
        <w:tc>
          <w:tcPr>
            <w:tcW w:w="86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Beneficially Owned by Each Reporting Person</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 IA</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percentages used herein are calculated based upon 30,079,500 shares of common stock outstanding as of December 10, 2021, as disclosed in the company's 8-K filed December 16,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0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1540" w:type="dxa"/>
            <w:vAlign w:val="bottom"/>
            <w:tcBorders>
              <w:top w:val="single" w:sz="8" w:color="auto"/>
            </w:tcBorders>
            <w:gridSpan w:val="3"/>
          </w:tcPr>
          <w:p>
            <w:pPr>
              <w:ind w:left="380"/>
              <w:spacing w:after="0"/>
              <w:rPr>
                <w:sz w:val="20"/>
                <w:szCs w:val="20"/>
                <w:color w:val="auto"/>
              </w:rPr>
            </w:pPr>
            <w:r>
              <w:rPr>
                <w:rFonts w:ascii="Arial" w:cs="Arial" w:eastAsia="Arial" w:hAnsi="Arial"/>
                <w:sz w:val="18"/>
                <w:szCs w:val="18"/>
                <w:color w:val="auto"/>
              </w:rPr>
              <w:t>123013203</w:t>
            </w:r>
          </w:p>
        </w:tc>
        <w:tc>
          <w:tcPr>
            <w:tcW w:w="760" w:type="dxa"/>
            <w:vAlign w:val="bottom"/>
            <w:tcBorders>
              <w:top w:val="single" w:sz="8" w:color="auto"/>
              <w:right w:val="single" w:sz="8" w:color="auto"/>
            </w:tcBorders>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7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01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5"/>
              </w:rPr>
              <w:t>Boaz R. Weinstein</w:t>
            </w: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399"/>
        </w:trPr>
        <w:tc>
          <w:tcPr>
            <w:tcW w:w="10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(a)</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(b)</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rPr>
              <w:t>Sec Use Only</w:t>
            </w:r>
          </w:p>
        </w:tc>
        <w:tc>
          <w:tcPr>
            <w:tcW w:w="760" w:type="dxa"/>
            <w:vAlign w:val="bottom"/>
          </w:tcPr>
          <w:p>
            <w:pPr>
              <w:spacing w:after="0"/>
              <w:rPr>
                <w:sz w:val="19"/>
                <w:szCs w:val="19"/>
                <w:color w:val="auto"/>
              </w:rPr>
            </w:pPr>
          </w:p>
        </w:tc>
        <w:tc>
          <w:tcPr>
            <w:tcW w:w="7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016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14"/>
        </w:trPr>
        <w:tc>
          <w:tcPr>
            <w:tcW w:w="1720" w:type="dxa"/>
            <w:vAlign w:val="bottom"/>
            <w:tcBorders>
              <w:left w:val="single" w:sz="8" w:color="auto"/>
            </w:tcBorders>
            <w:gridSpan w:val="2"/>
            <w:vMerge w:val="restart"/>
          </w:tcPr>
          <w:p>
            <w:pPr>
              <w:jc w:val="center"/>
              <w:ind w:left="210"/>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tcBorders>
            <w:gridSpan w:val="2"/>
            <w:vMerge w:val="continue"/>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3"/>
              </w:rPr>
              <w:t>Shares</w:t>
            </w:r>
          </w:p>
        </w:tc>
        <w:tc>
          <w:tcPr>
            <w:tcW w:w="3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Beneficially</w:t>
            </w:r>
          </w:p>
        </w:tc>
        <w:tc>
          <w:tcPr>
            <w:tcW w:w="34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tcBorders>
            <w:gridSpan w:val="2"/>
          </w:tcPr>
          <w:p>
            <w:pPr>
              <w:jc w:val="center"/>
              <w:ind w:left="21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3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8"/>
              </w:rPr>
              <w:t>Reporting Person</w:t>
            </w:r>
          </w:p>
        </w:tc>
        <w:tc>
          <w:tcPr>
            <w:tcW w:w="3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2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Aggregate Amount</w:t>
            </w:r>
          </w:p>
        </w:tc>
        <w:tc>
          <w:tcPr>
            <w:tcW w:w="86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Beneficially Owned by Each Reporting Person</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101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1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percentages used herein are calculated based upon 30,079,500 shares of common stock outstanding as of December 10, 2021, as disclosed in the company's 8-K filed December 16,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4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106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8"/>
              </w:rPr>
              <w:t>123013203</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4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7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Saba Capital Management GP, LLC</w:t>
            </w: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399"/>
        </w:trPr>
        <w:tc>
          <w:tcPr>
            <w:tcW w:w="1440" w:type="dxa"/>
            <w:vAlign w:val="bottom"/>
            <w:tcBorders>
              <w:lef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 ]</w:t>
            </w: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8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 ]</w:t>
            </w: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19"/>
                <w:szCs w:val="19"/>
                <w:color w:val="auto"/>
              </w:rPr>
            </w:pP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tcBorders>
            <w:vMerge w:val="restart"/>
          </w:tcPr>
          <w:p>
            <w:pPr>
              <w:jc w:val="center"/>
              <w:ind w:left="490"/>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6"/>
                <w:szCs w:val="16"/>
                <w:color w:val="auto"/>
              </w:rPr>
            </w:pPr>
          </w:p>
        </w:tc>
        <w:tc>
          <w:tcPr>
            <w:tcW w:w="86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Borders>
              <w:lef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tcBorders>
            <w:gridSpan w:val="2"/>
          </w:tcPr>
          <w:p>
            <w:pPr>
              <w:jc w:val="center"/>
              <w:ind w:left="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200" w:type="dxa"/>
            <w:vAlign w:val="bottom"/>
            <w:tcBorders>
              <w:right w:val="single" w:sz="8" w:color="auto"/>
            </w:tcBorders>
          </w:tcPr>
          <w:p>
            <w:pPr>
              <w:spacing w:after="0"/>
              <w:rPr>
                <w:sz w:val="15"/>
                <w:szCs w:val="15"/>
                <w:color w:val="auto"/>
              </w:rPr>
            </w:pPr>
          </w:p>
        </w:tc>
        <w:tc>
          <w:tcPr>
            <w:tcW w:w="44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7</w:t>
            </w:r>
          </w:p>
        </w:tc>
        <w:tc>
          <w:tcPr>
            <w:tcW w:w="120" w:type="dxa"/>
            <w:vAlign w:val="bottom"/>
            <w:tcBorders>
              <w:right w:val="single" w:sz="8" w:color="auto"/>
            </w:tcBorders>
          </w:tcPr>
          <w:p>
            <w:pPr>
              <w:spacing w:after="0"/>
              <w:rPr>
                <w:sz w:val="15"/>
                <w:szCs w:val="15"/>
                <w:color w:val="auto"/>
              </w:rPr>
            </w:pPr>
          </w:p>
        </w:tc>
        <w:tc>
          <w:tcPr>
            <w:tcW w:w="8620" w:type="dxa"/>
            <w:vAlign w:val="bottom"/>
            <w:tcBorders>
              <w:right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8"/>
              </w:rPr>
              <w:t>Reporting Person</w:t>
            </w:r>
          </w:p>
        </w:tc>
        <w:tc>
          <w:tcPr>
            <w:tcW w:w="2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4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right w:val="single" w:sz="8" w:color="auto"/>
            </w:tcBorders>
          </w:tcPr>
          <w:p>
            <w:pPr>
              <w:spacing w:after="0"/>
              <w:rPr>
                <w:sz w:val="19"/>
                <w:szCs w:val="19"/>
                <w:color w:val="auto"/>
              </w:rPr>
            </w:pPr>
          </w:p>
        </w:tc>
        <w:tc>
          <w:tcPr>
            <w:tcW w:w="86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1,677,700</w:t>
            </w: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420" w:type="dxa"/>
            <w:vAlign w:val="bottom"/>
            <w:tcBorders>
              <w:right w:val="single" w:sz="8" w:color="auto"/>
            </w:tcBorders>
          </w:tcPr>
          <w:p>
            <w:pPr>
              <w:spacing w:after="0"/>
              <w:rPr>
                <w:sz w:val="19"/>
                <w:szCs w:val="19"/>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b w:val="1"/>
                <w:bCs w:val="1"/>
                <w:color w:val="auto"/>
                <w:w w:val="71"/>
              </w:rPr>
              <w:t>Aggregate</w:t>
            </w:r>
          </w:p>
        </w:tc>
        <w:tc>
          <w:tcPr>
            <w:tcW w:w="86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1,677,700</w:t>
            </w: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420" w:type="dxa"/>
            <w:vAlign w:val="bottom"/>
            <w:tcBorders>
              <w:right w:val="single" w:sz="8" w:color="auto"/>
            </w:tcBorders>
          </w:tcPr>
          <w:p>
            <w:pPr>
              <w:spacing w:after="0"/>
              <w:rPr>
                <w:sz w:val="19"/>
                <w:szCs w:val="19"/>
                <w:color w:val="auto"/>
              </w:rPr>
            </w:pPr>
          </w:p>
        </w:tc>
        <w:tc>
          <w:tcPr>
            <w:tcW w:w="93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14"/>
        </w:trPr>
        <w:tc>
          <w:tcPr>
            <w:tcW w:w="1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percentages used herein are calculated based upon 30,079,500 shares of common stock outstanding as of December 10, 2021, as disclosed in the company's 8-K filed December 16,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BurTech Acquisition Corp</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Address of Issuer's Principal Executive Offices</w:t>
      </w:r>
      <w:r>
        <w:rPr>
          <w:rFonts w:ascii="Arial" w:cs="Arial" w:eastAsia="Arial" w:hAnsi="Arial"/>
          <w:sz w:val="21"/>
          <w:szCs w:val="21"/>
          <w:color w:val="auto"/>
        </w:rPr>
        <w:t>: 1300 Pennsylvania Ave Nw, Ste 700, Washington, DC 20004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jc w:val="both"/>
        <w:ind w:left="660" w:hanging="328"/>
        <w:spacing w:after="0" w:line="276" w:lineRule="auto"/>
        <w:tabs>
          <w:tab w:leader="none" w:pos="680" w:val="left"/>
        </w:tabs>
        <w:numPr>
          <w:ilvl w:val="1"/>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Saba Capital Management, L.P., a Delaware limited partnership ("Saba Capital"), Saba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GP, LLC, a Delaware limited liability company ("Saba GP"), and Mr. Boaz R. Weinstein (together, the "Reporting Persons"). The Reporting Persons have entered into a Joint Filing Agreement, dated December 23 2021,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 The filing of this statement should not be construed as an admission that any of the forgoing persons or the Reporting Persons is, for the purposes of Section 13 of the Act, the beneficial owner of the Common Stock reported herein.</w:t>
      </w:r>
    </w:p>
    <w:p>
      <w:pPr>
        <w:spacing w:after="0" w:line="149" w:lineRule="exact"/>
        <w:rPr>
          <w:rFonts w:ascii="Arial" w:cs="Arial" w:eastAsia="Arial" w:hAnsi="Arial"/>
          <w:sz w:val="19"/>
          <w:szCs w:val="19"/>
          <w:color w:val="auto"/>
        </w:rPr>
      </w:pPr>
    </w:p>
    <w:p>
      <w:pPr>
        <w:ind w:left="660" w:right="20" w:hanging="652"/>
        <w:spacing w:after="0" w:line="256" w:lineRule="auto"/>
        <w:tabs>
          <w:tab w:leader="none" w:pos="691"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The address of the business office of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Reporting Persons is 405 Lexington Avenue, 58th Floor, New York, New York 10174.</w:t>
      </w:r>
    </w:p>
    <w:p>
      <w:pPr>
        <w:spacing w:after="0" w:line="162" w:lineRule="exact"/>
        <w:rPr>
          <w:rFonts w:ascii="Arial" w:cs="Arial" w:eastAsia="Arial" w:hAnsi="Arial"/>
          <w:sz w:val="22"/>
          <w:szCs w:val="22"/>
          <w:b w:val="1"/>
          <w:bCs w:val="1"/>
          <w:color w:val="auto"/>
        </w:rPr>
      </w:pPr>
    </w:p>
    <w:p>
      <w:pPr>
        <w:jc w:val="both"/>
        <w:ind w:left="660" w:hanging="652"/>
        <w:spacing w:after="0" w:line="243" w:lineRule="auto"/>
        <w:tabs>
          <w:tab w:leader="none" w:pos="689"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w:t>
      </w:r>
      <w:r>
        <w:rPr>
          <w:rFonts w:ascii="Arial" w:cs="Arial" w:eastAsia="Arial" w:hAnsi="Arial"/>
          <w:sz w:val="22"/>
          <w:szCs w:val="22"/>
          <w:color w:val="auto"/>
        </w:rPr>
        <w:t>Saba Capital is organized as a limited partnership under the laws of the State of Delaware. Saba GP is</w:t>
      </w:r>
      <w:r>
        <w:rPr>
          <w:rFonts w:ascii="Arial" w:cs="Arial" w:eastAsia="Arial" w:hAnsi="Arial"/>
          <w:sz w:val="22"/>
          <w:szCs w:val="22"/>
          <w:b w:val="1"/>
          <w:bCs w:val="1"/>
          <w:color w:val="auto"/>
        </w:rPr>
        <w:t xml:space="preserve"> </w:t>
      </w:r>
      <w:r>
        <w:rPr>
          <w:rFonts w:ascii="Arial" w:cs="Arial" w:eastAsia="Arial" w:hAnsi="Arial"/>
          <w:sz w:val="22"/>
          <w:szCs w:val="22"/>
          <w:color w:val="auto"/>
        </w:rPr>
        <w:t>organized as a limited liability company under the laws of the State of Delaware. Mr. Weinstein is a citizen of the United States.</w:t>
      </w:r>
    </w:p>
    <w:p>
      <w:pPr>
        <w:spacing w:after="0" w:line="176" w:lineRule="exact"/>
        <w:rPr>
          <w:rFonts w:ascii="Arial" w:cs="Arial" w:eastAsia="Arial" w:hAnsi="Arial"/>
          <w:sz w:val="22"/>
          <w:szCs w:val="22"/>
          <w:b w:val="1"/>
          <w:bCs w:val="1"/>
          <w:color w:val="auto"/>
        </w:rPr>
      </w:pPr>
    </w:p>
    <w:p>
      <w:pPr>
        <w:ind w:left="680" w:hanging="348"/>
        <w:spacing w:after="0"/>
        <w:tabs>
          <w:tab w:leader="none" w:pos="680"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 and Class of Securities: </w:t>
      </w:r>
      <w:r>
        <w:rPr>
          <w:rFonts w:ascii="Arial" w:cs="Arial" w:eastAsia="Arial" w:hAnsi="Arial"/>
          <w:sz w:val="22"/>
          <w:szCs w:val="22"/>
          <w:color w:val="auto"/>
        </w:rPr>
        <w:t>Common stock, $0.0001 Par Value (the "Common Stock").</w:t>
      </w:r>
    </w:p>
    <w:p>
      <w:pPr>
        <w:spacing w:after="0" w:line="206" w:lineRule="exact"/>
        <w:rPr>
          <w:rFonts w:ascii="Arial" w:cs="Arial" w:eastAsia="Arial" w:hAnsi="Arial"/>
          <w:sz w:val="22"/>
          <w:szCs w:val="22"/>
          <w:b w:val="1"/>
          <w:bCs w:val="1"/>
          <w:color w:val="auto"/>
        </w:rPr>
      </w:pPr>
    </w:p>
    <w:p>
      <w:pPr>
        <w:ind w:left="680" w:hanging="348"/>
        <w:spacing w:after="0"/>
        <w:tabs>
          <w:tab w:leader="none" w:pos="680"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123013203</w:t>
      </w:r>
    </w:p>
    <w:p>
      <w:pPr>
        <w:spacing w:after="0" w:line="206"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2020" w:right="140" w:hanging="1364"/>
        <w:spacing w:after="0" w:line="455" w:lineRule="auto"/>
        <w:tabs>
          <w:tab w:leader="none" w:pos="-1790" w:val="left"/>
        </w:tabs>
        <w:numPr>
          <w:ilvl w:val="0"/>
          <w:numId w:val="5"/>
        </w:numPr>
        <w:rPr>
          <w:rFonts w:ascii="Arial" w:cs="Arial" w:eastAsia="Arial" w:hAnsi="Arial"/>
          <w:sz w:val="22"/>
          <w:szCs w:val="22"/>
          <w:color w:val="auto"/>
        </w:rPr>
      </w:pPr>
      <w:r>
        <w:rPr>
          <w:rFonts w:ascii="Arial" w:cs="Arial" w:eastAsia="Arial" w:hAnsi="Arial"/>
          <w:sz w:val="22"/>
          <w:szCs w:val="22"/>
          <w:color w:val="auto"/>
        </w:rPr>
        <w:t>[_]A savings associations as defined in Section 3(b) of the Federal Deposit Insurance Act (12 U.S.C. 1813); 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1960" w:hanging="1304"/>
        <w:spacing w:after="0" w:line="251" w:lineRule="auto"/>
        <w:tabs>
          <w:tab w:leader="none" w:pos="1329" w:val="left"/>
        </w:tabs>
        <w:numPr>
          <w:ilvl w:val="0"/>
          <w:numId w:val="6"/>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3" w:lineRule="exact"/>
        <w:rPr>
          <w:rFonts w:ascii="Arial" w:cs="Arial" w:eastAsia="Arial" w:hAnsi="Arial"/>
          <w:sz w:val="22"/>
          <w:szCs w:val="22"/>
          <w:color w:val="auto"/>
        </w:rPr>
      </w:pPr>
    </w:p>
    <w:p>
      <w:pPr>
        <w:ind w:left="1320" w:hanging="664"/>
        <w:spacing w:after="0"/>
        <w:tabs>
          <w:tab w:leader="none" w:pos="1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hanging="1304"/>
        <w:spacing w:after="0" w:line="250" w:lineRule="auto"/>
        <w:tabs>
          <w:tab w:leader="none" w:pos="1333" w:val="left"/>
        </w:tabs>
        <w:numPr>
          <w:ilvl w:val="0"/>
          <w:numId w:val="6"/>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6" w:lineRule="exact"/>
        <w:rPr>
          <w:sz w:val="20"/>
          <w:szCs w:val="20"/>
          <w:color w:val="auto"/>
        </w:rPr>
      </w:pPr>
    </w:p>
    <w:p>
      <w:pPr>
        <w:ind w:left="660" w:hanging="652"/>
        <w:spacing w:after="0" w:line="334" w:lineRule="auto"/>
        <w:tabs>
          <w:tab w:leader="none" w:pos="681"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Amount Beneficially Owned: </w:t>
      </w:r>
      <w:r>
        <w:rPr>
          <w:rFonts w:ascii="Arial" w:cs="Arial" w:eastAsia="Arial" w:hAnsi="Arial"/>
          <w:sz w:val="19"/>
          <w:szCs w:val="19"/>
          <w:color w:val="auto"/>
        </w:rPr>
        <w:t>The information required by Items 4(a) - (c) is set forth in Rows (5) - (11) of the cover</w:t>
      </w:r>
      <w:r>
        <w:rPr>
          <w:rFonts w:ascii="Arial" w:cs="Arial" w:eastAsia="Arial" w:hAnsi="Arial"/>
          <w:sz w:val="19"/>
          <w:szCs w:val="19"/>
          <w:b w:val="1"/>
          <w:bCs w:val="1"/>
          <w:color w:val="auto"/>
        </w:rPr>
        <w:t xml:space="preserve"> </w:t>
      </w:r>
      <w:r>
        <w:rPr>
          <w:rFonts w:ascii="Arial" w:cs="Arial" w:eastAsia="Arial" w:hAnsi="Arial"/>
          <w:sz w:val="19"/>
          <w:szCs w:val="19"/>
          <w:color w:val="auto"/>
        </w:rPr>
        <w:t>page for each Reporting Person hereto and is incorporated herein by reference for each such Reporting Person.</w:t>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 N/A</w:t>
      </w:r>
    </w:p>
    <w:p>
      <w:pPr>
        <w:spacing w:after="0" w:line="206" w:lineRule="exact"/>
        <w:rPr>
          <w:sz w:val="20"/>
          <w:szCs w:val="20"/>
          <w:color w:val="auto"/>
        </w:rPr>
      </w:pPr>
    </w:p>
    <w:p>
      <w:pPr>
        <w:ind w:left="980" w:hanging="971"/>
        <w:spacing w:after="0" w:line="280" w:lineRule="auto"/>
        <w:tabs>
          <w:tab w:leader="none" w:pos="9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 xml:space="preserve">Ownership of more than Five Percent on Behalf of Another Person. </w:t>
      </w:r>
      <w:r>
        <w:rPr>
          <w:rFonts w:ascii="Arial" w:cs="Arial" w:eastAsia="Arial" w:hAnsi="Arial"/>
          <w:sz w:val="21"/>
          <w:szCs w:val="21"/>
          <w:color w:val="auto"/>
        </w:rPr>
        <w:t>The funds and accounts advised by Saba</w:t>
      </w:r>
      <w:r>
        <w:rPr>
          <w:rFonts w:ascii="Arial" w:cs="Arial" w:eastAsia="Arial" w:hAnsi="Arial"/>
          <w:sz w:val="21"/>
          <w:szCs w:val="21"/>
          <w:b w:val="1"/>
          <w:bCs w:val="1"/>
          <w:color w:val="auto"/>
        </w:rPr>
        <w:t xml:space="preserve"> </w:t>
      </w:r>
      <w:r>
        <w:rPr>
          <w:rFonts w:ascii="Arial" w:cs="Arial" w:eastAsia="Arial" w:hAnsi="Arial"/>
          <w:sz w:val="21"/>
          <w:szCs w:val="21"/>
          <w:color w:val="auto"/>
        </w:rPr>
        <w:t>Capital have the right to receive the dividends from and proceeds of sales from the Common Stock.</w:t>
      </w:r>
    </w:p>
    <w:p>
      <w:pPr>
        <w:spacing w:after="0" w:line="139" w:lineRule="exact"/>
        <w:rPr>
          <w:sz w:val="20"/>
          <w:szCs w:val="20"/>
          <w:color w:val="auto"/>
        </w:rPr>
      </w:pPr>
    </w:p>
    <w:p>
      <w:pPr>
        <w:ind w:left="980" w:right="2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 N/A</w:t>
      </w:r>
    </w:p>
    <w:p>
      <w:pPr>
        <w:spacing w:after="0" w:line="162" w:lineRule="exact"/>
        <w:rPr>
          <w:sz w:val="20"/>
          <w:szCs w:val="20"/>
          <w:color w:val="auto"/>
        </w:rPr>
      </w:pPr>
    </w:p>
    <w:p>
      <w:pPr>
        <w:ind w:right="4480"/>
        <w:spacing w:after="0" w:line="437" w:lineRule="auto"/>
        <w:rPr>
          <w:sz w:val="20"/>
          <w:szCs w:val="20"/>
          <w:color w:val="auto"/>
        </w:rPr>
      </w:pPr>
      <w:r>
        <w:rPr>
          <w:rFonts w:ascii="Arial" w:cs="Arial" w:eastAsia="Arial" w:hAnsi="Arial"/>
          <w:sz w:val="22"/>
          <w:szCs w:val="22"/>
          <w:b w:val="1"/>
          <w:bCs w:val="1"/>
          <w:color w:val="auto"/>
        </w:rPr>
        <w:t>Item 8. Identification and classification of members of the group. N/A Item 9. Notice of Dissolution of Group. N/A Item 10. Certifications.</w:t>
      </w:r>
    </w:p>
    <w:p>
      <w:pPr>
        <w:spacing w:after="0" w:line="1" w:lineRule="exact"/>
        <w:rPr>
          <w:sz w:val="20"/>
          <w:szCs w:val="20"/>
          <w:color w:val="auto"/>
        </w:rPr>
      </w:pPr>
    </w:p>
    <w:p>
      <w:pPr>
        <w:jc w:val="both"/>
        <w:ind w:left="960"/>
        <w:spacing w:after="0" w:line="238" w:lineRule="auto"/>
        <w:rPr>
          <w:sz w:val="20"/>
          <w:szCs w:val="20"/>
          <w:color w:val="auto"/>
        </w:rPr>
      </w:pPr>
      <w:r>
        <w:rPr>
          <w:rFonts w:ascii="Arial" w:cs="Arial" w:eastAsia="Arial" w:hAnsi="Arial"/>
          <w:sz w:val="22"/>
          <w:szCs w:val="22"/>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23,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r>
        <w:rPr>
          <w:rFonts w:ascii="Arial" w:cs="Arial" w:eastAsia="Arial" w:hAnsi="Arial"/>
          <w:sz w:val="22"/>
          <w:szCs w:val="22"/>
          <w:i w:val="1"/>
          <w:iCs w:val="1"/>
          <w:color w:val="auto"/>
        </w:rPr>
        <w:t xml:space="preserve"> </w:t>
      </w:r>
      <w:r>
        <w:rPr>
          <w:rFonts w:ascii="Arial" w:cs="Arial" w:eastAsia="Arial" w:hAnsi="Arial"/>
          <w:sz w:val="22"/>
          <w:szCs w:val="22"/>
          <w:color w:val="auto"/>
        </w:rPr>
        <w:t>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Boaz R. Weinstein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Attorney-in-fact***</w:t>
      </w:r>
    </w:p>
    <w:p>
      <w:pPr>
        <w:spacing w:after="0" w:line="206" w:lineRule="exact"/>
        <w:rPr>
          <w:sz w:val="20"/>
          <w:szCs w:val="20"/>
          <w:color w:val="auto"/>
        </w:rPr>
      </w:pPr>
    </w:p>
    <w:p>
      <w:pPr>
        <w:ind w:left="5140" w:right="5120" w:hanging="5132"/>
        <w:spacing w:after="0" w:line="565" w:lineRule="auto"/>
        <w:tabs>
          <w:tab w:leader="none" w:pos="391" w:val="left"/>
        </w:tabs>
        <w:numPr>
          <w:ilvl w:val="0"/>
          <w:numId w:val="8"/>
        </w:numPr>
        <w:rPr>
          <w:rFonts w:ascii="Arial" w:cs="Arial" w:eastAsia="Arial" w:hAnsi="Arial"/>
          <w:sz w:val="19"/>
          <w:szCs w:val="19"/>
          <w:color w:val="auto"/>
        </w:rPr>
      </w:pPr>
      <w:r>
        <w:rPr>
          <w:rFonts w:ascii="Arial" w:cs="Arial" w:eastAsia="Arial" w:hAnsi="Arial"/>
          <w:sz w:val="19"/>
          <w:szCs w:val="19"/>
          <w:color w:val="auto"/>
        </w:rPr>
        <w:t>Pursuant to a Power of Attorney dated as of November 16, 2015 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auto"/>
        </w:rPr>
        <w:t>EXHIBIT 1</w:t>
      </w:r>
    </w:p>
    <w:p>
      <w:pPr>
        <w:jc w:val="center"/>
        <w:spacing w:after="0" w:line="238" w:lineRule="auto"/>
        <w:rPr>
          <w:sz w:val="20"/>
          <w:szCs w:val="20"/>
          <w:color w:val="auto"/>
        </w:rPr>
      </w:pPr>
      <w:r>
        <w:rPr>
          <w:rFonts w:ascii="Arial" w:cs="Arial" w:eastAsia="Arial" w:hAnsi="Arial"/>
          <w:sz w:val="22"/>
          <w:szCs w:val="22"/>
          <w:b w:val="1"/>
          <w:bCs w:val="1"/>
          <w:color w:val="auto"/>
        </w:rPr>
        <w:t>JOINT FILING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13d-1(k)</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23,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SABA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D'Angelo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SABA CAPITAL MANAGEMENT GP,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D'Angelo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BOAZ R. WEINSTEIN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2"/>
    </w:lvl>
    <w:lvl w:ilvl="1">
      <w:lvlJc w:val="left"/>
      <w:lvlText w:val="(%2)"/>
      <w:numFmt w:val="lowerLetter"/>
      <w:start w:val="4"/>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2021-12-23T15:05:17Z</dcterms:created>
  <dcterms:modified xsi:type="dcterms:W3CDTF">2021-12-23T15:05:17Z</dcterms:modified>
</cp:coreProperties>
</file>