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-240665</wp:posOffset>
            </wp:positionV>
            <wp:extent cx="114300" cy="114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208280</wp:posOffset>
            </wp:positionV>
            <wp:extent cx="114300" cy="114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34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3776980</wp:posOffset>
            </wp:positionH>
            <wp:positionV relativeFrom="paragraph">
              <wp:posOffset>-744855</wp:posOffset>
            </wp:positionV>
            <wp:extent cx="12909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664210</wp:posOffset>
            </wp:positionV>
            <wp:extent cx="6732905" cy="4255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425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240" w:space="320"/>
            <w:col w:w="8000"/>
          </w:cols>
          <w:pgMar w:left="660" w:top="556" w:right="680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 xml:space="preserve">1. Name and Address of Reporting Person 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>de Urioste George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Blaize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BZAI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12/03/2025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(First)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BLAIZE HOLDINGS,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4659 GOLDEN FOOTHILL PARKWAY, SUITE 206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EL DORADO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95762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HILLS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EEEEEE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760" w:type="dxa"/>
            <w:vAlign w:val="bottom"/>
            <w:gridSpan w:val="18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12/03/2025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75,258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169,619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3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 Derivative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80" w:lineRule="auto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an award of restricted stock units granted at the Issuer's 2025 Annual Meeting under the Non-Employee Director Compensation Program, which vest at the ealier of one year or the Issuer's next Annual Meeting.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6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Harminder Sehmi, as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7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5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16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2025-12-05T16:13:28Z</dcterms:created>
  <dcterms:modified xsi:type="dcterms:W3CDTF">2025-12-05T16:13:28Z</dcterms:modified>
</cp:coreProperties>
</file>