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SEC File No. 333-284365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323215</wp:posOffset>
            </wp:positionV>
            <wp:extent cx="2940050" cy="994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0050" cy="994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89,550,141 Shares of Common Stock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898,250 Warrants to Purchase Shares of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29,698,250 Shares of Common Stock Issuable Upon Exercise of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February 13, 2025 (as supplemented or amended from time to time, the “Prospectus”), which forms a part of our Registration Statement on Form S-1 (Registration No. 333-284365). Capitalized terms used in this prospectus supplement and not otherwise defined herein have the meanings specified in the Prospectus.</w:t>
      </w:r>
    </w:p>
    <w:p>
      <w:pPr>
        <w:spacing w:after="0" w:line="176" w:lineRule="exact"/>
        <w:rPr>
          <w:sz w:val="24"/>
          <w:szCs w:val="24"/>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information contained in our Quarterly Report on Form 10-Q filed with the SEC on November 13, 2025, which is set forth below.</w:t>
      </w:r>
    </w:p>
    <w:p>
      <w:pPr>
        <w:spacing w:after="0" w:line="162" w:lineRule="exact"/>
        <w:rPr>
          <w:sz w:val="24"/>
          <w:szCs w:val="24"/>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November 12, 2025, the closing prices for our Common Stock and Warrants on the Nasdaq Stock Market LLC were $2.61 per share of Common Stock and $0.58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6 of the Prospectus and other risk factors contained in the documents incorporated by reference therein for a discussion of information that should be considered in connection with an investment in our securities.</w:t>
      </w:r>
    </w:p>
    <w:p>
      <w:pPr>
        <w:spacing w:after="0" w:line="171" w:lineRule="exact"/>
        <w:rPr>
          <w:sz w:val="24"/>
          <w:szCs w:val="24"/>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-250825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0"/>
          <w:szCs w:val="20"/>
          <w:color w:val="auto"/>
        </w:rPr>
      </w:pPr>
    </w:p>
    <w:p>
      <w:pPr>
        <w:ind w:left="3660" w:right="1580" w:hanging="3639"/>
        <w:spacing w:after="0" w:line="330"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70" w:lineRule="exact"/>
        <w:rPr>
          <w:sz w:val="20"/>
          <w:szCs w:val="20"/>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6140" w:type="dxa"/>
            <w:vAlign w:val="bottom"/>
            <w:gridSpan w:val="3"/>
          </w:tcPr>
          <w:p>
            <w:pPr>
              <w:ind w:left="32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90"/>
        </w:trPr>
        <w:tc>
          <w:tcPr>
            <w:tcW w:w="6140" w:type="dxa"/>
            <w:vAlign w:val="bottom"/>
            <w:gridSpan w:val="3"/>
          </w:tcPr>
          <w:p>
            <w:pPr>
              <w:jc w:val="center"/>
              <w:ind w:left="2844"/>
              <w:spacing w:after="0"/>
              <w:rPr>
                <w:sz w:val="20"/>
                <w:szCs w:val="20"/>
                <w:color w:val="auto"/>
              </w:rPr>
            </w:pPr>
            <w:r>
              <w:rPr>
                <w:rFonts w:ascii="Times New Roman" w:cs="Times New Roman" w:eastAsia="Times New Roman" w:hAnsi="Times New Roman"/>
                <w:sz w:val="20"/>
                <w:szCs w:val="20"/>
                <w:b w:val="1"/>
                <w:bCs w:val="1"/>
                <w:color w:val="auto"/>
                <w:w w:val="99"/>
              </w:rPr>
              <w:t>Commission File Number 001-41139</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4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36"/>
                <w:szCs w:val="36"/>
                <w:b w:val="1"/>
                <w:bCs w:val="1"/>
                <w:color w:val="auto"/>
                <w:w w:val="77"/>
              </w:rPr>
              <w:t>Inc.</w:t>
            </w:r>
          </w:p>
        </w:tc>
        <w:tc>
          <w:tcPr>
            <w:tcW w:w="2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6"/>
        </w:trPr>
        <w:tc>
          <w:tcPr>
            <w:tcW w:w="5660" w:type="dxa"/>
            <w:vAlign w:val="bottom"/>
            <w:gridSpan w:val="2"/>
          </w:tcPr>
          <w:p>
            <w:pPr>
              <w:ind w:left="2960"/>
              <w:spacing w:after="0" w:line="395" w:lineRule="exact"/>
              <w:rPr>
                <w:sz w:val="20"/>
                <w:szCs w:val="20"/>
                <w:color w:val="auto"/>
              </w:rPr>
            </w:pPr>
            <w:r>
              <w:rPr>
                <w:rFonts w:ascii="Times New Roman" w:cs="Times New Roman" w:eastAsia="Times New Roman" w:hAnsi="Times New Roman"/>
                <w:sz w:val="36"/>
                <w:szCs w:val="36"/>
                <w:b w:val="1"/>
                <w:bCs w:val="1"/>
                <w:color w:val="auto"/>
              </w:rPr>
              <w:t>Blaize Holdings,</w:t>
            </w:r>
          </w:p>
        </w:tc>
        <w:tc>
          <w:tcPr>
            <w:tcW w:w="48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400" w:type="dxa"/>
            <w:vAlign w:val="bottom"/>
            <w:gridSpan w:val="4"/>
          </w:tcPr>
          <w:p>
            <w:pPr>
              <w:jc w:val="center"/>
              <w:ind w:left="58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87"/>
        </w:trPr>
        <w:tc>
          <w:tcPr>
            <w:tcW w:w="34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6140" w:type="dxa"/>
            <w:vAlign w:val="bottom"/>
            <w:gridSpan w:val="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60" w:type="dxa"/>
            <w:vAlign w:val="bottom"/>
          </w:tcPr>
          <w:p>
            <w:pPr>
              <w:jc w:val="right"/>
              <w:ind w:right="537"/>
              <w:spacing w:after="0"/>
              <w:rPr>
                <w:sz w:val="20"/>
                <w:szCs w:val="20"/>
                <w:color w:val="auto"/>
              </w:rPr>
            </w:pPr>
            <w:r>
              <w:rPr>
                <w:rFonts w:ascii="Times New Roman" w:cs="Times New Roman" w:eastAsia="Times New Roman" w:hAnsi="Times New Roman"/>
                <w:sz w:val="18"/>
                <w:szCs w:val="18"/>
                <w:b w:val="1"/>
                <w:bCs w:val="1"/>
                <w:color w:val="auto"/>
              </w:rPr>
              <w:t>86-2708752</w:t>
            </w:r>
          </w:p>
        </w:tc>
        <w:tc>
          <w:tcPr>
            <w:tcW w:w="0" w:type="dxa"/>
            <w:vAlign w:val="bottom"/>
          </w:tcPr>
          <w:p>
            <w:pPr>
              <w:spacing w:after="0"/>
              <w:rPr>
                <w:sz w:val="1"/>
                <w:szCs w:val="1"/>
                <w:color w:val="auto"/>
              </w:rPr>
            </w:pPr>
          </w:p>
        </w:tc>
      </w:tr>
      <w:tr>
        <w:trPr>
          <w:trHeight w:val="188"/>
        </w:trPr>
        <w:tc>
          <w:tcPr>
            <w:tcW w:w="6140" w:type="dxa"/>
            <w:vAlign w:val="bottom"/>
            <w:gridSpan w:val="3"/>
          </w:tcPr>
          <w:p>
            <w:pPr>
              <w:jc w:val="center"/>
              <w:ind w:right="25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260" w:type="dxa"/>
            <w:vAlign w:val="bottom"/>
          </w:tcPr>
          <w:p>
            <w:pPr>
              <w:jc w:val="center"/>
              <w:ind w:left="77"/>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8"/>
        </w:trPr>
        <w:tc>
          <w:tcPr>
            <w:tcW w:w="6140" w:type="dxa"/>
            <w:vAlign w:val="bottom"/>
            <w:gridSpan w:val="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El Dorado Hills, CA</w:t>
            </w:r>
          </w:p>
        </w:tc>
        <w:tc>
          <w:tcPr>
            <w:tcW w:w="2260" w:type="dxa"/>
            <w:vAlign w:val="bottom"/>
          </w:tcPr>
          <w:p>
            <w:pPr>
              <w:jc w:val="right"/>
              <w:ind w:right="737"/>
              <w:spacing w:after="0"/>
              <w:rPr>
                <w:sz w:val="20"/>
                <w:szCs w:val="20"/>
                <w:color w:val="auto"/>
              </w:rPr>
            </w:pPr>
            <w:r>
              <w:rPr>
                <w:rFonts w:ascii="Times New Roman" w:cs="Times New Roman" w:eastAsia="Times New Roman" w:hAnsi="Times New Roman"/>
                <w:sz w:val="18"/>
                <w:szCs w:val="18"/>
                <w:b w:val="1"/>
                <w:bCs w:val="1"/>
                <w:color w:val="auto"/>
              </w:rPr>
              <w:t>95762</w:t>
            </w:r>
          </w:p>
        </w:tc>
        <w:tc>
          <w:tcPr>
            <w:tcW w:w="0" w:type="dxa"/>
            <w:vAlign w:val="bottom"/>
          </w:tcPr>
          <w:p>
            <w:pPr>
              <w:spacing w:after="0"/>
              <w:rPr>
                <w:sz w:val="1"/>
                <w:szCs w:val="1"/>
                <w:color w:val="auto"/>
              </w:rPr>
            </w:pPr>
          </w:p>
        </w:tc>
      </w:tr>
      <w:tr>
        <w:trPr>
          <w:trHeight w:val="188"/>
        </w:trPr>
        <w:tc>
          <w:tcPr>
            <w:tcW w:w="6140" w:type="dxa"/>
            <w:vAlign w:val="bottom"/>
            <w:gridSpan w:val="3"/>
          </w:tcPr>
          <w:p>
            <w:pPr>
              <w:jc w:val="center"/>
              <w:ind w:right="25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60" w:type="dxa"/>
            <w:vAlign w:val="bottom"/>
          </w:tcPr>
          <w:p>
            <w:pPr>
              <w:jc w:val="center"/>
              <w:ind w:left="57"/>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(916) 347-0050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63"/>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par value $0.0001 per share</w:t>
            </w:r>
          </w:p>
        </w:tc>
        <w:tc>
          <w:tcPr>
            <w:tcW w:w="12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BZAI</w:t>
            </w:r>
          </w:p>
        </w:tc>
        <w:tc>
          <w:tcPr>
            <w:tcW w:w="12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5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r>
              <w:rPr>
                <w:rFonts w:ascii="Times New Roman" w:cs="Times New Roman" w:eastAsia="Times New Roman" w:hAnsi="Times New Roman"/>
                <w:sz w:val="18"/>
                <w:szCs w:val="18"/>
                <w:color w:val="auto"/>
                <w:w w:val="99"/>
              </w:rPr>
              <w:t>, each whole warrant exercisable for one share of</w:t>
            </w: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tcPr>
          <w:p>
            <w:pPr>
              <w:spacing w:after="0"/>
              <w:rPr>
                <w:sz w:val="21"/>
                <w:szCs w:val="21"/>
                <w:color w:val="auto"/>
              </w:rPr>
            </w:pPr>
          </w:p>
        </w:tc>
      </w:tr>
      <w:tr>
        <w:trPr>
          <w:trHeight w:val="234"/>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at an exercise price of $11.50 per share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BZAIW</w:t>
            </w:r>
          </w:p>
        </w:tc>
        <w:tc>
          <w:tcPr>
            <w:tcW w:w="12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358" w:lineRule="exact"/>
        <w:rPr>
          <w:sz w:val="20"/>
          <w:szCs w:val="20"/>
          <w:color w:val="auto"/>
        </w:rPr>
      </w:pPr>
    </w:p>
    <w:p>
      <w:pPr>
        <w:spacing w:after="0" w:line="184" w:lineRule="exact"/>
        <w:tabs>
          <w:tab w:leader="none" w:pos="1020" w:val="left"/>
        </w:tabs>
        <w:rPr>
          <w:sz w:val="20"/>
          <w:szCs w:val="20"/>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line="200" w:lineRule="exact"/>
        <w:rPr>
          <w:sz w:val="20"/>
          <w:szCs w:val="20"/>
          <w:color w:val="auto"/>
        </w:rPr>
      </w:pPr>
    </w:p>
    <w:p>
      <w:pPr>
        <w:spacing w:after="0" w:line="228" w:lineRule="exact"/>
        <w:rPr>
          <w:sz w:val="20"/>
          <w:szCs w:val="20"/>
          <w:color w:val="auto"/>
        </w:rPr>
      </w:pPr>
    </w:p>
    <w:p>
      <w:pPr>
        <w:spacing w:after="0" w:line="184" w:lineRule="exact"/>
        <w:tabs>
          <w:tab w:leader="none" w:pos="7980" w:val="left"/>
        </w:tabs>
        <w:rPr>
          <w:sz w:val="20"/>
          <w:szCs w:val="20"/>
          <w:color w:val="auto"/>
        </w:rPr>
      </w:pPr>
      <w:r>
        <w:rPr>
          <w:rFonts w:ascii="Times New Roman" w:cs="Times New Roman" w:eastAsia="Times New Roman" w:hAnsi="Times New Roman"/>
          <w:sz w:val="16"/>
          <w:szCs w:val="16"/>
          <w:color w:val="auto"/>
        </w:rPr>
        <w:t xml:space="preserve">during the preceding 12 months (or for such shorter period that the Registrant was required to submit such files).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3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620" w:type="dxa"/>
            <w:vAlign w:val="bottom"/>
          </w:tcPr>
          <w:p>
            <w:pPr>
              <w:ind w:left="18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620" w:type="dxa"/>
            <w:vAlign w:val="bottom"/>
          </w:tcPr>
          <w:p>
            <w:pPr>
              <w:ind w:left="18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562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rPr>
              <w:t>☒</w:t>
            </w:r>
          </w:p>
        </w:tc>
        <w:tc>
          <w:tcPr>
            <w:tcW w:w="1940" w:type="dxa"/>
            <w:vAlign w:val="bottom"/>
          </w:tcPr>
          <w:p>
            <w:pPr>
              <w:spacing w:after="0"/>
              <w:rPr>
                <w:sz w:val="23"/>
                <w:szCs w:val="23"/>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p>
      <w:pPr>
        <w:spacing w:after="0" w:line="15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financial accounting standards provided pursuant to Section 13(a) of the Exchange Act.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84" w:lineRule="exact"/>
        <w:tabs>
          <w:tab w:leader="none" w:pos="81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November 6, 2025, the registrant had 110,988,152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 w:name="page3"/>
    <w:bookmarkEnd w:id="2"/>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0000FF"/>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 (unaudited)</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Stockholders’ Equity (Deficit)</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0000FF"/>
        </w:rPr>
        <w:t>Notes to the Condensed Consolidated Financial Statements</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8"/>
          <w:szCs w:val="18"/>
          <w:u w:val="single" w:color="auto"/>
          <w:color w:val="0000FF"/>
        </w:rPr>
        <w:t>Controls and Procedures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196"/>
        </w:trPr>
        <w:tc>
          <w:tcPr>
            <w:tcW w:w="5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Item 1.</w:t>
            </w:r>
          </w:p>
        </w:tc>
        <w:tc>
          <w:tcPr>
            <w:tcW w:w="160" w:type="dxa"/>
            <w:vAlign w:val="bottom"/>
            <w:tcBorders>
              <w:top w:val="single" w:sz="8" w:color="0000FF"/>
            </w:tcBorders>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3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760" w:type="dxa"/>
            <w:vAlign w:val="bottom"/>
            <w:gridSpan w:val="4"/>
          </w:tcPr>
          <w:p>
            <w:pPr>
              <w:spacing w:after="0"/>
              <w:rPr>
                <w:sz w:val="17"/>
                <w:szCs w:val="17"/>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1A.</w:t>
            </w: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r>
      <w:tr>
        <w:trPr>
          <w:trHeight w:val="196"/>
        </w:trPr>
        <w:tc>
          <w:tcPr>
            <w:tcW w:w="520" w:type="dxa"/>
            <w:vAlign w:val="bottom"/>
            <w:tcBorders>
              <w:top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Item 3.</w:t>
            </w:r>
          </w:p>
        </w:tc>
        <w:tc>
          <w:tcPr>
            <w:tcW w:w="620" w:type="dxa"/>
            <w:vAlign w:val="bottom"/>
            <w:gridSpan w:val="4"/>
          </w:tcPr>
          <w:p>
            <w:pPr>
              <w:spacing w:after="0"/>
              <w:rPr>
                <w:sz w:val="17"/>
                <w:szCs w:val="17"/>
                <w:color w:val="auto"/>
              </w:rPr>
            </w:pPr>
          </w:p>
        </w:tc>
        <w:tc>
          <w:tcPr>
            <w:tcW w:w="434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760" w:type="dxa"/>
            <w:vAlign w:val="bottom"/>
          </w:tcPr>
          <w:p>
            <w:pPr>
              <w:spacing w:after="0"/>
              <w:rPr>
                <w:sz w:val="17"/>
                <w:szCs w:val="17"/>
                <w:color w:val="auto"/>
              </w:rPr>
            </w:pPr>
          </w:p>
        </w:tc>
      </w:tr>
      <w:tr>
        <w:trPr>
          <w:trHeight w:val="196"/>
        </w:trPr>
        <w:tc>
          <w:tcPr>
            <w:tcW w:w="5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Item 4.</w:t>
            </w:r>
          </w:p>
        </w:tc>
        <w:tc>
          <w:tcPr>
            <w:tcW w:w="620" w:type="dxa"/>
            <w:vAlign w:val="bottom"/>
            <w:gridSpan w:val="4"/>
          </w:tcPr>
          <w:p>
            <w:pPr>
              <w:spacing w:after="0"/>
              <w:rPr>
                <w:sz w:val="17"/>
                <w:szCs w:val="17"/>
                <w:color w:val="auto"/>
              </w:rPr>
            </w:pP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7"/>
                <w:szCs w:val="17"/>
                <w:color w:val="auto"/>
              </w:rPr>
            </w:pPr>
          </w:p>
        </w:tc>
        <w:tc>
          <w:tcPr>
            <w:tcW w:w="7780" w:type="dxa"/>
            <w:vAlign w:val="bottom"/>
            <w:gridSpan w:val="2"/>
          </w:tcPr>
          <w:p>
            <w:pPr>
              <w:spacing w:after="0"/>
              <w:rPr>
                <w:sz w:val="17"/>
                <w:szCs w:val="17"/>
                <w:color w:val="auto"/>
              </w:rPr>
            </w:pPr>
          </w:p>
        </w:tc>
      </w:tr>
      <w:tr>
        <w:trPr>
          <w:trHeight w:val="196"/>
        </w:trPr>
        <w:tc>
          <w:tcPr>
            <w:tcW w:w="5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Item 5.</w:t>
            </w:r>
          </w:p>
        </w:tc>
        <w:tc>
          <w:tcPr>
            <w:tcW w:w="620" w:type="dxa"/>
            <w:vAlign w:val="bottom"/>
            <w:gridSpan w:val="4"/>
          </w:tcPr>
          <w:p>
            <w:pPr>
              <w:spacing w:after="0"/>
              <w:rPr>
                <w:sz w:val="17"/>
                <w:szCs w:val="17"/>
                <w:color w:val="auto"/>
              </w:rPr>
            </w:pPr>
          </w:p>
        </w:tc>
        <w:tc>
          <w:tcPr>
            <w:tcW w:w="1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780" w:type="dxa"/>
            <w:vAlign w:val="bottom"/>
            <w:gridSpan w:val="5"/>
          </w:tcPr>
          <w:p>
            <w:pPr>
              <w:spacing w:after="0"/>
              <w:rPr>
                <w:sz w:val="17"/>
                <w:szCs w:val="17"/>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7"/>
              </w:rPr>
              <w:t>Item 6.</w:t>
            </w:r>
          </w:p>
        </w:tc>
        <w:tc>
          <w:tcPr>
            <w:tcW w:w="620" w:type="dxa"/>
            <w:vAlign w:val="bottom"/>
            <w:gridSpan w:val="4"/>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r>
      <w:tr>
        <w:trPr>
          <w:trHeight w:val="20"/>
        </w:trPr>
        <w:tc>
          <w:tcPr>
            <w:tcW w:w="52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41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1216"/>
        </w:trPr>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4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“Quarterly Report”) of Blaize Holdings, Inc. (“Blaize,” “we,” “our,” or “us,”)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Quarterly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spacing w:after="0" w:line="19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spacing w:after="0" w:line="187"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changes in domestic and foreign business, market, financial, political and legal conditions; the expected benefits of the Business Combination, as defined in Note 1 included in Item 1. of Part I. of this Quarterly Report, are not obtained; the ability to meet stock exchange listing standards following the consummation of the Business Combination; the risk that the Business Combination disrupts current plans and operations of Blaize as a result of the consummation of the Business Combination;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costs related to the Business Combination; changes in applicable law or regulations; the outcome of any legal proceedings that may be instituted against Blaize; the effects of competition on Blaize’s future business; the ability of the combined company to issue equity or equity-linked securities or obtain debt financing; the enforceability of Blaize intellectual property rights, including its copyrights, patents, trademarks and trade secrets, and the potential infringement on the intellectual property rights of others; risks related to human capital; risks related to cybersecurity and data privacy; the outcome of any government and regulatory proceedings and investigations and inquiries; and those factors in the other documents filed by Blaize from time to time with the U.S. Securities and Exchange Commission (“SEC”). The discussion in this Quarterly Report should be read in conjunction with the condensed consolidated financial statements and notes thereto included in Item 1. of Part I. of this Quarterly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180" w:type="dxa"/>
            <w:vAlign w:val="bottom"/>
          </w:tcPr>
          <w:p>
            <w:pPr>
              <w:spacing w:after="0"/>
              <w:rPr>
                <w:sz w:val="13"/>
                <w:szCs w:val="13"/>
                <w:color w:val="auto"/>
              </w:rPr>
            </w:pP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0" w:type="dxa"/>
            <w:vAlign w:val="bottom"/>
          </w:tcPr>
          <w:p>
            <w:pPr>
              <w:spacing w:after="0"/>
              <w:rPr>
                <w:sz w:val="13"/>
                <w:szCs w:val="13"/>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76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 related party, net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60,904</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 - related party</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Working capital loan - related party</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18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36,797</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188,143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earnout shares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 $0.0001 par value; 600,000,000 and 136,562,809 shares authorized as of September</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 2025 and December 31, 2024, respectively, and 106,754,588 and 48,376,052 shares issued and</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634,154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(632,859)</w:t>
            </w:r>
          </w:p>
        </w:tc>
        <w:tc>
          <w:tcPr>
            <w:tcW w:w="1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(429,251)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(110,463)</w:t>
            </w:r>
          </w:p>
        </w:tc>
        <w:tc>
          <w:tcPr>
            <w:tcW w:w="0" w:type="dxa"/>
            <w:vAlign w:val="bottom"/>
          </w:tcPr>
          <w:p>
            <w:pPr>
              <w:spacing w:after="0"/>
              <w:rPr>
                <w:sz w:val="1"/>
                <w:szCs w:val="1"/>
                <w:color w:val="auto"/>
              </w:rPr>
            </w:pPr>
          </w:p>
        </w:tc>
      </w:tr>
      <w:tr>
        <w:trPr>
          <w:trHeight w:val="210"/>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60,904</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-4902835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-4902835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-4062730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-4045585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-2116455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-1559560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3"/>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7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7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Hardware revenue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Software revenue</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Hardware revenue - related party</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Software revenue - related party</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3,634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costs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(22,585)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(11,368)</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(82,489)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(30,640)</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(15,398)</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(165,703)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(25,921)</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committed equity facility</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expense, net</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(14,184)</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(120,897)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(23,515)</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(25,552)</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(203,386)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(54,155)</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(26,258)</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(25,607)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(203,608)</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(54,503)</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5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3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3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103,585,681</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17,478,371</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100,130,737</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17,466,606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-2579370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-2579370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-2579370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-2579370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-916305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-916305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-916305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-350520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-333375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-350520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-333375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-350520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-333375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7"/>
        </w:trPr>
        <w:tc>
          <w:tcPr>
            <w:tcW w:w="2460" w:type="dxa"/>
            <w:vAlign w:val="bottom"/>
          </w:tcPr>
          <w:p>
            <w:pPr>
              <w:spacing w:after="0"/>
              <w:rPr>
                <w:sz w:val="11"/>
                <w:szCs w:val="11"/>
                <w:color w:val="auto"/>
              </w:rPr>
            </w:pPr>
          </w:p>
        </w:tc>
        <w:tc>
          <w:tcPr>
            <w:tcW w:w="1500" w:type="dxa"/>
            <w:vAlign w:val="bottom"/>
            <w:gridSpan w:val="2"/>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Redeemable Convertible</w:t>
            </w:r>
          </w:p>
        </w:tc>
        <w:tc>
          <w:tcPr>
            <w:tcW w:w="120" w:type="dxa"/>
            <w:vAlign w:val="bottom"/>
          </w:tcPr>
          <w:p>
            <w:pPr>
              <w:spacing w:after="0"/>
              <w:rPr>
                <w:sz w:val="11"/>
                <w:szCs w:val="11"/>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6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Stockholders’ Equity (Deficit)</w:t>
            </w:r>
          </w:p>
        </w:tc>
        <w:tc>
          <w:tcPr>
            <w:tcW w:w="7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1500" w:type="dxa"/>
            <w:vAlign w:val="bottom"/>
            <w:gridSpan w:val="2"/>
            <w:vMerge w:val="restart"/>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20" w:type="dxa"/>
            <w:vAlign w:val="bottom"/>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to Possible Redemption</w:t>
            </w:r>
          </w:p>
        </w:tc>
        <w:tc>
          <w:tcPr>
            <w:tcW w:w="14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8"/>
                <w:szCs w:val="8"/>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760" w:type="dxa"/>
            <w:vAlign w:val="bottom"/>
          </w:tcPr>
          <w:p>
            <w:pPr>
              <w:spacing w:after="0"/>
              <w:rPr>
                <w:sz w:val="8"/>
                <w:szCs w:val="8"/>
                <w:color w:val="auto"/>
              </w:rPr>
            </w:pPr>
          </w:p>
        </w:tc>
        <w:tc>
          <w:tcPr>
            <w:tcW w:w="7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Accumulat</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76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ed</w:t>
            </w:r>
          </w:p>
        </w:tc>
        <w:tc>
          <w:tcPr>
            <w:tcW w:w="116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Total Stockholders’</w:t>
            </w:r>
          </w:p>
        </w:tc>
        <w:tc>
          <w:tcPr>
            <w:tcW w:w="0" w:type="dxa"/>
            <w:vAlign w:val="bottom"/>
          </w:tcPr>
          <w:p>
            <w:pPr>
              <w:spacing w:after="0"/>
              <w:rPr>
                <w:sz w:val="1"/>
                <w:szCs w:val="1"/>
                <w:color w:val="auto"/>
              </w:rPr>
            </w:pPr>
          </w:p>
        </w:tc>
      </w:tr>
      <w:tr>
        <w:trPr>
          <w:trHeight w:val="99"/>
        </w:trPr>
        <w:tc>
          <w:tcPr>
            <w:tcW w:w="24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7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7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460" w:type="dxa"/>
            <w:vAlign w:val="bottom"/>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7"/>
                <w:szCs w:val="7"/>
                <w:color w:val="auto"/>
              </w:rPr>
            </w:pP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Equity (Deficit)</w:t>
            </w:r>
          </w:p>
        </w:tc>
        <w:tc>
          <w:tcPr>
            <w:tcW w:w="0" w:type="dxa"/>
            <w:vAlign w:val="bottom"/>
          </w:tcPr>
          <w:p>
            <w:pPr>
              <w:spacing w:after="0"/>
              <w:rPr>
                <w:sz w:val="1"/>
                <w:szCs w:val="1"/>
                <w:color w:val="auto"/>
              </w:rPr>
            </w:pPr>
          </w:p>
        </w:tc>
      </w:tr>
      <w:tr>
        <w:trPr>
          <w:trHeight w:val="49"/>
        </w:trPr>
        <w:tc>
          <w:tcPr>
            <w:tcW w:w="24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tbl>
      <w:tblPr>
        <w:tblLayout w:type="fixed"/>
        <w:tblInd w:w="0" w:type="dxa"/>
        <w:tblCellMar>
          <w:top w:w="0" w:type="dxa"/>
          <w:left w:w="0" w:type="dxa"/>
          <w:bottom w:w="0" w:type="dxa"/>
          <w:right w:w="0" w:type="dxa"/>
        </w:tblCellMar>
      </w:tblPr>
      <w:tr>
        <w:trPr>
          <w:trHeight w:val="108"/>
        </w:trPr>
        <w:tc>
          <w:tcPr>
            <w:tcW w:w="2460" w:type="dxa"/>
            <w:vAlign w:val="bottom"/>
          </w:tcPr>
          <w:p>
            <w:pPr>
              <w:spacing w:after="0"/>
              <w:rPr>
                <w:sz w:val="9"/>
                <w:szCs w:val="9"/>
                <w:color w:val="auto"/>
              </w:rPr>
            </w:pPr>
          </w:p>
        </w:tc>
        <w:tc>
          <w:tcPr>
            <w:tcW w:w="780" w:type="dxa"/>
            <w:vAlign w:val="bottom"/>
            <w:tcBorders>
              <w:top w:val="single" w:sz="8" w:color="auto"/>
            </w:tcBorders>
            <w:gridSpan w:val="2"/>
          </w:tcPr>
          <w:p>
            <w:pPr>
              <w:jc w:val="right"/>
              <w:ind w:right="38"/>
              <w:spacing w:after="0" w:line="109" w:lineRule="exact"/>
              <w:rPr>
                <w:sz w:val="20"/>
                <w:szCs w:val="20"/>
                <w:color w:val="auto"/>
              </w:rPr>
            </w:pPr>
            <w:r>
              <w:rPr>
                <w:rFonts w:ascii="Times New Roman" w:cs="Times New Roman" w:eastAsia="Times New Roman" w:hAnsi="Times New Roman"/>
                <w:sz w:val="12"/>
                <w:szCs w:val="12"/>
                <w:b w:val="1"/>
                <w:bCs w:val="1"/>
                <w:color w:val="auto"/>
              </w:rPr>
              <w:t>34,712,52</w:t>
            </w: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ind w:right="17"/>
              <w:spacing w:after="0" w:line="109" w:lineRule="exact"/>
              <w:rPr>
                <w:sz w:val="20"/>
                <w:szCs w:val="20"/>
                <w:color w:val="auto"/>
              </w:rPr>
            </w:pPr>
            <w:r>
              <w:rPr>
                <w:rFonts w:ascii="Times New Roman" w:cs="Times New Roman" w:eastAsia="Times New Roman" w:hAnsi="Times New Roman"/>
                <w:sz w:val="12"/>
                <w:szCs w:val="12"/>
                <w:b w:val="1"/>
                <w:bCs w:val="1"/>
                <w:color w:val="auto"/>
                <w:w w:val="96"/>
              </w:rPr>
              <w:t>173,3</w:t>
            </w:r>
          </w:p>
        </w:tc>
        <w:tc>
          <w:tcPr>
            <w:tcW w:w="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60" w:type="dxa"/>
            <w:vAlign w:val="bottom"/>
          </w:tcPr>
          <w:p>
            <w:pPr>
              <w:ind w:left="40"/>
              <w:spacing w:after="0" w:line="137"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780" w:type="dxa"/>
            <w:vAlign w:val="bottom"/>
            <w:gridSpan w:val="2"/>
          </w:tcPr>
          <w:p>
            <w:pPr>
              <w:jc w:val="right"/>
              <w:ind w:right="58"/>
              <w:spacing w:after="0" w:line="137" w:lineRule="exact"/>
              <w:rPr>
                <w:sz w:val="20"/>
                <w:szCs w:val="20"/>
                <w:color w:val="auto"/>
              </w:rPr>
            </w:pPr>
            <w:r>
              <w:rPr>
                <w:rFonts w:ascii="Times New Roman" w:cs="Times New Roman" w:eastAsia="Times New Roman" w:hAnsi="Times New Roman"/>
                <w:sz w:val="13"/>
                <w:szCs w:val="13"/>
                <w:b w:val="1"/>
                <w:bCs w:val="1"/>
                <w:color w:val="auto"/>
              </w:rPr>
              <w:t>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 w:type="dxa"/>
            <w:vAlign w:val="bottom"/>
          </w:tcPr>
          <w:p>
            <w:pPr>
              <w:spacing w:after="0"/>
              <w:rPr>
                <w:sz w:val="11"/>
                <w:szCs w:val="11"/>
                <w:color w:val="auto"/>
              </w:rPr>
            </w:pPr>
          </w:p>
        </w:tc>
        <w:tc>
          <w:tcPr>
            <w:tcW w:w="360" w:type="dxa"/>
            <w:vAlign w:val="bottom"/>
          </w:tcPr>
          <w:p>
            <w:pPr>
              <w:jc w:val="right"/>
              <w:ind w:right="17"/>
              <w:spacing w:after="0" w:line="137" w:lineRule="exact"/>
              <w:rPr>
                <w:sz w:val="20"/>
                <w:szCs w:val="20"/>
                <w:color w:val="auto"/>
              </w:rPr>
            </w:pPr>
            <w:r>
              <w:rPr>
                <w:rFonts w:ascii="Times New Roman" w:cs="Times New Roman" w:eastAsia="Times New Roman" w:hAnsi="Times New Roman"/>
                <w:sz w:val="13"/>
                <w:szCs w:val="13"/>
                <w:b w:val="1"/>
                <w:bCs w:val="1"/>
                <w:color w:val="auto"/>
              </w:rPr>
              <w:t>47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780" w:type="dxa"/>
            <w:vAlign w:val="bottom"/>
            <w:gridSpan w:val="2"/>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(34,712,52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4"/>
        </w:trPr>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160" w:type="dxa"/>
            <w:vAlign w:val="bottom"/>
          </w:tcPr>
          <w:p>
            <w:pPr>
              <w:spacing w:after="0"/>
              <w:rPr>
                <w:sz w:val="23"/>
                <w:szCs w:val="23"/>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1"/>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Conversion of convertible notes</w:t>
            </w:r>
          </w:p>
        </w:tc>
        <w:tc>
          <w:tcPr>
            <w:tcW w:w="160" w:type="dxa"/>
            <w:vAlign w:val="bottom"/>
          </w:tcPr>
          <w:p>
            <w:pPr>
              <w:spacing w:after="0"/>
              <w:rPr>
                <w:sz w:val="20"/>
                <w:szCs w:val="20"/>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exercise of warrants</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2,854,24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Merger and PIPE financing</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33,061</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Payment of shareholder note receivable</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Issuance of common stock to advisors</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Issuance of common stock warrants</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Increase in redemption value</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603</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Redemption of common stock subject to</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(2,800,4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possible redemption</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8"/>
              </w:rPr>
              <w:t>(33,157)</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Lapse of redemption</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(53,753)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(507)</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Exercises of stock options</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Releases of restricted stock units</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stock issued under the committed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facility</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Committed equity facility fee settled in</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6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9"/>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tcPr>
          <w:p>
            <w:pPr>
              <w:spacing w:after="0"/>
              <w:rPr>
                <w:sz w:val="22"/>
                <w:szCs w:val="22"/>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4"/>
        </w:trPr>
        <w:tc>
          <w:tcPr>
            <w:tcW w:w="24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September 30, 2025</w:t>
            </w: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7"/>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7"/>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7"/>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7"/>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to Possible Redemption</w:t>
            </w:r>
          </w:p>
        </w:tc>
        <w:tc>
          <w:tcPr>
            <w:tcW w:w="0" w:type="dxa"/>
            <w:vAlign w:val="bottom"/>
          </w:tcPr>
          <w:p>
            <w:pPr>
              <w:spacing w:after="0"/>
              <w:rPr>
                <w:sz w:val="1"/>
                <w:szCs w:val="1"/>
                <w:color w:val="auto"/>
              </w:rPr>
            </w:pPr>
          </w:p>
        </w:tc>
      </w:tr>
      <w:tr>
        <w:trPr>
          <w:trHeight w:val="103"/>
        </w:trPr>
        <w:tc>
          <w:tcPr>
            <w:tcW w:w="24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6"/>
                <w:szCs w:val="16"/>
                <w:color w:val="auto"/>
              </w:rPr>
            </w:pPr>
          </w:p>
        </w:tc>
        <w:tc>
          <w:tcPr>
            <w:tcW w:w="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49"/>
        </w:trPr>
        <w:tc>
          <w:tcPr>
            <w:tcW w:w="2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4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60" w:type="dxa"/>
            <w:vAlign w:val="bottom"/>
          </w:tcPr>
          <w:p>
            <w:pPr>
              <w:spacing w:after="0"/>
              <w:rPr>
                <w:sz w:val="9"/>
                <w:szCs w:val="9"/>
                <w:color w:val="auto"/>
              </w:rPr>
            </w:pPr>
          </w:p>
        </w:tc>
        <w:tc>
          <w:tcPr>
            <w:tcW w:w="6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34,712,5</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173,3</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(34,712,5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16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5"/>
        </w:trPr>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160" w:type="dxa"/>
            <w:vAlign w:val="bottom"/>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160" w:type="dxa"/>
            <w:vAlign w:val="bottom"/>
          </w:tcPr>
          <w:p>
            <w:pPr>
              <w:spacing w:after="0"/>
              <w:rPr>
                <w:sz w:val="11"/>
                <w:szCs w:val="11"/>
                <w:color w:val="auto"/>
              </w:rPr>
            </w:pPr>
          </w:p>
        </w:tc>
        <w:tc>
          <w:tcPr>
            <w:tcW w:w="76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6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9"/>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tcPr>
          <w:p>
            <w:pPr>
              <w:spacing w:after="0"/>
              <w:rPr>
                <w:sz w:val="22"/>
                <w:szCs w:val="22"/>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3"/>
        </w:trPr>
        <w:tc>
          <w:tcPr>
            <w:tcW w:w="24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September 30, 2024</w:t>
            </w:r>
          </w:p>
        </w:tc>
        <w:tc>
          <w:tcPr>
            <w:tcW w:w="16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-3925570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-3582670</wp:posOffset>
            </wp:positionV>
            <wp:extent cx="7132320"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-3325495</wp:posOffset>
            </wp:positionV>
            <wp:extent cx="7132320"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7132320" cy="85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-2982595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85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-2553970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-1945005</wp:posOffset>
            </wp:positionV>
            <wp:extent cx="713232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85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8"/>
        </w:trPr>
        <w:tc>
          <w:tcPr>
            <w:tcW w:w="80" w:type="dxa"/>
            <w:vAlign w:val="bottom"/>
          </w:tcPr>
          <w:p>
            <w:pPr>
              <w:spacing w:after="0"/>
              <w:rPr>
                <w:sz w:val="9"/>
                <w:szCs w:val="9"/>
                <w:color w:val="auto"/>
              </w:rPr>
            </w:pPr>
          </w:p>
        </w:tc>
        <w:tc>
          <w:tcPr>
            <w:tcW w:w="7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13,663,52</w:t>
            </w:r>
          </w:p>
        </w:tc>
        <w:tc>
          <w:tcPr>
            <w:tcW w:w="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top w:val="single" w:sz="8" w:color="auto"/>
            </w:tcBorders>
          </w:tcPr>
          <w:p>
            <w:pPr>
              <w:jc w:val="right"/>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96,88</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(429,25</w:t>
            </w:r>
          </w:p>
        </w:tc>
        <w:tc>
          <w:tcPr>
            <w:tcW w:w="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720" w:type="dxa"/>
            <w:vAlign w:val="bottom"/>
          </w:tcPr>
          <w:p>
            <w:pPr>
              <w:jc w:val="right"/>
              <w:ind w:right="18"/>
              <w:spacing w:after="0" w:line="137" w:lineRule="exact"/>
              <w:rPr>
                <w:sz w:val="20"/>
                <w:szCs w:val="20"/>
                <w:color w:val="auto"/>
              </w:rPr>
            </w:pPr>
            <w:r>
              <w:rPr>
                <w:rFonts w:ascii="Times New Roman" w:cs="Times New Roman" w:eastAsia="Times New Roman" w:hAnsi="Times New Roman"/>
                <w:sz w:val="13"/>
                <w:szCs w:val="13"/>
                <w:b w:val="1"/>
                <w:bCs w:val="1"/>
                <w:color w:val="auto"/>
              </w:rPr>
              <w:t>7</w:t>
            </w:r>
          </w:p>
        </w:tc>
        <w:tc>
          <w:tcPr>
            <w:tcW w:w="40" w:type="dxa"/>
            <w:vAlign w:val="bottom"/>
          </w:tcPr>
          <w:p>
            <w:pPr>
              <w:spacing w:after="0"/>
              <w:rPr>
                <w:sz w:val="11"/>
                <w:szCs w:val="11"/>
                <w:color w:val="auto"/>
              </w:rPr>
            </w:pPr>
          </w:p>
        </w:tc>
        <w:tc>
          <w:tcPr>
            <w:tcW w:w="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3"/>
          </w:tcPr>
          <w:p>
            <w:pPr>
              <w:jc w:val="right"/>
              <w:ind w:right="58"/>
              <w:spacing w:after="0" w:line="137" w:lineRule="exact"/>
              <w:rPr>
                <w:sz w:val="20"/>
                <w:szCs w:val="20"/>
                <w:color w:val="auto"/>
              </w:rPr>
            </w:pPr>
            <w:r>
              <w:rPr>
                <w:rFonts w:ascii="Times New Roman" w:cs="Times New Roman" w:eastAsia="Times New Roman" w:hAnsi="Times New Roman"/>
                <w:sz w:val="13"/>
                <w:szCs w:val="13"/>
                <w:b w:val="1"/>
                <w:bCs w:val="1"/>
                <w:color w:val="auto"/>
              </w:rPr>
              <w:t>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tcPr>
          <w:p>
            <w:pPr>
              <w:spacing w:after="0"/>
              <w:rPr>
                <w:sz w:val="11"/>
                <w:szCs w:val="11"/>
                <w:color w:val="auto"/>
              </w:rPr>
            </w:pPr>
          </w:p>
        </w:tc>
        <w:tc>
          <w:tcPr>
            <w:tcW w:w="38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5"/>
          </w:tcPr>
          <w:p>
            <w:pPr>
              <w:jc w:val="right"/>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$ 145,441</w:t>
            </w:r>
          </w:p>
        </w:tc>
        <w:tc>
          <w:tcPr>
            <w:tcW w:w="200" w:type="dxa"/>
            <w:vAlign w:val="bottom"/>
            <w:gridSpan w:val="3"/>
          </w:tcPr>
          <w:p>
            <w:pPr>
              <w:ind w:left="120"/>
              <w:spacing w:after="0" w:line="137"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3"/>
                <w:szCs w:val="13"/>
                <w:b w:val="1"/>
                <w:bCs w:val="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3"/>
                <w:szCs w:val="13"/>
                <w:b w:val="1"/>
                <w:bCs w:val="1"/>
                <w:color w:val="auto"/>
              </w:rPr>
              <w:t>(283,810)</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34,712,52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(96,8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173,342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7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48,376,05</w:t>
            </w:r>
          </w:p>
        </w:tc>
        <w:tc>
          <w:tcPr>
            <w:tcW w:w="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ind w:right="120"/>
              <w:spacing w:after="0" w:line="110" w:lineRule="exact"/>
              <w:rPr>
                <w:sz w:val="20"/>
                <w:szCs w:val="20"/>
                <w:color w:val="auto"/>
              </w:rPr>
            </w:pPr>
            <w:r>
              <w:rPr>
                <w:rFonts w:ascii="Times New Roman" w:cs="Times New Roman" w:eastAsia="Times New Roman" w:hAnsi="Times New Roman"/>
                <w:sz w:val="12"/>
                <w:szCs w:val="12"/>
                <w:color w:val="auto"/>
              </w:rPr>
              <w:t>(429,25</w:t>
            </w:r>
          </w:p>
        </w:tc>
        <w:tc>
          <w:tcPr>
            <w:tcW w:w="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318,783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(110,463)</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31,433,25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314,331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314,334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7,505,657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75,056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75,057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11,408,95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(126,16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(126,164)</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873,486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2,538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53,753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503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15,080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1,331,257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5,673,734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20,388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20,389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83,353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28,092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28,092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(203,60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(203,608)</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106,754,5</w:t>
            </w:r>
          </w:p>
        </w:tc>
        <w:tc>
          <w:tcPr>
            <w:tcW w:w="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(632,85</w:t>
            </w:r>
          </w:p>
        </w:tc>
        <w:tc>
          <w:tcPr>
            <w:tcW w:w="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88</w:t>
            </w:r>
          </w:p>
        </w:tc>
        <w:tc>
          <w:tcPr>
            <w:tcW w:w="4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tcPr>
          <w:p>
            <w:pPr>
              <w:spacing w:after="0"/>
              <w:rPr>
                <w:sz w:val="13"/>
                <w:szCs w:val="13"/>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$ 634,154</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10"/>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7"/>
              </w:rPr>
              <w:t>Stockholders’ Deficit</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0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w w:val="99"/>
              </w:rPr>
              <w:t>Treasury Stock</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4"/>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Accumula</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5"/>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5"/>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4"/>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4"/>
          </w:tcPr>
          <w:p>
            <w:pPr>
              <w:jc w:val="right"/>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7"/>
              </w:rPr>
              <w:t>Total Stockholders’</w:t>
            </w: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10"/>
        </w:trPr>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141,49</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(368,0</w:t>
            </w:r>
          </w:p>
        </w:tc>
        <w:tc>
          <w:tcPr>
            <w:tcW w:w="2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13,613,269</w:t>
            </w:r>
          </w:p>
        </w:tc>
        <w:tc>
          <w:tcPr>
            <w:tcW w:w="40" w:type="dxa"/>
            <w:vAlign w:val="bottom"/>
          </w:tcPr>
          <w:p>
            <w:pPr>
              <w:spacing w:after="0"/>
              <w:rPr>
                <w:sz w:val="11"/>
                <w:szCs w:val="11"/>
                <w:color w:val="auto"/>
              </w:rPr>
            </w:pPr>
          </w:p>
        </w:tc>
        <w:tc>
          <w:tcPr>
            <w:tcW w:w="280" w:type="dxa"/>
            <w:vAlign w:val="bottom"/>
            <w:gridSpan w:val="3"/>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96,887</w:t>
            </w:r>
          </w:p>
        </w:tc>
        <w:tc>
          <w:tcPr>
            <w:tcW w:w="80" w:type="dxa"/>
            <w:vAlign w:val="bottom"/>
          </w:tcPr>
          <w:p>
            <w:pPr>
              <w:spacing w:after="0"/>
              <w:rPr>
                <w:sz w:val="11"/>
                <w:szCs w:val="11"/>
                <w:color w:val="auto"/>
              </w:rPr>
            </w:pPr>
          </w:p>
        </w:tc>
        <w:tc>
          <w:tcPr>
            <w:tcW w:w="2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11"/>
                <w:szCs w:val="11"/>
                <w:color w:val="auto"/>
              </w:rPr>
            </w:pPr>
          </w:p>
        </w:tc>
        <w:tc>
          <w:tcPr>
            <w:tcW w:w="1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(226,560)</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173,34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34,712,525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3"/>
                <w:szCs w:val="13"/>
                <w:color w:val="auto"/>
              </w:rPr>
            </w:pPr>
          </w:p>
        </w:tc>
        <w:tc>
          <w:tcPr>
            <w:tcW w:w="76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(96,887)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314,83</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(368,0</w:t>
            </w:r>
          </w:p>
        </w:tc>
        <w:tc>
          <w:tcPr>
            <w:tcW w:w="2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48,325,794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(53,213)</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27,821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1,042</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(54,50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(54,503)</w:t>
            </w:r>
          </w:p>
        </w:tc>
        <w:tc>
          <w:tcPr>
            <w:tcW w:w="0" w:type="dxa"/>
            <w:vAlign w:val="bottom"/>
          </w:tcPr>
          <w:p>
            <w:pPr>
              <w:spacing w:after="0"/>
              <w:rPr>
                <w:sz w:val="1"/>
                <w:szCs w:val="1"/>
                <w:color w:val="auto"/>
              </w:rPr>
            </w:pPr>
          </w:p>
        </w:tc>
      </w:tr>
      <w:tr>
        <w:trPr>
          <w:trHeight w:val="108"/>
        </w:trPr>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315,96</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(422,5</w:t>
            </w:r>
          </w:p>
        </w:tc>
        <w:tc>
          <w:tcPr>
            <w:tcW w:w="2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48,353,615</w:t>
            </w:r>
          </w:p>
        </w:tc>
        <w:tc>
          <w:tcPr>
            <w:tcW w:w="40" w:type="dxa"/>
            <w:vAlign w:val="bottom"/>
          </w:tcPr>
          <w:p>
            <w:pPr>
              <w:spacing w:after="0"/>
              <w:rPr>
                <w:sz w:val="13"/>
                <w:szCs w:val="13"/>
                <w:color w:val="auto"/>
              </w:rPr>
            </w:pP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w:t>
            </w:r>
          </w:p>
        </w:tc>
        <w:tc>
          <w:tcPr>
            <w:tcW w:w="180" w:type="dxa"/>
            <w:vAlign w:val="bottom"/>
          </w:tcPr>
          <w:p>
            <w:pPr>
              <w:spacing w:after="0"/>
              <w:rPr>
                <w:sz w:val="13"/>
                <w:szCs w:val="13"/>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59)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(106,594)</w:t>
            </w: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20" w:space="20"/>
            <w:col w:w="5600"/>
          </w:cols>
          <w:pgMar w:left="320" w:top="988" w:right="339" w:bottom="1440" w:gutter="0" w:footer="0" w:header="0"/>
          <w:type w:val="continuous"/>
        </w:sectPr>
      </w:pPr>
    </w:p>
    <w:p>
      <w:pPr>
        <w:ind w:left="22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780" w:type="dxa"/>
            <w:vAlign w:val="bottom"/>
          </w:tcPr>
          <w:p>
            <w:pPr>
              <w:spacing w:after="0"/>
              <w:rPr>
                <w:sz w:val="11"/>
                <w:szCs w:val="11"/>
                <w:color w:val="auto"/>
              </w:rPr>
            </w:pPr>
          </w:p>
        </w:tc>
        <w:tc>
          <w:tcPr>
            <w:tcW w:w="136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c>
          <w:tcPr>
            <w:tcW w:w="240" w:type="dxa"/>
            <w:vAlign w:val="bottom"/>
          </w:tcPr>
          <w:p>
            <w:pPr>
              <w:spacing w:after="0"/>
              <w:rPr>
                <w:sz w:val="11"/>
                <w:szCs w:val="11"/>
                <w:color w:val="auto"/>
              </w:rPr>
            </w:pP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1"/>
                <w:szCs w:val="11"/>
                <w:b w:val="1"/>
                <w:bCs w:val="1"/>
                <w:color w:val="auto"/>
              </w:rPr>
              <w:t>Stockholders’ Equity (Deficit)</w:t>
            </w: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780" w:type="dxa"/>
            <w:vAlign w:val="bottom"/>
          </w:tcPr>
          <w:p>
            <w:pPr>
              <w:spacing w:after="0"/>
              <w:rPr>
                <w:sz w:val="8"/>
                <w:szCs w:val="8"/>
                <w:color w:val="auto"/>
              </w:rPr>
            </w:pPr>
          </w:p>
        </w:tc>
        <w:tc>
          <w:tcPr>
            <w:tcW w:w="1120" w:type="dxa"/>
            <w:vAlign w:val="bottom"/>
            <w:gridSpan w:val="4"/>
          </w:tcPr>
          <w:p>
            <w:pPr>
              <w:jc w:val="right"/>
              <w:ind w:right="27"/>
              <w:spacing w:after="0" w:line="100"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gridSpan w:val="5"/>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118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8"/>
                <w:szCs w:val="8"/>
                <w:color w:val="auto"/>
              </w:rPr>
            </w:pPr>
          </w:p>
        </w:tc>
        <w:tc>
          <w:tcPr>
            <w:tcW w:w="920" w:type="dxa"/>
            <w:vAlign w:val="bottom"/>
            <w:gridSpan w:val="4"/>
            <w:vMerge w:val="restart"/>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3"/>
          </w:tcPr>
          <w:p>
            <w:pPr>
              <w:jc w:val="center"/>
              <w:ind w:right="98"/>
              <w:spacing w:after="0" w:line="100" w:lineRule="exact"/>
              <w:rPr>
                <w:sz w:val="20"/>
                <w:szCs w:val="20"/>
                <w:color w:val="auto"/>
              </w:rPr>
            </w:pPr>
            <w:r>
              <w:rPr>
                <w:rFonts w:ascii="Times New Roman" w:cs="Times New Roman" w:eastAsia="Times New Roman" w:hAnsi="Times New Roman"/>
                <w:sz w:val="11"/>
                <w:szCs w:val="11"/>
                <w:b w:val="1"/>
                <w:bCs w:val="1"/>
                <w:color w:val="auto"/>
                <w:w w:val="99"/>
              </w:rPr>
              <w:t>Accumulate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auto"/>
            </w:tcBorders>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620" w:type="dxa"/>
            <w:vAlign w:val="bottom"/>
            <w:gridSpan w:val="2"/>
          </w:tcPr>
          <w:p>
            <w:pPr>
              <w:jc w:val="center"/>
              <w:ind w:right="198"/>
              <w:spacing w:after="0" w:line="124" w:lineRule="exact"/>
              <w:rPr>
                <w:sz w:val="20"/>
                <w:szCs w:val="20"/>
                <w:color w:val="auto"/>
              </w:rPr>
            </w:pPr>
            <w:r>
              <w:rPr>
                <w:rFonts w:ascii="Times New Roman" w:cs="Times New Roman" w:eastAsia="Times New Roman" w:hAnsi="Times New Roman"/>
                <w:sz w:val="11"/>
                <w:szCs w:val="11"/>
                <w:b w:val="1"/>
                <w:bCs w:val="1"/>
                <w:color w:val="auto"/>
                <w:w w:val="97"/>
              </w:rPr>
              <w:t>d</w:t>
            </w:r>
          </w:p>
        </w:tc>
        <w:tc>
          <w:tcPr>
            <w:tcW w:w="100" w:type="dxa"/>
            <w:vAlign w:val="bottom"/>
          </w:tcPr>
          <w:p>
            <w:pPr>
              <w:spacing w:after="0"/>
              <w:rPr>
                <w:sz w:val="10"/>
                <w:szCs w:val="10"/>
                <w:color w:val="auto"/>
              </w:rPr>
            </w:pPr>
          </w:p>
        </w:tc>
        <w:tc>
          <w:tcPr>
            <w:tcW w:w="1140" w:type="dxa"/>
            <w:vAlign w:val="bottom"/>
            <w:gridSpan w:val="3"/>
          </w:tcPr>
          <w:p>
            <w:pPr>
              <w:jc w:val="right"/>
              <w:ind w:right="180"/>
              <w:spacing w:after="0" w:line="124" w:lineRule="exact"/>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99"/>
        </w:trPr>
        <w:tc>
          <w:tcPr>
            <w:tcW w:w="278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Amoun</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w:t>
            </w: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320"/>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780" w:type="dxa"/>
            <w:vAlign w:val="bottom"/>
            <w:vMerge w:val="continue"/>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w:t>
            </w:r>
          </w:p>
        </w:tc>
        <w:tc>
          <w:tcPr>
            <w:tcW w:w="200" w:type="dxa"/>
            <w:vAlign w:val="bottom"/>
            <w:vMerge w:val="restart"/>
          </w:tcPr>
          <w:p>
            <w:pPr>
              <w:spacing w:after="0"/>
              <w:rPr>
                <w:sz w:val="7"/>
                <w:szCs w:val="7"/>
                <w:color w:val="auto"/>
              </w:rPr>
            </w:pPr>
          </w:p>
        </w:tc>
        <w:tc>
          <w:tcPr>
            <w:tcW w:w="700" w:type="dxa"/>
            <w:vAlign w:val="bottom"/>
            <w:vMerge w:val="restart"/>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unt</w:t>
            </w:r>
          </w:p>
        </w:tc>
        <w:tc>
          <w:tcPr>
            <w:tcW w:w="220" w:type="dxa"/>
            <w:vAlign w:val="bottom"/>
          </w:tcPr>
          <w:p>
            <w:pPr>
              <w:spacing w:after="0"/>
              <w:rPr>
                <w:sz w:val="7"/>
                <w:szCs w:val="7"/>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restart"/>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restart"/>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780" w:type="dxa"/>
            <w:vAlign w:val="bottom"/>
          </w:tcPr>
          <w:p>
            <w:pPr>
              <w:spacing w:after="0"/>
              <w:rPr>
                <w:sz w:val="4"/>
                <w:szCs w:val="4"/>
                <w:color w:val="auto"/>
              </w:rPr>
            </w:pPr>
          </w:p>
        </w:tc>
        <w:tc>
          <w:tcPr>
            <w:tcW w:w="50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bottom w:val="single" w:sz="8" w:color="auto"/>
            </w:tcBorders>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Borders>
              <w:bottom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78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500" w:type="dxa"/>
            <w:vAlign w:val="bottom"/>
            <w:shd w:val="clear" w:color="auto" w:fill="CFF0FC"/>
          </w:tcPr>
          <w:p>
            <w:pPr>
              <w:spacing w:after="0"/>
              <w:rPr>
                <w:sz w:val="11"/>
                <w:szCs w:val="11"/>
                <w:color w:val="auto"/>
              </w:rPr>
            </w:pPr>
          </w:p>
        </w:tc>
        <w:tc>
          <w:tcPr>
            <w:tcW w:w="18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gridSpan w:val="2"/>
            <w:shd w:val="clear" w:color="auto" w:fill="CFF0FC"/>
          </w:tcPr>
          <w:p>
            <w:pPr>
              <w:jc w:val="right"/>
              <w:ind w:right="8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3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98,881,933</w:t>
            </w:r>
          </w:p>
        </w:tc>
        <w:tc>
          <w:tcPr>
            <w:tcW w:w="4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$ 10</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ind w:left="26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601,781</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gridSpan w:val="2"/>
            <w:shd w:val="clear" w:color="auto" w:fill="CFF0FC"/>
          </w:tcPr>
          <w:p>
            <w:pPr>
              <w:jc w:val="right"/>
              <w:ind w:right="38"/>
              <w:spacing w:after="0" w:line="129" w:lineRule="exact"/>
              <w:rPr>
                <w:sz w:val="20"/>
                <w:szCs w:val="20"/>
                <w:color w:val="auto"/>
              </w:rPr>
            </w:pPr>
            <w:r>
              <w:rPr>
                <w:rFonts w:ascii="Times New Roman" w:cs="Times New Roman" w:eastAsia="Times New Roman" w:hAnsi="Times New Roman"/>
                <w:sz w:val="13"/>
                <w:szCs w:val="13"/>
                <w:b w:val="1"/>
                <w:bCs w:val="1"/>
                <w:color w:val="auto"/>
              </w:rPr>
              <w:t>(606,601)</w:t>
            </w: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(4,810)</w:t>
            </w:r>
          </w:p>
        </w:tc>
        <w:tc>
          <w:tcPr>
            <w:tcW w:w="0" w:type="dxa"/>
            <w:vAlign w:val="bottom"/>
          </w:tcPr>
          <w:p>
            <w:pPr>
              <w:spacing w:after="0"/>
              <w:rPr>
                <w:sz w:val="1"/>
                <w:szCs w:val="1"/>
                <w:color w:val="auto"/>
              </w:rPr>
            </w:pPr>
          </w:p>
        </w:tc>
      </w:tr>
      <w:tr>
        <w:trPr>
          <w:trHeight w:val="135"/>
        </w:trPr>
        <w:tc>
          <w:tcPr>
            <w:tcW w:w="27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Issuance of common stock to advisors</w:t>
            </w:r>
          </w:p>
        </w:tc>
        <w:tc>
          <w:tcPr>
            <w:tcW w:w="500" w:type="dxa"/>
            <w:vAlign w:val="bottom"/>
          </w:tcPr>
          <w:p>
            <w:pPr>
              <w:spacing w:after="0"/>
              <w:rPr>
                <w:sz w:val="11"/>
                <w:szCs w:val="11"/>
                <w:color w:val="auto"/>
              </w:rPr>
            </w:pPr>
          </w:p>
        </w:tc>
        <w:tc>
          <w:tcPr>
            <w:tcW w:w="1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60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769,231</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0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2,238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Exercises of stock options</w:t>
            </w:r>
          </w:p>
        </w:tc>
        <w:tc>
          <w:tcPr>
            <w:tcW w:w="500" w:type="dxa"/>
            <w:vAlign w:val="bottom"/>
            <w:shd w:val="clear" w:color="auto" w:fill="CFF0FC"/>
          </w:tcPr>
          <w:p>
            <w:pPr>
              <w:spacing w:after="0"/>
              <w:rPr>
                <w:sz w:val="11"/>
                <w:szCs w:val="11"/>
                <w:color w:val="auto"/>
              </w:rPr>
            </w:pPr>
          </w:p>
        </w:tc>
        <w:tc>
          <w:tcPr>
            <w:tcW w:w="1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15,080</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Releases of restricted stock units</w:t>
            </w:r>
          </w:p>
        </w:tc>
        <w:tc>
          <w:tcPr>
            <w:tcW w:w="500" w:type="dxa"/>
            <w:vAlign w:val="bottom"/>
          </w:tcPr>
          <w:p>
            <w:pPr>
              <w:spacing w:after="0"/>
              <w:rPr>
                <w:sz w:val="11"/>
                <w:szCs w:val="11"/>
                <w:color w:val="auto"/>
              </w:rPr>
            </w:pPr>
          </w:p>
        </w:tc>
        <w:tc>
          <w:tcPr>
            <w:tcW w:w="1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60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1,331,257</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0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78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Common stock issued under the committed equity</w:t>
            </w:r>
          </w:p>
        </w:tc>
        <w:tc>
          <w:tcPr>
            <w:tcW w:w="5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facility</w:t>
            </w:r>
          </w:p>
        </w:tc>
        <w:tc>
          <w:tcPr>
            <w:tcW w:w="500" w:type="dxa"/>
            <w:vAlign w:val="bottom"/>
            <w:shd w:val="clear" w:color="auto" w:fill="CFF0FC"/>
          </w:tcPr>
          <w:p>
            <w:pPr>
              <w:spacing w:after="0"/>
              <w:rPr>
                <w:sz w:val="13"/>
                <w:szCs w:val="13"/>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5,673,734</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20,388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8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Committed equity facility fee settled in common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50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83,353</w:t>
            </w:r>
          </w:p>
        </w:tc>
        <w:tc>
          <w:tcPr>
            <w:tcW w:w="2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4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00" w:type="dxa"/>
            <w:vAlign w:val="bottom"/>
            <w:shd w:val="clear" w:color="auto" w:fill="CFF0FC"/>
          </w:tcPr>
          <w:p>
            <w:pPr>
              <w:spacing w:after="0"/>
              <w:rPr>
                <w:sz w:val="11"/>
                <w:szCs w:val="11"/>
                <w:color w:val="auto"/>
              </w:rPr>
            </w:pPr>
          </w:p>
        </w:tc>
        <w:tc>
          <w:tcPr>
            <w:tcW w:w="1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9,486</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9,486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Pr>
          <w:p>
            <w:pPr>
              <w:spacing w:after="0"/>
              <w:rPr>
                <w:sz w:val="11"/>
                <w:szCs w:val="11"/>
                <w:color w:val="auto"/>
              </w:rPr>
            </w:pPr>
          </w:p>
        </w:tc>
        <w:tc>
          <w:tcPr>
            <w:tcW w:w="1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60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0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(26,258)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(26,258)</w:t>
            </w:r>
          </w:p>
        </w:tc>
        <w:tc>
          <w:tcPr>
            <w:tcW w:w="0" w:type="dxa"/>
            <w:vAlign w:val="bottom"/>
          </w:tcPr>
          <w:p>
            <w:pPr>
              <w:spacing w:after="0"/>
              <w:rPr>
                <w:sz w:val="1"/>
                <w:szCs w:val="1"/>
                <w:color w:val="auto"/>
              </w:rPr>
            </w:pPr>
          </w:p>
        </w:tc>
      </w:tr>
      <w:tr>
        <w:trPr>
          <w:trHeight w:val="108"/>
        </w:trPr>
        <w:tc>
          <w:tcPr>
            <w:tcW w:w="278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106,754,58</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9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7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September 30, 2025</w:t>
            </w:r>
          </w:p>
        </w:tc>
        <w:tc>
          <w:tcPr>
            <w:tcW w:w="50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40" w:type="dxa"/>
            <w:vAlign w:val="bottom"/>
            <w:tcBorders>
              <w:bottom w:val="single" w:sz="8" w:color="auto"/>
            </w:tcBorders>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ind w:left="480"/>
              <w:spacing w:after="0" w:line="136"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80" w:type="dxa"/>
            <w:vAlign w:val="bottom"/>
            <w:tcBorders>
              <w:bottom w:val="single" w:sz="8" w:color="auto"/>
            </w:tcBorders>
            <w:shd w:val="clear" w:color="auto" w:fill="CFF0FC"/>
          </w:tcPr>
          <w:p>
            <w:pPr>
              <w:ind w:left="14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6"/>
              </w:rPr>
              <w:t>$ 11</w:t>
            </w:r>
          </w:p>
        </w:tc>
        <w:tc>
          <w:tcPr>
            <w:tcW w:w="2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ind w:left="26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634,154</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8"/>
              </w:rPr>
              <w:t>(632,859</w:t>
            </w:r>
          </w:p>
        </w:tc>
        <w:tc>
          <w:tcPr>
            <w:tcW w:w="12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1,306</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2"/>
        </w:trPr>
        <w:tc>
          <w:tcPr>
            <w:tcW w:w="2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-933450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-916305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-933450</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-916305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-933450</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-916305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-933450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-916305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-933450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-916305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-933450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-916305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-933450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-916305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-933450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-916305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-933450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-916305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-933450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-916305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37"/>
        </w:trPr>
        <w:tc>
          <w:tcPr>
            <w:tcW w:w="2680" w:type="dxa"/>
            <w:vAlign w:val="bottom"/>
          </w:tcPr>
          <w:p>
            <w:pPr>
              <w:spacing w:after="0"/>
              <w:rPr>
                <w:sz w:val="11"/>
                <w:szCs w:val="11"/>
                <w:color w:val="auto"/>
              </w:rPr>
            </w:pPr>
          </w:p>
        </w:tc>
        <w:tc>
          <w:tcPr>
            <w:tcW w:w="1440" w:type="dxa"/>
            <w:vAlign w:val="bottom"/>
            <w:gridSpan w:val="7"/>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Redeemable Convertible</w:t>
            </w:r>
          </w:p>
        </w:tc>
        <w:tc>
          <w:tcPr>
            <w:tcW w:w="146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7"/>
          </w:tcPr>
          <w:p>
            <w:pPr>
              <w:jc w:val="center"/>
              <w:ind w:right="319"/>
              <w:spacing w:after="0"/>
              <w:rPr>
                <w:sz w:val="20"/>
                <w:szCs w:val="20"/>
                <w:color w:val="auto"/>
              </w:rPr>
            </w:pPr>
            <w:r>
              <w:rPr>
                <w:rFonts w:ascii="Times New Roman" w:cs="Times New Roman" w:eastAsia="Times New Roman" w:hAnsi="Times New Roman"/>
                <w:sz w:val="11"/>
                <w:szCs w:val="11"/>
                <w:b w:val="1"/>
                <w:bCs w:val="1"/>
                <w:color w:val="auto"/>
                <w:w w:val="97"/>
              </w:rPr>
              <w:t>Stockholders’ Deficit</w:t>
            </w: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1440" w:type="dxa"/>
            <w:vAlign w:val="bottom"/>
            <w:gridSpan w:val="7"/>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460" w:type="dxa"/>
            <w:vAlign w:val="bottom"/>
            <w:gridSpan w:val="5"/>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Accumulat</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6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1"/>
                <w:szCs w:val="11"/>
                <w:b w:val="1"/>
                <w:bCs w:val="1"/>
                <w:color w:val="auto"/>
              </w:rPr>
              <w:t>ed</w:t>
            </w:r>
          </w:p>
        </w:tc>
        <w:tc>
          <w:tcPr>
            <w:tcW w:w="100" w:type="dxa"/>
            <w:vAlign w:val="bottom"/>
          </w:tcPr>
          <w:p>
            <w:pPr>
              <w:spacing w:after="0"/>
              <w:rPr>
                <w:sz w:val="10"/>
                <w:szCs w:val="10"/>
                <w:color w:val="auto"/>
              </w:rPr>
            </w:pPr>
          </w:p>
        </w:tc>
        <w:tc>
          <w:tcPr>
            <w:tcW w:w="1060" w:type="dxa"/>
            <w:vAlign w:val="bottom"/>
            <w:gridSpan w:val="3"/>
          </w:tcPr>
          <w:p>
            <w:pPr>
              <w:jc w:val="right"/>
              <w:ind w:right="140"/>
              <w:spacing w:after="0" w:line="124" w:lineRule="exact"/>
              <w:rPr>
                <w:sz w:val="20"/>
                <w:szCs w:val="20"/>
                <w:color w:val="auto"/>
              </w:rPr>
            </w:pPr>
            <w:r>
              <w:rPr>
                <w:rFonts w:ascii="Times New Roman" w:cs="Times New Roman" w:eastAsia="Times New Roman" w:hAnsi="Times New Roman"/>
                <w:sz w:val="11"/>
                <w:szCs w:val="11"/>
                <w:b w:val="1"/>
                <w:bCs w:val="1"/>
                <w:color w:val="auto"/>
                <w:w w:val="97"/>
              </w:rPr>
              <w:t>Total Stockholders’</w:t>
            </w:r>
          </w:p>
        </w:tc>
        <w:tc>
          <w:tcPr>
            <w:tcW w:w="0" w:type="dxa"/>
            <w:vAlign w:val="bottom"/>
          </w:tcPr>
          <w:p>
            <w:pPr>
              <w:spacing w:after="0"/>
              <w:rPr>
                <w:sz w:val="1"/>
                <w:szCs w:val="1"/>
                <w:color w:val="auto"/>
              </w:rPr>
            </w:pPr>
          </w:p>
        </w:tc>
      </w:tr>
      <w:tr>
        <w:trPr>
          <w:trHeight w:val="99"/>
        </w:trPr>
        <w:tc>
          <w:tcPr>
            <w:tcW w:w="268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680" w:type="dxa"/>
            <w:vAlign w:val="bottom"/>
            <w:vMerge w:val="continue"/>
          </w:tcPr>
          <w:p>
            <w:pPr>
              <w:spacing w:after="0"/>
              <w:rPr>
                <w:sz w:val="7"/>
                <w:szCs w:val="7"/>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7"/>
                <w:szCs w:val="7"/>
                <w:color w:val="auto"/>
              </w:rPr>
            </w:pPr>
          </w:p>
        </w:tc>
        <w:tc>
          <w:tcPr>
            <w:tcW w:w="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7"/>
                <w:szCs w:val="7"/>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7"/>
                <w:szCs w:val="7"/>
                <w:color w:val="auto"/>
              </w:rPr>
            </w:pPr>
          </w:p>
        </w:tc>
        <w:tc>
          <w:tcPr>
            <w:tcW w:w="260" w:type="dxa"/>
            <w:vAlign w:val="bottom"/>
            <w:vMerge w:val="restart"/>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nt</w:t>
            </w:r>
          </w:p>
        </w:tc>
        <w:tc>
          <w:tcPr>
            <w:tcW w:w="200" w:type="dxa"/>
            <w:vAlign w:val="bottom"/>
          </w:tcPr>
          <w:p>
            <w:pPr>
              <w:spacing w:after="0"/>
              <w:rPr>
                <w:sz w:val="7"/>
                <w:szCs w:val="7"/>
                <w:color w:val="auto"/>
              </w:rPr>
            </w:pPr>
          </w:p>
        </w:tc>
        <w:tc>
          <w:tcPr>
            <w:tcW w:w="680" w:type="dxa"/>
            <w:vAlign w:val="bottom"/>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7"/>
                <w:szCs w:val="7"/>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49"/>
        </w:trPr>
        <w:tc>
          <w:tcPr>
            <w:tcW w:w="26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4"/>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68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600" w:type="dxa"/>
            <w:vAlign w:val="bottom"/>
            <w:tcBorders>
              <w:top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34,712,5</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173,3</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(396,95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80" w:type="dxa"/>
            <w:vAlign w:val="bottom"/>
            <w:vMerge w:val="continue"/>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13,633,706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142,221</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(254,731)</w:t>
            </w: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(34,712,5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34,712,525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8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(396,95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48,346,231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shd w:val="clear" w:color="auto" w:fill="CFF0FC"/>
          </w:tcPr>
          <w:p>
            <w:pPr>
              <w:spacing w:after="0"/>
              <w:rPr>
                <w:sz w:val="13"/>
                <w:szCs w:val="13"/>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315,563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(81,384)</w:t>
            </w:r>
          </w:p>
        </w:tc>
        <w:tc>
          <w:tcPr>
            <w:tcW w:w="0" w:type="dxa"/>
            <w:vAlign w:val="bottom"/>
          </w:tcPr>
          <w:p>
            <w:pPr>
              <w:spacing w:after="0"/>
              <w:rPr>
                <w:sz w:val="1"/>
                <w:szCs w:val="1"/>
                <w:color w:val="auto"/>
              </w:rPr>
            </w:pPr>
          </w:p>
        </w:tc>
      </w:tr>
      <w:tr>
        <w:trPr>
          <w:trHeight w:val="135"/>
        </w:trPr>
        <w:tc>
          <w:tcPr>
            <w:tcW w:w="26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7,384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ind w:left="4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(25,607)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(25,607)</w:t>
            </w:r>
          </w:p>
        </w:tc>
        <w:tc>
          <w:tcPr>
            <w:tcW w:w="0" w:type="dxa"/>
            <w:vAlign w:val="bottom"/>
          </w:tcPr>
          <w:p>
            <w:pPr>
              <w:spacing w:after="0"/>
              <w:rPr>
                <w:sz w:val="1"/>
                <w:szCs w:val="1"/>
                <w:color w:val="auto"/>
              </w:rPr>
            </w:pPr>
          </w:p>
        </w:tc>
      </w:tr>
      <w:tr>
        <w:trPr>
          <w:trHeight w:val="108"/>
        </w:trPr>
        <w:tc>
          <w:tcPr>
            <w:tcW w:w="268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(422,55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September 30, 2024</w:t>
            </w:r>
          </w:p>
        </w:tc>
        <w:tc>
          <w:tcPr>
            <w:tcW w:w="6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shd w:val="clear" w:color="auto" w:fill="CFF0FC"/>
          </w:tcPr>
          <w:p>
            <w:pPr>
              <w:spacing w:after="0"/>
              <w:rPr>
                <w:sz w:val="15"/>
                <w:szCs w:val="15"/>
                <w:color w:val="auto"/>
              </w:rPr>
            </w:pPr>
          </w:p>
        </w:tc>
        <w:tc>
          <w:tcPr>
            <w:tcW w:w="620" w:type="dxa"/>
            <w:vAlign w:val="bottom"/>
            <w:shd w:val="clear" w:color="auto" w:fill="CFF0FC"/>
          </w:tcPr>
          <w:p>
            <w:pPr>
              <w:ind w:left="48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48,353,615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w:t>
            </w:r>
          </w:p>
        </w:tc>
        <w:tc>
          <w:tcPr>
            <w:tcW w:w="20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gridSpan w:val="2"/>
            <w:shd w:val="clear" w:color="auto" w:fill="CFF0FC"/>
          </w:tcPr>
          <w:p>
            <w:pPr>
              <w:spacing w:after="0"/>
              <w:rPr>
                <w:sz w:val="15"/>
                <w:szCs w:val="15"/>
                <w:color w:val="auto"/>
              </w:rPr>
            </w:pPr>
          </w:p>
        </w:tc>
        <w:tc>
          <w:tcPr>
            <w:tcW w:w="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315,960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(106,594)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4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(57,290)</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(35,788)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(707)</w:t>
            </w: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0"/>
        </w:trPr>
        <w:tc>
          <w:tcPr>
            <w:tcW w:w="6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(707)</w:t>
            </w:r>
          </w:p>
        </w:tc>
        <w:tc>
          <w:tcPr>
            <w:tcW w:w="4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(1,165)</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 and PIPE financing, net of transaction costs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Funds held in escrow</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(4,332)</w:t>
            </w:r>
          </w:p>
        </w:tc>
        <w:tc>
          <w:tcPr>
            <w:tcW w:w="4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advances from related party</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9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net of financing charge on the committed equity</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facility</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committed equity facility transaction costs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short-term demand notes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31,773</w:t>
            </w:r>
          </w:p>
        </w:tc>
        <w:tc>
          <w:tcPr>
            <w:tcW w:w="3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102,380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(26,224)</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24,264</w:t>
            </w:r>
          </w:p>
        </w:tc>
        <w:tc>
          <w:tcPr>
            <w:tcW w:w="3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3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24,264</w:t>
            </w:r>
          </w:p>
        </w:tc>
        <w:tc>
          <w:tcPr>
            <w:tcW w:w="3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Capitalized deferred offering costs included in accounts payable and accrued expenses and</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Pr>
          <w:p>
            <w:pPr>
              <w:spacing w:after="0"/>
              <w:rPr>
                <w:sz w:val="20"/>
                <w:szCs w:val="20"/>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warrants with convertible notes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common stock under committed equity facility</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Conversion of convertible notes to common stock</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314,334</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exercise of warrants for common stock</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warrants for professional services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shareholder note receivable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Redemption of common shares with cash held in escrow</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-4474210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-4474210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-2399665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-2399665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-1816735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-1816735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8" w:name="page9"/>
    <w:bookmarkEnd w:id="8"/>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Blaize Holdings, Inc. (together with its subsidiaries, “Blaize,” or the “Company”) is headquartered in El Dorado Hills, California. The condensed consolidated financial statements of the Company, post-Merger (as defined below), include the accounts of the Company and its wholly owned subsidiaries. Prior to the Merger, the Company’s condensed consolidated financial statements included that of Legacy Blaize, as defined below, and included the accounts of Legacy Blaize and its wholly owned subsidiaries.</w:t>
      </w:r>
    </w:p>
    <w:p>
      <w:pPr>
        <w:spacing w:after="0" w:line="180"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The Company designs and develops low-power, high-efficiency, programmable artificial intelligence (“AI”) edge computing hardware and software, offering edge computing solutions for AI data collection and processing, with a focus on smart vision and other AI applications for the smart city, defense, retail and enterprise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 (together with the other transactions contemplated by the Merger Agreement, the “Business Combination”).</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Beginning on January 14, 2025, Blaize’s common stock and warrants trade on The Nasdaq Stock Market LLC (“Nasdaq”) under the ticker symbols “BZAI” and “BZAIW”,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treated as the acquired company and Legacy Blaize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by applying the Exchange Ratio. Legacy Blaize shareholders were issued 87,314,968 shares of common stock.</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(“BurTech LP”) was the sponsor of BurTech (the “Sponsor”) and with the close of the Merger, BurTech LP and its affiliated entities have remained a significant shareholder in Blaize.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Since the inception of the Company and through September 30, 2025, the Company has funded its operations primarily with cash flows from contributions from founders or other investors and other financing activities. The Company has incurred recurring losses and negative operating cash flows since its inception, including net losses of $203.6 million and $54.5 million for the nine months ended September 30, 2025 and 2024, respectively. As of September 30, 2025, the Company had cash and cash equivalents of $24.0 million, and an accumulated deficit of $632.9 million.</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July 14, 2025, the Company entered into a Common Stock Purchase Agreement (the “Committed Equity Facility”) and a related Registration Rights Agreement with B. Riley Principal Capital II, LLC (“B. Riley”). Pursuant to the Committed Equity Facility, the Company has the right, but not the obligation, to sell to B. Riley up to an aggregate of $50.0 million in gross proceeds of newly issued shares of the Company’s common stock, subject to certain conditions and limitations, which will be used to further support the Company’s growth strategy (see Notes 2, 6 and 13).</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its operations, the Company will need to raise additional financing. There can be no assurance that the Company will be able to raise additional financing.</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its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w:t>
      </w:r>
      <w:r>
        <w:rPr>
          <w:rFonts w:ascii="Times New Roman" w:cs="Times New Roman" w:eastAsia="Times New Roman" w:hAnsi="Times New Roman"/>
          <w:sz w:val="18"/>
          <w:szCs w:val="18"/>
          <w:color w:val="auto"/>
        </w:rPr>
        <w:t>, management has determined that the Company’s liquidity condition raises substantial doubt about its ability to continue as a going concern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one year from the date that these condensed consolidated financial statements are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and all significant intercompany balances and transactions have been eliminated in consolidation for all periods presented. The Company has no other comprehensive income or loss, therefore net loss was equal to other comprehensive loss for all periods presented. The results of operations of any interim periods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and the estimated fair values of historical convertible notes and legacy warrants, the Other Earnout Shares, the Committed Equity Facility, unissued shares of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cash and cash equivalents balances in excess of domestic and international insurance limits of $23.1 million and $49.3 million, respectively.</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held $3.8 million in mutual funds and less than $0.1 million in U.S. Government money market funds, while as of December 31, 2024, the Company held $30.6 million in U.S. Government treasury securities, $9.2 million in U.S. Government money market funds, and $5.1 million in mutual funds (see Note 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September 30, 2025 and December 31, 2024, restricted cash of $0.3 million was included within other assets on the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against the allowance after all means of collection have been exhausted and the potential for recovery is considered remote. The allowance for credit losses was $0.4 million as of September 30, 2025 and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incurred from issuing securities. The Company’s deferred offering costs primarily relate to offering costs associated with the Merger (see Note 3), as well as offering costs associated with future equity financing arrangements.</w:t>
      </w:r>
    </w:p>
    <w:p>
      <w:pPr>
        <w:spacing w:after="0" w:line="176"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the related offering costs that had been capitalized were fully expensed within transaction costs on the condensed consolidated statement of operations during the nine months ended September 30, 2025. As of September 30, 2025, there was $0.2 million of capitalized deferred offering costs in relation to future equity financing arrangements, and as of December 31, 2024, there was $11.1 million of deferred offering costs in relation to the Merger, respectively, included in prepaid expenses and other current assets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and nine months ended September 30, 2025 and 2024, the Company did not recognize any impairment expense related to its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evaluates the terms of its debt instruments and other contracts to determine if those contracts or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227" w:lineRule="exact"/>
        <w:rPr>
          <w:sz w:val="20"/>
          <w:szCs w:val="20"/>
          <w:color w:val="auto"/>
        </w:rPr>
      </w:pPr>
    </w:p>
    <w:p>
      <w:pPr>
        <w:jc w:val="both"/>
        <w:ind w:right="160" w:firstLine="449"/>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Committed Equity Facility to determine whether it should be accounted for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concluded that it is an equity-linked contract that does not qualify for equity classification (see Notes 1, 6 and 13). As a result, the Committed Equity Facility is considered to be a freestanding purchased put right and should be accounted for as a derivative with fair value accounting. Changes in the fair value of the Committed Equity Facility will be recorded on the condensed consolidated statements of operations.</w:t>
      </w:r>
    </w:p>
    <w:p>
      <w:pPr>
        <w:spacing w:after="0" w:line="182"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Additionally, the Company analyzed the subsequent draws on the Committed Equity Facility and determined that each draw would be considered a forward contract and should be accounted for individually as derivatives with fair value accounting. As of September 30, 2025, the forward contracts from subsequent draws on the Committed Equity Facility were insignificant.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Notes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Debt—Debt with Conversion and Other Options (Subtopic 470-20) and Derivatives and Hedging—Contracts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Entity’s Own Equity (Subtopic 815-40): Accounting for Convertible Instruments and Contracts in an Entity’s Own Equity</w:t>
      </w:r>
      <w:r>
        <w:rPr>
          <w:rFonts w:ascii="Times New Roman" w:cs="Times New Roman" w:eastAsia="Times New Roman" w:hAnsi="Times New Roman"/>
          <w:sz w:val="18"/>
          <w:szCs w:val="18"/>
          <w:color w:val="auto"/>
        </w:rPr>
        <w:t>. The Company elected to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its convertible notes at fair value at each period end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Warrants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10). The liability associated with these warrants was subject to fair value remeasurement at each balance sheet date, with changes in fair value recorded in change in the fair value of warrants on the condensed consolidated statements of operations. The warrants were remeasured just prior to the date of the Merger and, upon the consummation of the Merger, the warrants were fully converted into shares of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29"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employee equity award holders (including holders of stock options and restricted stock units (“RSUs”) are entitled to receive up to 15,000,000 shares of common stock and Burkhan has the right to receive up to 2,600,000 shares of common stock. (collectively, the “Earnout Shares”) (see Note 3).</w:t>
      </w:r>
    </w:p>
    <w:p>
      <w:pPr>
        <w:spacing w:after="0" w:line="176"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 xml:space="preserve">Earnout Shares issued to eligible Legacy Blaize employee equity award holders (“Employee Earnout Shares”) are considered a compensatory award and are accounted for under ASC 718,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Further, these Employee Earnout Shares have been determined to be equity classified and accordingly, will not be remeasured at each reporting date.</w:t>
      </w:r>
    </w:p>
    <w:p>
      <w:pPr>
        <w:spacing w:after="0" w:line="176" w:lineRule="exact"/>
        <w:rPr>
          <w:sz w:val="20"/>
          <w:szCs w:val="20"/>
          <w:color w:val="auto"/>
        </w:rPr>
      </w:pPr>
    </w:p>
    <w:p>
      <w:pPr>
        <w:jc w:val="both"/>
        <w:ind w:right="200" w:firstLine="449"/>
        <w:spacing w:after="0" w:line="258" w:lineRule="auto"/>
        <w:rPr>
          <w:sz w:val="20"/>
          <w:szCs w:val="20"/>
          <w:color w:val="auto"/>
        </w:rPr>
      </w:pPr>
      <w:r>
        <w:rPr>
          <w:rFonts w:ascii="Times New Roman" w:cs="Times New Roman" w:eastAsia="Times New Roman" w:hAnsi="Times New Roman"/>
          <w:sz w:val="18"/>
          <w:szCs w:val="18"/>
          <w:color w:val="auto"/>
        </w:rPr>
        <w:t xml:space="preserve">Earnout Shares issued to Burkhan and Legacy Blaize shareholders not within the scope of ASC 718 (the “Other Earnout Shares”), were evaluated by management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The Company determined that the Other Earnout Shares are freestanding and not liability-classified under ASC 480 but represented a structured forward contract pursuant to ASC 815, which resulted in liability classification (see Note 3). Therefore, the Company considers the Other Earnout Shares a derivative liability and will remeasure the Other Earnout Shares at each reporting date, with changes in the fair value recorded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 (iii) Series B Shadow Preferred Stock, (iv) Series C Shadow Preferred Stock, (v) Series D Shadow Preferred Stock, (vi) Series D Exchange Shadow Preferred Stock, (vii) 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18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(see Note 3). All shares of redeemable convertible preferred stock that were converted into shares of common stock were retroactively adjusted using the exchange ratio and reclassified into permanent equity as a result of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end while the warrants are outstanding.</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 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September 30,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all its revenue from contracts with customers, including sales of hardware and software products and engineering services, all as further described below. 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a period of time. Hardware revenue is recognized at a point in time when the product is shipped.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Revenue from hardware product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revenue from engineering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 w:type="dxa"/>
            <w:vAlign w:val="bottom"/>
          </w:tcPr>
          <w:p>
            <w:pPr>
              <w:spacing w:after="0"/>
              <w:rPr>
                <w:sz w:val="15"/>
                <w:szCs w:val="15"/>
                <w:color w:val="auto"/>
              </w:rPr>
            </w:pPr>
          </w:p>
        </w:tc>
        <w:tc>
          <w:tcPr>
            <w:tcW w:w="25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Additions to deferred revenue</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Deferred revenue recognized</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5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Additions to deferred revenue and deferred revenue recognized during the three and nine months ended September 30, 2025 are from related parties (see Note 16).</w:t>
      </w:r>
    </w:p>
    <w:p>
      <w:pPr>
        <w:spacing w:after="0" w:line="204"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Cost of revenue is primarily comprised of the cost of semiconductors purchased from contract manufacturers, including wafer fabrication, assembly, testing and packaging, board, and device costs as well as indirect costs such as inventory carrying costs and inventory valuation reserves. In addition, cost of revenue also includes direct labor costs when applicable. There is no depreciation and amortization allocable to cost of revenue; however, if such depreciation and amortization expense were to be incurred, it would be allocated to cost of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stock options granted to employees, consultants, and directors based on the fair value of those awards at the date of grant over the requisite service period. The fair value of stock options granted is determined using the Black-Scholes option pricing model using various inputs, including Company estimates of expected share price volatility, term, risk-free rate and future dividends. The Company has elected the simplified method to determine the expected term of the option grants.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also grants RSUs to employees, consultants, and directors which vest upon the satisfaction of a service-based condition. The fair value of RSUs is determined based on the fair value of common stock at the date of grant. Due to the Merger that occurred during the nine months ended September 30,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(see Note 14). Forfeitures are recognized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requires fair value measurements be classified and disclosed in one of the following pricing categories:</w:t>
      </w:r>
    </w:p>
    <w:p>
      <w:pPr>
        <w:spacing w:after="0" w:line="185" w:lineRule="exact"/>
        <w:rPr>
          <w:sz w:val="20"/>
          <w:szCs w:val="20"/>
          <w:color w:val="auto"/>
        </w:rPr>
      </w:pPr>
    </w:p>
    <w:p>
      <w:pPr>
        <w:jc w:val="both"/>
        <w:ind w:left="800" w:right="20" w:hanging="795"/>
        <w:spacing w:after="0" w:line="262" w:lineRule="auto"/>
        <w:tabs>
          <w:tab w:leader="none" w:pos="78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 measurement date.</w:t>
      </w:r>
    </w:p>
    <w:p>
      <w:pPr>
        <w:jc w:val="both"/>
        <w:ind w:left="800" w:right="20" w:hanging="795"/>
        <w:spacing w:after="0" w:line="250" w:lineRule="auto"/>
        <w:tabs>
          <w:tab w:leader="none" w:pos="78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p>
      <w:pPr>
        <w:spacing w:after="0" w:line="1" w:lineRule="exact"/>
        <w:rPr>
          <w:sz w:val="20"/>
          <w:szCs w:val="20"/>
          <w:color w:val="auto"/>
        </w:rPr>
      </w:pPr>
    </w:p>
    <w:p>
      <w:pPr>
        <w:jc w:val="both"/>
        <w:ind w:left="800" w:right="20" w:hanging="795"/>
        <w:spacing w:after="0" w:line="255" w:lineRule="auto"/>
        <w:tabs>
          <w:tab w:leader="none" w:pos="78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carrying amounts of cash, accounts receivable (including from related parties), prepaid expenses and other current assets, accounts payable, accrued expenses and other current liabilities (including to related parties), accrued compensation, accrued loss on purchase commitments, and working capital loans approximate their fair values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net, in the condensed consolidated statements of operations. During the three and nine months ended September 30, 2025 and 2024, foreign currency transaction gains and losses were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treasury securities, mutual funds, and money market funds. The Company’s cash accounts in a financial institution may at times exceed the FDIC insurance coverage of $250,000. Investments in money markets are not insured or guaranteed by the FDIC or any other government agency.</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 The Company manages its accounts receivable credit risk through ongoing credit evaluation of the financial condition of its customers.</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two customers, one a related party (see Note 16), accounted for approximately 25% and 65% of the Company’s accounts receivable. As of December 31, 2024, one customer accounted for approximately 98% of the Company’s accounts receivable.</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The following table presents the Company’s significant customers: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8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114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A (See Note 16)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B (See Note 16)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C (See Note 16)</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D</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Defined as less than 10% for the period.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applies the treasury stock method to determine the dilutive effect of potentially dilutive securities, including warrants, and the if-converted method to determine the dilutive effect of any potentially dilutive convertible securities. The Company’s only participating securities for the three and nine months ended September 30, 2025 and 2024 are shares of the Company’s common stock, and any dividends declared on the common stock would be forfeitable if not vested. Since the Merger was accounted for as a reverse recapitalization, net loss per share has been retroactively adjusted for periods ended prior to the Merger.</w:t>
      </w:r>
    </w:p>
    <w:p>
      <w:pPr>
        <w:spacing w:after="0" w:line="183"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Shares used in the calculation of basic net loss per common share includes vested but unissued shares of common stock that the Company is contractually obligated to issue.</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There are no potentially dilutive securities included in the Company’s diluted net loss per share calculation for the three and nine months ended September 30, 2025 and 2024, as the effect of any potentially dilutive security is anti-dilutive due to the net losses in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The Company adopted this standard on January 1, 2025. The adoption of this standard did not have an impact on its condensed consolidated financial statements.</w:t>
      </w:r>
    </w:p>
    <w:p>
      <w:pPr>
        <w:spacing w:after="0" w:line="180"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the Company for the year ended December 31, 2025. The Company is currently evaluating the impact that the adoption of this ASU will have on its condensed consolidated financial statements.</w:t>
      </w:r>
    </w:p>
    <w:p>
      <w:pPr>
        <w:spacing w:after="0" w:line="17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accounted for as an induced conversion or extinguishment. This guidance is effective for the Company beginning on January 1, 2026, and early adoption is permitted, although the Company does not plan to early adopt. The Company is currently evaluating the impact that the adoption of this ASU will have on its condensed consolidated financial statements.</w:t>
      </w:r>
    </w:p>
    <w:p>
      <w:pPr>
        <w:spacing w:after="0" w:line="18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the Company beginning on January 1, 2027, and early adoption is permitted, although the Company does not plan to early adopt. The Company is currently evaluating the impact of the adoption of this standard.</w:t>
      </w:r>
    </w:p>
    <w:p>
      <w:pPr>
        <w:spacing w:after="0" w:line="182"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ASU provides a practical expedient to assume that conditions as of the balance sheet date remain unchanged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asset when estimating expected credit losses for current accounts receivable and current contract assets arising from transactions accounted for under ASC 606. This guidance is effective for the Company beginning on January 1, 2026, and early adoption is permitted, although the Company does not plan to early adopt. The amendments in this ASU should be applied prospectively. The Company is currently evaluating the impact of the adoption of this standard.</w:t>
      </w:r>
    </w:p>
    <w:p>
      <w:pPr>
        <w:spacing w:after="0" w:line="18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not yet effective, accounting standards would have a material effect on the accompanying condensed consolidated financial statements, if adopted.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Merger and Reverse Recapitalization</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each share of Legacy Blaize common stock issued and outstanding was canceled and converted into the right to receive approximately 0.78 shares (the “Exchange Ratio”) of common stock of BurTech.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Immediately prior to the consummation of the Merger, BurTech LP, a related party, issued a secured promissory note and pledge agreement (the “Shareholder Note”) to BurTech in the principal amount of $8.8 million in exchange for 750,000 shares of common stock. The principal of the Shareholder Note will decrease when BurTech LP pays for transaction costs that the Company assumed from BurTech in the Merger. The Shareholder Note bears interest at 7.0%, compounded annually on December 31 of each year and is secured by 2,000,000 shares of the Company’s common stock owned by BurTech LP. During the three and nine months ended September 30, 2025, payments of zero and $0.2 million, respectively, were made under the Shareholder Note. As of September 30, 2025, the outstanding principal of the Shareholder Note was $8.6 million, included in additional paid-in capital on the condensed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22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Non-Redemption Agreements with several unaffiliated stockholders of BurTech (each, an “Investor”) who agreed not to redeem (or validly rescind any redemption requests on) their shares of common stock (“Non-Redeemed Shares”). These Non-Redeemed Shares were exchanged for shares of the Company’s common stock and are held in a separate escrow account. In exchange for the foregoing commitments not to redeem the Non-Redeemed Shares, the Company and BurTech LP agreed to guarantee that each Investor receives a return of $1.50 per Non-Redeemed Share above the initial $11.57 per share (for a total redemption value of $13.07 per Non-Redeemed Share) held in the related cash escrow account if the Investor sells the Non-Redeemed Shares in the open market. The funds in the related cash escrow account are sufficient to fulfill the Company’s redemption obligation under the Non-Redemption Agreement. Starting 90 days after the Closing Date through 180 days after the Closing Date, each Investor has the right to exercise a put option to receive $13.07 per Non-Redeemed Share. The Sponsor, and not the Company, is contractually obligated for the $1.50 per share above the $11.57 held in cash escrow as it relates to the put option. Accordingly, the Company did not recognize a non-redemption liability as of the Closing Date or September 30, 2025.</w:t>
      </w:r>
    </w:p>
    <w:p>
      <w:pPr>
        <w:spacing w:after="0" w:line="19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condensed consolidated statement of cash flows and the condensed consolidated statement of stockholders’ equity (deficit) for the nine months ended September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Recapitalization</w:t>
            </w:r>
          </w:p>
        </w:tc>
        <w:tc>
          <w:tcPr>
            <w:tcW w:w="100" w:type="dxa"/>
            <w:vAlign w:val="bottom"/>
          </w:tcPr>
          <w:p>
            <w:pPr>
              <w:spacing w:after="0"/>
              <w:rPr>
                <w:sz w:val="15"/>
                <w:szCs w:val="15"/>
                <w:color w:val="auto"/>
              </w:rPr>
            </w:pPr>
          </w:p>
        </w:tc>
      </w:tr>
      <w:tr>
        <w:trPr>
          <w:trHeight w:val="209"/>
        </w:trPr>
        <w:tc>
          <w:tcPr>
            <w:tcW w:w="6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 BurTech trust and cash, net of redemptions</w:t>
            </w:r>
          </w:p>
        </w:tc>
        <w:tc>
          <w:tcPr>
            <w:tcW w:w="27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(33,061)</w:t>
            </w:r>
          </w:p>
        </w:tc>
      </w:tr>
      <w:tr>
        <w:trPr>
          <w:trHeight w:val="216"/>
        </w:trPr>
        <w:tc>
          <w:tcPr>
            <w:tcW w:w="6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 PIPE</w:t>
            </w:r>
          </w:p>
        </w:tc>
        <w:tc>
          <w:tcPr>
            <w:tcW w:w="2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transaction costs and advisory paid by BurTech</w:t>
            </w: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(3,619)</w:t>
            </w:r>
          </w:p>
        </w:tc>
      </w:tr>
      <w:tr>
        <w:trPr>
          <w:trHeight w:val="209"/>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proceeds from Merger</w:t>
            </w:r>
          </w:p>
        </w:tc>
        <w:tc>
          <w:tcPr>
            <w:tcW w:w="23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earnout shares</w:t>
            </w: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(126,025)</w:t>
            </w:r>
          </w:p>
        </w:tc>
      </w:tr>
      <w:tr>
        <w:trPr>
          <w:trHeight w:val="216"/>
        </w:trPr>
        <w:tc>
          <w:tcPr>
            <w:tcW w:w="6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2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(16,013)</w:t>
            </w:r>
          </w:p>
        </w:tc>
      </w:tr>
      <w:tr>
        <w:trPr>
          <w:trHeight w:val="20"/>
        </w:trPr>
        <w:tc>
          <w:tcPr>
            <w:tcW w:w="634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Merger and PIPE financing</w:t>
            </w:r>
          </w:p>
        </w:tc>
        <w:tc>
          <w:tcPr>
            <w:tcW w:w="23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(126,164)</w:t>
            </w:r>
          </w:p>
        </w:tc>
      </w:tr>
      <w:tr>
        <w:trPr>
          <w:trHeight w:val="20"/>
        </w:trPr>
        <w:tc>
          <w:tcPr>
            <w:tcW w:w="6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5"/>
        </w:trPr>
        <w:tc>
          <w:tcPr>
            <w:tcW w:w="63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the consummation of the Merger:</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BurTech Class A common stock, outstanding prior to the Merger</w:t>
            </w:r>
          </w:p>
        </w:tc>
        <w:tc>
          <w:tcPr>
            <w:tcW w:w="158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10,816,995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 forfeiture</w:t>
            </w:r>
          </w:p>
        </w:tc>
        <w:tc>
          <w:tcPr>
            <w:tcW w:w="1580" w:type="dxa"/>
            <w:vAlign w:val="bottom"/>
          </w:tcPr>
          <w:p>
            <w:pPr>
              <w:spacing w:after="0"/>
              <w:rPr>
                <w:sz w:val="18"/>
                <w:szCs w:val="18"/>
                <w:color w:val="auto"/>
              </w:rPr>
            </w:pPr>
          </w:p>
        </w:tc>
        <w:tc>
          <w:tcPr>
            <w:tcW w:w="19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BurTech Class A common stock subject to redemption, outstanding prior to the Merger</w:t>
            </w:r>
          </w:p>
        </w:tc>
        <w:tc>
          <w:tcPr>
            <w:tcW w:w="158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4,104,543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158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Redemption of BurTech Class A common stock</w:t>
            </w:r>
          </w:p>
        </w:tc>
        <w:tc>
          <w:tcPr>
            <w:tcW w:w="1580" w:type="dxa"/>
            <w:vAlign w:val="bottom"/>
            <w:shd w:val="clear" w:color="auto" w:fill="CFF0FC"/>
          </w:tcPr>
          <w:p>
            <w:pPr>
              <w:spacing w:after="0"/>
              <w:rPr>
                <w:sz w:val="18"/>
                <w:szCs w:val="18"/>
                <w:color w:val="auto"/>
              </w:rPr>
            </w:pPr>
          </w:p>
        </w:tc>
        <w:tc>
          <w:tcPr>
            <w:tcW w:w="19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(937,844)</w:t>
            </w: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BurTech Class A Shares in non-redemption escrow</w:t>
            </w:r>
          </w:p>
        </w:tc>
        <w:tc>
          <w:tcPr>
            <w:tcW w:w="1580" w:type="dxa"/>
            <w:vAlign w:val="bottom"/>
          </w:tcPr>
          <w:p>
            <w:pPr>
              <w:spacing w:after="0"/>
              <w:rPr>
                <w:sz w:val="18"/>
                <w:szCs w:val="18"/>
                <w:color w:val="auto"/>
              </w:rPr>
            </w:pPr>
          </w:p>
        </w:tc>
        <w:tc>
          <w:tcPr>
            <w:tcW w:w="19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(2,854,242)</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 stock of BurTech</w:t>
            </w:r>
          </w:p>
        </w:tc>
        <w:tc>
          <w:tcPr>
            <w:tcW w:w="1580" w:type="dxa"/>
            <w:vAlign w:val="bottom"/>
            <w:shd w:val="clear" w:color="auto" w:fill="CFF0FC"/>
          </w:tcPr>
          <w:p>
            <w:pPr>
              <w:spacing w:after="0"/>
              <w:rPr>
                <w:sz w:val="18"/>
                <w:szCs w:val="18"/>
                <w:color w:val="auto"/>
              </w:rPr>
            </w:pPr>
          </w:p>
        </w:tc>
        <w:tc>
          <w:tcPr>
            <w:tcW w:w="18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9,879,452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PIPE shares</w:t>
            </w:r>
          </w:p>
        </w:tc>
        <w:tc>
          <w:tcPr>
            <w:tcW w:w="158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BurTech Class B common stock, outstanding prior to the Merger</w:t>
            </w:r>
          </w:p>
        </w:tc>
        <w:tc>
          <w:tcPr>
            <w:tcW w:w="158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158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11,408,957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Legacy Blaize shares</w:t>
            </w:r>
          </w:p>
        </w:tc>
        <w:tc>
          <w:tcPr>
            <w:tcW w:w="158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87,314,968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1580" w:type="dxa"/>
            <w:vAlign w:val="bottom"/>
          </w:tcPr>
          <w:p>
            <w:pPr>
              <w:spacing w:after="0"/>
              <w:rPr>
                <w:sz w:val="18"/>
                <w:szCs w:val="18"/>
                <w:color w:val="auto"/>
              </w:rPr>
            </w:pP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58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98,818,874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number of Legacy Blaize shares was determined as follows: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720" w:type="dxa"/>
            <w:vAlign w:val="bottom"/>
          </w:tcPr>
          <w:p>
            <w:pPr>
              <w:spacing w:after="0"/>
              <w:rPr>
                <w:sz w:val="24"/>
                <w:szCs w:val="24"/>
                <w:color w:val="auto"/>
              </w:rPr>
            </w:pPr>
          </w:p>
        </w:tc>
        <w:tc>
          <w:tcPr>
            <w:tcW w:w="15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Legacy Blaize Shares</w:t>
            </w:r>
          </w:p>
        </w:tc>
        <w:tc>
          <w:tcPr>
            <w:tcW w:w="220" w:type="dxa"/>
            <w:vAlign w:val="bottom"/>
          </w:tcPr>
          <w:p>
            <w:pPr>
              <w:spacing w:after="0"/>
              <w:rPr>
                <w:sz w:val="24"/>
                <w:szCs w:val="24"/>
                <w:color w:val="auto"/>
              </w:rPr>
            </w:pPr>
          </w:p>
        </w:tc>
        <w:tc>
          <w:tcPr>
            <w:tcW w:w="17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Legacy Blaize Shares</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After Conversion</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17,518,791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13,663,527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44,506,781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34,712,525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40,302,382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31,433,259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exercise of legacy warrants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9,623,432</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111,951,386</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87,314,968</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Share Arrangements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Legacy Blaize shareholders, Legacy Blaize employee equity award holders (including stock options and RSUs) and Burkhan are entitled to Earnout Shares in four tranches upon the occurrence of four separate Triggering Events (defined below), if they occur between January 13, 2025 and January 13, 2030 (the “Earnout Period”). The Triggering Events are driven by whether the Company’s closing share price on 20 trading days out of 30 consecutive trading days equals or exceeds defined per share thresholds in each tranche as follows:</w:t>
      </w:r>
    </w:p>
    <w:p>
      <w:pPr>
        <w:spacing w:after="0" w:line="180" w:lineRule="exact"/>
        <w:rPr>
          <w:sz w:val="20"/>
          <w:szCs w:val="20"/>
          <w:color w:val="auto"/>
        </w:rPr>
      </w:pPr>
    </w:p>
    <w:p>
      <w:pPr>
        <w:ind w:left="460" w:hanging="452"/>
        <w:spacing w:after="0" w:line="26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$12.50 per share, 3,750,000 Earnout Shares to Legacy Blaize shareholders and Legacy Blaize employee equity award holders and 650,000 Earnout Shares to Burkhan will be issued; and</w:t>
      </w:r>
    </w:p>
    <w:p>
      <w:pPr>
        <w:ind w:left="460" w:hanging="452"/>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$15.00 per share, an additional 3,750,000 Earnout Shares to Legacy Blaize shareholders and Legacy Blaize employee equity award holders and an additional 650,000 Earnout Shares to Burkhan will be issued; and</w:t>
      </w:r>
    </w:p>
    <w:p>
      <w:pPr>
        <w:ind w:left="460" w:hanging="452"/>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$17.50 per share, an additional 3,750,000 Earnout Shares to Legacy Blaize shareholders and Legacy Blaize employee equity award holders and an additional 650,000 Earnout Shares to Burkhan will be issued; and</w:t>
      </w:r>
    </w:p>
    <w:p>
      <w:pPr>
        <w:jc w:val="both"/>
        <w:ind w:left="460" w:hanging="452"/>
        <w:spacing w:after="0" w:line="25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$20.00 per share, an additional 3,750,000 Earnout Shares to Legacy Blaize shareholders and Legacy Blaize employee equity award holders and an additional 650,000 Earnout Shares to Burkhan will be issued (each a “Triggering Event” and collectively, the “Triggering Events”).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Earnout Shares</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Employee Earnout Shares must provide service through the date the target is achieved and if an employee departs, the forfeited Employee Earnout Shares are reallocated to Legacy Blaize shareholders and the remaining pool equity award holders who received the right to the Earnout Shares on the Closing Date. The reallocated shares are considered a forfeiture of the original award and grant of a new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estimated fair value of the Employee Earnout Shares was $82.9 million, assuming the service conditions are met and assuming no forfeitures.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$3.8 million and $11.4 million, respectively, in stock-based compensation expense related to the Employee Earnout Shares. During the three and nine months ended September 30, 2025, 182,180 and 237,669 Employee Earnout Shares, respectively, were forfeited due to employee terminations. As of September 30, 2025, there was $68.6 million of total unrecognized compensation cost related to the Employee Earnout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Earnout Shares</w:t>
      </w:r>
    </w:p>
    <w:p>
      <w:pPr>
        <w:spacing w:after="0" w:line="225" w:lineRule="exact"/>
        <w:rPr>
          <w:sz w:val="20"/>
          <w:szCs w:val="20"/>
          <w:color w:val="auto"/>
        </w:rPr>
      </w:pPr>
    </w:p>
    <w:p>
      <w:pPr>
        <w:jc w:val="both"/>
        <w:ind w:right="160" w:firstLine="449"/>
        <w:spacing w:after="0" w:line="258"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Other Earnout Shares is dependent upon, among other things, changes in the closing share price of the Company’s common stock and the probability of each Triggering Events being achieved. As certain inputs are not observable in the market, the Other Earnout Shares are classified as a Level 3 instrument within the fair value hierarchy (see Note 5). The Company adjusts the previous fair value of the Other Earnout Shares at each reporting period based on changes to the Company’s expected share price volatility, as well as other factors which impact the Company’s expectation of settlement timing and achieving the Triggering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Company’s revenue information by customer geographical region: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9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4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 America</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4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-170815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method of revenue recognition: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0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value hierarchy</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Committed equity facility</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Unissued shares of common stock</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earnout shares</w:t>
            </w: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5"/>
        </w:trPr>
        <w:tc>
          <w:tcPr>
            <w:tcW w:w="40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-1516380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-1499235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-1516380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-1499235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-1516380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-1499235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-1516380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-1499235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-942340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-942340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-942340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3"/>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6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 convertible notes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Legacy warrants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-882650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-864870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-882650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-864870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-882650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-864870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-882650</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Level 1 instruments consisted of mutual funds, U.S. Government money market funds and U.S. Government treasury securities, because they were valued using quoted prices in active markets and can be redeemed on any business days with an intermediary. Additionally, the accrued liability associated with unissued shares of common stock due to advisors of the Company under service contracts is included as a Level 1 instrument in accrued expenses and other current liabilities on the condensed consolidated balance sheet as of September 30, 2025, as it uses the Company’s share price as of period end for remeasurement.</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Level 3 instruments consist of the Other Earnout Shares (see Note 3), the day-one put right and subsequent-draw forward contracts associated with the Committed Equity Facility (see Notes 6 and 13) as well as the historical convertible notes and legacy warrants.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Changes in the fair value measurement of Level 3 instruments are related to unrealized gains (losses) resulting from the remeasurement of the historical convertible notes and legacy warrants (see Notes 9 and 10), the unissued shares of common stock, the Other Earnout Shares, and the Committed Equity Facility (see Notes 6 and 13). The respective changes for remeasurement are reflected in the change in fair value of convertible notes, change in fair value of warrants, change in fair value of the other earnout shares and change in fair value of committed equity facility in the condensed consolidated statements of operations.</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change in the fair values of the Company’s Level 3 instruments during the three and nine months ended September 30, 2025 and 2024,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5"/>
              </w:rPr>
              <w:t>Committed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Pay-to-Play</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2023 convertible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2"/>
              </w:rPr>
              <w:t>Other earnout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42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(Amounts in thousands)</w:t>
            </w:r>
          </w:p>
        </w:tc>
        <w:tc>
          <w:tcPr>
            <w:tcW w:w="8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equity facility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convertible notes</w:t>
            </w:r>
          </w:p>
        </w:tc>
        <w:tc>
          <w:tcPr>
            <w:tcW w:w="220" w:type="dxa"/>
            <w:vAlign w:val="bottom"/>
            <w:gridSpan w:val="2"/>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2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132,687</w:t>
            </w: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163,340</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Issuance of other earnout shares</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126,024</w:t>
            </w:r>
          </w:p>
        </w:tc>
        <w:tc>
          <w:tcPr>
            <w:tcW w:w="100" w:type="dxa"/>
            <w:vAlign w:val="bottom"/>
          </w:tcPr>
          <w:p>
            <w:pPr>
              <w:spacing w:after="0"/>
              <w:rPr>
                <w:sz w:val="17"/>
                <w:szCs w:val="17"/>
                <w:color w:val="auto"/>
              </w:rPr>
            </w:pPr>
          </w:p>
        </w:tc>
      </w:tr>
      <w:tr>
        <w:trPr>
          <w:trHeight w:val="203"/>
        </w:trPr>
        <w:tc>
          <w:tcPr>
            <w:tcW w:w="4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Committed equity facility - day one put option</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Committed equity facility - drawdown forward contracts</w:t>
            </w: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(255)</w:t>
            </w:r>
          </w:p>
        </w:tc>
      </w:tr>
      <w:tr>
        <w:trPr>
          <w:trHeight w:val="203"/>
        </w:trPr>
        <w:tc>
          <w:tcPr>
            <w:tcW w:w="4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Change in estimated fair value</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27,232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138,471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60,345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(105,463)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120,522</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Conversion to common stock</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(43,174)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(271,158)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(75,056)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(389,388)</w:t>
            </w:r>
          </w:p>
        </w:tc>
      </w:tr>
      <w:tr>
        <w:trPr>
          <w:trHeight w:val="20"/>
        </w:trPr>
        <w:tc>
          <w:tcPr>
            <w:tcW w:w="4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September 30, 2025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20,561</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100" w:type="dxa"/>
            <w:vAlign w:val="bottom"/>
            <w:shd w:val="clear" w:color="auto" w:fill="CFF0FC"/>
          </w:tcPr>
          <w:p>
            <w:pPr>
              <w:spacing w:after="0"/>
              <w:rPr>
                <w:sz w:val="18"/>
                <w:szCs w:val="18"/>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(Amounts in thousands)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 as of June 30, 2025</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Committed equity facility - day one put option</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Committed equity facility - drawdown forward contracts</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Change in estimated fair value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80" w:type="dxa"/>
            <w:vAlign w:val="bottom"/>
          </w:tcPr>
          <w:p>
            <w:pPr>
              <w:spacing w:after="0"/>
              <w:rPr>
                <w:sz w:val="12"/>
                <w:szCs w:val="12"/>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Pay-to-Play</w:t>
            </w:r>
          </w:p>
        </w:tc>
        <w:tc>
          <w:tcPr>
            <w:tcW w:w="260" w:type="dxa"/>
            <w:vAlign w:val="bottom"/>
          </w:tcPr>
          <w:p>
            <w:pPr>
              <w:spacing w:after="0"/>
              <w:rPr>
                <w:sz w:val="12"/>
                <w:szCs w:val="12"/>
                <w:color w:val="auto"/>
              </w:rPr>
            </w:pPr>
          </w:p>
        </w:tc>
        <w:tc>
          <w:tcPr>
            <w:tcW w:w="1380" w:type="dxa"/>
            <w:vAlign w:val="bottom"/>
            <w:gridSpan w:val="4"/>
          </w:tcPr>
          <w:p>
            <w:pPr>
              <w:jc w:val="right"/>
              <w:ind w:right="359"/>
              <w:spacing w:after="0"/>
              <w:rPr>
                <w:sz w:val="20"/>
                <w:szCs w:val="20"/>
                <w:color w:val="auto"/>
              </w:rPr>
            </w:pPr>
            <w:r>
              <w:rPr>
                <w:rFonts w:ascii="Times New Roman" w:cs="Times New Roman" w:eastAsia="Times New Roman" w:hAnsi="Times New Roman"/>
                <w:sz w:val="13"/>
                <w:szCs w:val="13"/>
                <w:b w:val="1"/>
                <w:bCs w:val="1"/>
                <w:color w:val="auto"/>
              </w:rPr>
              <w:t>2023 convertible</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w w:val="95"/>
              </w:rPr>
              <w:t>Other earnout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5"/>
        </w:trPr>
        <w:tc>
          <w:tcPr>
            <w:tcW w:w="10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7"/>
              </w:rPr>
              <w:t>equity facility</w:t>
            </w:r>
          </w:p>
        </w:tc>
        <w:tc>
          <w:tcPr>
            <w:tcW w:w="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90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2"/>
        </w:trPr>
        <w:tc>
          <w:tcPr>
            <w:tcW w:w="1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ind w:left="840"/>
              <w:spacing w:after="0" w:line="182" w:lineRule="exact"/>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ind w:left="660"/>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ind w:left="480"/>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5"/>
                <w:szCs w:val="15"/>
                <w:color w:val="auto"/>
              </w:rPr>
            </w:pPr>
          </w:p>
        </w:tc>
        <w:tc>
          <w:tcPr>
            <w:tcW w:w="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16,763</w:t>
            </w:r>
          </w:p>
        </w:tc>
        <w:tc>
          <w:tcPr>
            <w:tcW w:w="220" w:type="dxa"/>
            <w:vAlign w:val="bottom"/>
          </w:tcPr>
          <w:p>
            <w:pPr>
              <w:spacing w:after="0"/>
              <w:rPr>
                <w:sz w:val="15"/>
                <w:szCs w:val="15"/>
                <w:color w:val="auto"/>
              </w:rPr>
            </w:pPr>
          </w:p>
        </w:tc>
        <w:tc>
          <w:tcPr>
            <w:tcW w:w="200" w:type="dxa"/>
            <w:vAlign w:val="bottom"/>
            <w:tcBorders>
              <w:top w:val="single" w:sz="8" w:color="auto"/>
            </w:tcBorders>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16,763</w:t>
            </w:r>
          </w:p>
        </w:tc>
        <w:tc>
          <w:tcPr>
            <w:tcW w:w="40" w:type="dxa"/>
            <w:vAlign w:val="bottom"/>
          </w:tcPr>
          <w:p>
            <w:pPr>
              <w:spacing w:after="0"/>
              <w:rPr>
                <w:sz w:val="15"/>
                <w:szCs w:val="15"/>
                <w:color w:val="auto"/>
              </w:rPr>
            </w:pPr>
          </w:p>
        </w:tc>
      </w:tr>
      <w:tr>
        <w:trPr>
          <w:trHeight w:val="202"/>
        </w:trPr>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4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0"/>
        </w:trPr>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-509905</wp:posOffset>
            </wp:positionV>
            <wp:extent cx="7132320"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-252730</wp:posOffset>
            </wp:positionV>
            <wp:extent cx="713232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520" w:space="640"/>
            <w:col w:w="7080"/>
          </w:cols>
          <w:pgMar w:left="320" w:top="1195"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September 30, 2025</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125</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gridSpan w:val="2"/>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20,561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311"/>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Pay-to-Play</w:t>
            </w:r>
          </w:p>
        </w:tc>
        <w:tc>
          <w:tcPr>
            <w:tcW w:w="160" w:type="dxa"/>
            <w:vAlign w:val="bottom"/>
          </w:tcPr>
          <w:p>
            <w:pPr>
              <w:spacing w:after="0"/>
              <w:rPr>
                <w:sz w:val="24"/>
                <w:szCs w:val="24"/>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2023 convertible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80" w:type="dxa"/>
            <w:vAlign w:val="bottom"/>
          </w:tcPr>
          <w:p>
            <w:pPr>
              <w:spacing w:after="0"/>
              <w:rPr>
                <w:sz w:val="24"/>
                <w:szCs w:val="24"/>
                <w:color w:val="auto"/>
              </w:rPr>
            </w:pP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w w:val="95"/>
              </w:rPr>
              <w:t>Other earnout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1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(Amounts in thousands)</w:t>
            </w:r>
          </w:p>
        </w:tc>
        <w:tc>
          <w:tcPr>
            <w:tcW w:w="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equity facility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w w:val="90"/>
              </w:rPr>
              <w:t>warrants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14,641</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18,064</w:t>
            </w: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36,435</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Issuance of 2023 convertible notes and related warrants</w:t>
            </w:r>
          </w:p>
        </w:tc>
        <w:tc>
          <w:tcPr>
            <w:tcW w:w="10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110,718</w:t>
            </w:r>
          </w:p>
        </w:tc>
        <w:tc>
          <w:tcPr>
            <w:tcW w:w="100" w:type="dxa"/>
            <w:vAlign w:val="bottom"/>
          </w:tcPr>
          <w:p>
            <w:pPr>
              <w:spacing w:after="0"/>
              <w:rPr>
                <w:sz w:val="17"/>
                <w:szCs w:val="17"/>
                <w:color w:val="auto"/>
              </w:rPr>
            </w:pPr>
          </w:p>
        </w:tc>
      </w:tr>
      <w:tr>
        <w:trPr>
          <w:trHeight w:val="203"/>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Issuance of common stock warrants</w:t>
            </w: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Change in estimated fair value</w:t>
            </w:r>
          </w:p>
        </w:tc>
        <w:tc>
          <w:tcPr>
            <w:tcW w:w="100" w:type="dxa"/>
            <w:vAlign w:val="bottom"/>
          </w:tcPr>
          <w:p>
            <w:pPr>
              <w:spacing w:after="0"/>
              <w:rPr>
                <w:sz w:val="17"/>
                <w:szCs w:val="17"/>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(1,255)</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24,666</w:t>
            </w:r>
          </w:p>
        </w:tc>
        <w:tc>
          <w:tcPr>
            <w:tcW w:w="100" w:type="dxa"/>
            <w:vAlign w:val="bottom"/>
          </w:tcPr>
          <w:p>
            <w:pPr>
              <w:spacing w:after="0"/>
              <w:rPr>
                <w:sz w:val="17"/>
                <w:szCs w:val="17"/>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September 30,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15,977</w:t>
            </w:r>
          </w:p>
        </w:tc>
        <w:tc>
          <w:tcPr>
            <w:tcW w:w="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148,551</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172,283</w:t>
            </w:r>
          </w:p>
        </w:tc>
        <w:tc>
          <w:tcPr>
            <w:tcW w:w="100" w:type="dxa"/>
            <w:vAlign w:val="bottom"/>
            <w:shd w:val="clear" w:color="auto" w:fill="CFF0FC"/>
          </w:tcPr>
          <w:p>
            <w:pPr>
              <w:spacing w:after="0"/>
              <w:rPr>
                <w:sz w:val="20"/>
                <w:szCs w:val="20"/>
                <w:color w:val="auto"/>
              </w:rPr>
            </w:pPr>
          </w:p>
        </w:tc>
      </w:tr>
      <w:tr>
        <w:trPr>
          <w:trHeight w:val="1175"/>
        </w:trPr>
        <w:tc>
          <w:tcPr>
            <w:tcW w:w="41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-1790700</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-1773555</wp:posOffset>
            </wp:positionV>
            <wp:extent cx="76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-1927860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-1790700</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-1773555</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-1927860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-1790700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-1773555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-1927860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-1790700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-1773555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-1927860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-1790700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-1773555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-1927860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-796290</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-779780</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-796290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-779780</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-796290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-779780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-796290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-779780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-796290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-779780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5"/>
              </w:rPr>
              <w:t>Committed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Pay-to-Play</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2023 convertible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7"/>
              </w:rPr>
              <w:t>Other earnout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31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(Amounts in thousands)</w:t>
            </w:r>
          </w:p>
        </w:tc>
        <w:tc>
          <w:tcPr>
            <w:tcW w:w="104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facility</w:t>
            </w:r>
          </w:p>
        </w:tc>
        <w:tc>
          <w:tcPr>
            <w:tcW w:w="24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notes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r>
      <w:tr>
        <w:trPr>
          <w:trHeight w:val="19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June 30, 2024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16,042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133,088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156,795</w:t>
            </w:r>
          </w:p>
        </w:tc>
        <w:tc>
          <w:tcPr>
            <w:tcW w:w="100" w:type="dxa"/>
            <w:vAlign w:val="bottom"/>
            <w:shd w:val="clear" w:color="auto" w:fill="CFF0FC"/>
          </w:tcPr>
          <w:p>
            <w:pPr>
              <w:spacing w:after="0"/>
              <w:rPr>
                <w:sz w:val="17"/>
                <w:szCs w:val="17"/>
                <w:color w:val="auto"/>
              </w:rPr>
            </w:pPr>
          </w:p>
        </w:tc>
      </w:tr>
      <w:tr>
        <w:trPr>
          <w:trHeight w:val="203"/>
        </w:trPr>
        <w:tc>
          <w:tcPr>
            <w:tcW w:w="3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Change in estimated fair value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15,488</w:t>
            </w:r>
          </w:p>
        </w:tc>
        <w:tc>
          <w:tcPr>
            <w:tcW w:w="10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September 30, 2024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148,551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172,283</w:t>
            </w:r>
          </w:p>
        </w:tc>
        <w:tc>
          <w:tcPr>
            <w:tcW w:w="100" w:type="dxa"/>
            <w:vAlign w:val="bottom"/>
            <w:shd w:val="clear" w:color="auto" w:fill="CFF0FC"/>
          </w:tcPr>
          <w:p>
            <w:pPr>
              <w:spacing w:after="0"/>
              <w:rPr>
                <w:sz w:val="18"/>
                <w:szCs w:val="18"/>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-24765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and nine months ended September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derivatives to manage financial risks or as an economic hedge. The Company’s derivatives are comprised of the structured forward contract related to the Other Earnout Shares (see Notes 2, 3 and 5), the day-one put option and the subsequent forward contracts related to the Committed Equity Facility (see Notes 5 and 13).</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Other Earnout Shares, issued upon the consummation of the Merger, were determined to represent a freestanding structured forward contract as the Other Earnout Share were issued for nominal or no apparent consideration, and contain the essential characteristics inherent in a derivative instrument, including an underlying security, a notional amount, and a mechanism for net settlement, as the terms provide for the delivery of a variable number of shares of the Company’s common stock, or equivalent value, based on changes in the underlying market price.</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Committed Equity Facility, upon execution on July 14, 2025, was considered a freestanding purchased put right, and each draw on the Committed Equity Facility is considered an embedded forward contract. The put right was issued for nominal or no apparent consideration, and has the essential characteristics inherent in a derivative instrument of a notional amount, an underlying security, and a mechanism for net settlement. The derivative asset related to the forward contracts embedded within the Committed Equity Facility is included within prepaid expenses and other current assets on the condensed consolidated balance sheets as of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provision for income taxes of less than $0.1 million and $0.2 million, respectively, which represented effective tax rates of (0.1)% and (0.1)%, respectively, while during the three and nine months ended September 30, 2024, the Company recorded a provision for income taxes of $0.1 million and $0.3 million respectively, which represented effective tax rates of (0.2)% and (0.6)%, respectively. The effective income tax rates for the three and nine months ended September 30, 2025 and 2024 are different from the U.S. federal statutory rate of 21.0% due to a full valuation allowance.</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(the “OBBBA”) was signed into law. The OBBBA makes permanent key elements of the Tax Cuts and Jobs Act, including 100% bonus depreciation, domestic research cost expensing, and the business interest expense limitation.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the effects of changes in tax rates and laws on deferred tax balances to be recognized in the period in which the legislation is enacted. The Company is in the process of evaluating the impact of OBBBA on its condensed consolidated financial statements. Any results of such evaluations will be reflected in the Company’s consolidated financial statements included in the Company’s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9. Convertible Notes and Demand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Pay-to-Play Convertible Notes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16). Pursuant to the 2022 P2P NPA, each Lender will pay the Company an agreed upon amount (“Consideration”) in return for one or more promissory notes. The P2P Notes had an initial 24-month term from the date of the 2022 P2P NPA, which is December 9, 2024.</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2022 P2P NPA provided that the P2P Notes would be converted upon the consummation of the Merger and that, at such time, all outstanding principal and unpaid accrued interest due on the P2P Notes shall be converted into common stock.</w:t>
      </w:r>
    </w:p>
    <w:p>
      <w:pPr>
        <w:spacing w:after="0" w:line="16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w:t>
      </w:r>
    </w:p>
    <w:p>
      <w:pPr>
        <w:spacing w:after="0" w:line="18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P2P Notes representing less than its pro rata portion of the Insider Amount, such investor’s converted common stock remained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w:t>
      </w:r>
    </w:p>
    <w:p>
      <w:pPr>
        <w:spacing w:after="0" w:line="18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Exchange Agreement totaled $0.1 million.</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P2P notes, the outstanding P2P Notes were converted, at the discretion of the holders, to shares of common stock (see Note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Convertible Notes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April 22, 2024 amendment, the convertible notes were subject to automatic conversion upon the consummation of a SPAC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distributees were not required to execute any lock-up or similar agreement restricting transfer or disposition of all shares of the Company’s common stock issuable upon the conversion of the notes, all Company shares issuable upon the exercise of warrants issued to the RT Parties, and all securities of Blaize to be issued to the RT Parties upon the consummation of the Merger.</w:t>
      </w:r>
    </w:p>
    <w:p>
      <w:pPr>
        <w:spacing w:after="0" w:line="187" w:lineRule="exact"/>
        <w:rPr>
          <w:sz w:val="20"/>
          <w:szCs w:val="20"/>
          <w:color w:val="auto"/>
        </w:rPr>
      </w:pPr>
    </w:p>
    <w:p>
      <w:pPr>
        <w:jc w:val="both"/>
        <w:ind w:right="180" w:firstLine="449"/>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jc w:val="both"/>
        <w:ind w:right="180" w:firstLine="449"/>
        <w:spacing w:after="0" w:line="282" w:lineRule="auto"/>
        <w:rPr>
          <w:sz w:val="20"/>
          <w:szCs w:val="20"/>
          <w:color w:val="auto"/>
        </w:rPr>
      </w:pPr>
      <w:r>
        <w:rPr>
          <w:rFonts w:ascii="Times New Roman" w:cs="Times New Roman" w:eastAsia="Times New Roman" w:hAnsi="Times New Roman"/>
          <w:sz w:val="18"/>
          <w:szCs w:val="18"/>
          <w:color w:val="auto"/>
        </w:rPr>
        <w:t>Upfront costs and fees related to items for which the fair value option is elected must be recognized immediately. As such, issuance costs (warrants) and fees associated with the convertible notes were recognized in earnings in the years that they were issued.</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16), which vested in full in the year ended December 31, 2023.</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September 30, 2025 and December 31, 2024, the Company had outstanding Working Capital Loans of $1.5 million and zero,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Party</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January 13, 2025, BurTech LP provided working capital and extension deposits on behalf of BurTech. These amounts are reflected on the condensed consolidated balance sheets as advances from related party. These advances are non-interest bearing and payable on demand. As of September 30, 2025 and December 31, 2024, the Company had outstanding advances from the related party in the amount of $2.9 million and zero,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Warrants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connection with the Company’s various historical debt and equity financing arrangements, the Company had previously issued convertible preferred stock warrants to purchase shares of its various series of convertible preferred stock.</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convertible preferred stock warrants were classified as liabilities, with changes in fair value recorded through earnings, as the underlying convertible preferred shares could be redeemed by the holders of these shares upon the occurrence of certain events that were outside of the Company’s control. As of December 31, 2024, the Company had liabilities of $14.7 million related to outstanding warrants.</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After the Private Warrants Conversion, the Private Warrants became indexed to the shares of Company’s common stock, and therefore were reclassified from debt classified instruments to equity classified instruments.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legacy warrants were exercised on a net basis, and were automatically converted into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Warrants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outstanding immediately prior to the Merger became warrants to purchase the Company’s common stock.</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may redeem the outstanding warrants:</w:t>
      </w:r>
    </w:p>
    <w:p>
      <w:pPr>
        <w:spacing w:after="0" w:line="225"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to each warrant holder;</w:t>
      </w:r>
    </w:p>
    <w:p>
      <w:pPr>
        <w:spacing w:after="0" w:line="9"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0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(i) the product of the number of shares of common stock underlying the warrants, multiplied by the difference between the exercise price of the warrants and the “fair market value”, as described below, by (ii)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that the Company may issue to BurTech, officers, directors, initial stockholders or their affiliates in payment of working capital loans made to the Company, will be identical to the warrants underlying the units offered in the Merger, except they will not be transferable, assignable or saleable until 30 days after the consummation of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and nine months ended September 30, 2025 was de minimis.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fair value the common stock warrants issued in February 2025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4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4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   3.34</w:t>
            </w:r>
          </w:p>
        </w:tc>
      </w:tr>
      <w:tr>
        <w:trPr>
          <w:trHeight w:val="1195"/>
        </w:trPr>
        <w:tc>
          <w:tcPr>
            <w:tcW w:w="686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net lease costs reflected in the Company’s condensed consolidated statements of operations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60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2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Company’s operating leases had a weighted average remaining lease term of 2.5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9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60" w:type="dxa"/>
            <w:vAlign w:val="bottom"/>
          </w:tcPr>
          <w:p>
            <w:pPr>
              <w:spacing w:after="0"/>
              <w:rPr>
                <w:sz w:val="18"/>
                <w:szCs w:val="18"/>
                <w:color w:val="auto"/>
              </w:rPr>
            </w:pPr>
          </w:p>
        </w:tc>
        <w:tc>
          <w:tcPr>
            <w:tcW w:w="12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81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as follows:</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0"/>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94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0"/>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Redeemable Convertible Preferred Stock Prior to the Merger</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terms of its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the redeemable convertible preferred stock that was outstanding at the time of the Merger was converted into shares of common stock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13.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there were 600,000,000 and 136,562,809 shares of common stock authorized, respectively, and 106,754,588 and 48,376,052 shares issued and outstanding,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common stock are entitled to one vote for each share of common stock held at all meetings of stockholders.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of common stock reserved for issuance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20" w:type="dxa"/>
            <w:vAlign w:val="bottom"/>
          </w:tcPr>
          <w:p>
            <w:pPr>
              <w:spacing w:after="0"/>
              <w:rPr>
                <w:sz w:val="13"/>
                <w:szCs w:val="13"/>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29,318,783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RSUs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10,764,848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Earnout shares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Public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Private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Employee stock purchase plan shares available for future purchase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3,047,669</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Equity awards available for future issuance </w:t>
            </w:r>
            <w:r>
              <w:rPr>
                <w:rFonts w:ascii="Times New Roman" w:cs="Times New Roman" w:eastAsia="Times New Roman" w:hAnsi="Times New Roman"/>
                <w:sz w:val="24"/>
                <w:szCs w:val="24"/>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20,223,481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3,631,787</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Legacy warrants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7,505,657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110,653,031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43,128,526</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6" w:lineRule="exact"/>
        <w:rPr>
          <w:sz w:val="20"/>
          <w:szCs w:val="20"/>
          <w:color w:val="auto"/>
        </w:rPr>
      </w:pPr>
    </w:p>
    <w:p>
      <w:pPr>
        <w:ind w:right="620" w:firstLine="8"/>
        <w:spacing w:after="0" w:line="306" w:lineRule="auto"/>
        <w:tabs>
          <w:tab w:leader="none" w:pos="153"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September 30, 2025, includes 32,000 shares of vested RSUs due to an advisor to satisfy an outstanding liability, which will be issued from the 2025 Equity Incentive Plan. Half of these awards were issued in exchange for shares of common stock due to the same advisor in prior periods.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periods prior to the Merger, the reported share and per share amounts have been retroactively converted by applying the exchange ratio.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July 14, 2025, the Company entered into the Committed Equity Facility and a Registration Rights Agreement with B. Riley (see Note 1).</w:t>
      </w:r>
    </w:p>
    <w:p>
      <w:pPr>
        <w:spacing w:after="0" w:line="22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Pursuant to the Committed Equity Facility, the Company has the right, but not the obligation, to direct B. Riley to purchase newly issued common shares of common stock up to an aggregate value of $50.0 million over a defined 36-month period. The total aggregate shares issued to B. Riley under the Committed Equity Facility cannot exceed 20,326,316, representing 19.99% of the aggregate number of shares issued and outstanding immediately prior to the execution of the Committed Equity Facility, without prior stockholder approval. Provided that the closing price of the Company</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s common stock on the trading day immediately prior to each purchase is greater than $1.00 per share and all prior purchases between the parties are finalized, the Company has the right to sell shares of its common stock to B. Riley in distinct individual transactions (each a “Purchase”). The total number of shares to be issued per Purchase may not exceed 1,000,000 shares and will be further limited by a calculated percentage, not to exceed 25%, of the total aggregate trading volume during a defined period of time applicable to each Purchase. The Committed Equity Facility establishes the purchase price per share as 0.97 of the volume-weighted average price (“VWAP”) of the common stock for the defined period applicable to each Purchase, with 0.03 of the VWAP as commission to B. Riley, and excluding specific transactions outlined in the Committed Equity Facility. All such calculations are subject to adjustment for any stock dividend, stock split, stock combination, recapitalization or other similar transactions.</w:t>
      </w:r>
    </w:p>
    <w:p>
      <w:pPr>
        <w:spacing w:after="0" w:line="19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Pursuant to the Registration Rights Agreement entered into with B. Riley, 20,326,158 shares of common stock have been registered to permit the subsequent resale of shares purchased under the Committed Equity Facility. The Company controls the timing and amount of any sales to B. Riley, which depends on a variety of factors including, among other things, market conditions, the trading price of the Company’s common stock, and determinations by the Company as to appropriate sources of funding for its business and operations. However, B. Riley’s obligation to purchase shares is subject to certain conditions. In all instances, the Company may not sell shares of its common stock under the Committed Equity Facility if it would result in B. Riley beneficially owning more than 4.99% of its common stock at any one point in time prior to the execution of the agreement without prior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color w:val="auto"/>
        </w:rPr>
        <w:t>The Committed Equity Facility will automatically terminate on the earlier of (i) one day after the 36-month anniversary of the Commencement Date,</w:t>
      </w:r>
    </w:p>
    <w:p>
      <w:pPr>
        <w:spacing w:after="0" w:line="27" w:lineRule="exact"/>
        <w:rPr>
          <w:sz w:val="20"/>
          <w:szCs w:val="20"/>
          <w:color w:val="auto"/>
        </w:rPr>
      </w:pPr>
    </w:p>
    <w:p>
      <w:pPr>
        <w:jc w:val="both"/>
        <w:ind w:firstLine="8"/>
        <w:spacing w:after="0" w:line="253"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B. Riley shall have purchased the shares of common stock for an aggregate purchase price of $50.0 million or (iii) various other dates associated with events as set forth in the agreement. Neither the Company nor B. Riley may assign or transfer any of their respective rights or obligations under the Committed Equity Facility or the Registration Rights Agreement. No provision of the Committed Equity Facility or the Registration Rights Agreement may be modified or waived by either party.</w:t>
      </w:r>
    </w:p>
    <w:p>
      <w:pPr>
        <w:spacing w:after="0" w:line="18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At inception, the Company evaluated the Committed Equity Facility and determined that it was not indexed to the Company’s shares of common stock and, therefore, measures the derivative asset associated with the Committed Equity Facility at fair value based on the consideration transferred to B. Riley in exchange for its irrevocable commitment to purchase up to $50.0 million in shares of the Company’s common stock. The derivative asset is revalued at each reporting date with changes in the fair value reported as non-operating income or expense (see Notes 5 and 6).</w:t>
      </w:r>
    </w:p>
    <w:p>
      <w:pPr>
        <w:spacing w:after="0" w:line="180" w:lineRule="exact"/>
        <w:rPr>
          <w:sz w:val="20"/>
          <w:szCs w:val="20"/>
          <w:color w:val="auto"/>
        </w:rPr>
      </w:pPr>
    </w:p>
    <w:p>
      <w:pPr>
        <w:jc w:val="both"/>
        <w:ind w:right="160" w:firstLine="449"/>
        <w:spacing w:after="0" w:line="256" w:lineRule="auto"/>
        <w:rPr>
          <w:sz w:val="20"/>
          <w:szCs w:val="20"/>
          <w:color w:val="auto"/>
        </w:rPr>
      </w:pPr>
      <w:r>
        <w:rPr>
          <w:rFonts w:ascii="Times New Roman" w:cs="Times New Roman" w:eastAsia="Times New Roman" w:hAnsi="Times New Roman"/>
          <w:sz w:val="18"/>
          <w:szCs w:val="18"/>
          <w:color w:val="auto"/>
        </w:rPr>
        <w:t>The fair value associated with the Committed Equity Facility is dependent upon, among other things, changes in the closing share price of the Company’s common stock, the quantity and purchase price of shares sold under the agreement during the reporting period, the unused funding capacity and the cost of raising other forms of capital. As certain inputs are not observable in the market, the derivative asset is classified as a Level 3 instrument within the fair value hierarchy. The Company adjusts the previous fair value estimate of the Committed Equity Facility at each reporting period end based on changes in the weighted average purchase price of shares purchased by B. Riley during the period, the unused capacity available, expected share price volatility, and other macroeconomic factors which impact the cost of raising comparable forms of capital.</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incurred costs associated with the Committed Equity Facility totaling $0.4 million, of which $0.2 million was in cash, representing 0.5% of B. Riley’s $50.0 million total aggregate purchase commitment under the Committed Equity Facility, and $0.2 million in fair value related to the issuance of 83,353 shares of common stock. The total consideration paid to B. Riley of $0.4 million was recognized on day one as a derivative asset with subsequent change in fair value reflected in the condensed consolidated statement of operations.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settled a total of 5,673,734 shares of the Company’s common stock, sold to B. Riley under this agreement, for net proceeds of $20.0 million. The VWAP of shares purchased by B. Riley ranged from $3.14 to $4.07 per share during the three and nine months ended September 30, 2025.</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Based on the September 30, 2025 closing share price of our common stock of $3.45 and $30.0 million of unused capacity under the Committed Equity Facility as of September 30, 2025, the Company would expect to sell only an additional 8,409,939 of its total 14,652,582 remaining registered shares available for purchase under the Committed Equity Facility. Total commission expense of $0.6 million was recognized as a financing charge within “other, net” on the condensed consolidated statement of operations during the three and nine months ended September 30, 2025. The Company had no commission expense during the three and nine months ended September 30, 2024, as the Committed Equity Facility was entered into during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January 2025, the Board of Directors approved, and the Company adopted the 2025 Incentive Award Plan (the “2025 Incentive Plan”), replacing the historical 2011 Equity Incentive Plan (“2011 Amended Stock Plan”). The 2025 Incentive Plan provides for the grant of stock options (both incentive stock options and non-qualified stock options), stock appreciation rights, restricted stock, RSUs and other stock or cash-based awards to employees and consultants of the Company and its subsidiaries and members of the board of directors of the Company. As of September 30, 2025, the total number of authorized shares available under the 2025 Incentive Plan is 30,500,000.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Under the 2025 Incentive Plan, stock options, including incentive stock options (“ISOs”), may be granted to employees at exercise prices not lower than the fair value of the stock as of the date of grant.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 of Directors.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the nine months ending September 30, 2025, the Company commenced the granting of equity awards under the 2025 Incentive Plan. As of September 30, 2025, 20,223,481 shares of common stock were reserved for issuance under the 2025 Incentive Plan.</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Following the effectiveness of the 2025 Incentive Plan, the Company ceased making grants under the 2011 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2011 Amended Plan, the Company had previously issued RSUs, which vested upon the satisfaction of both the service-based condition and a liquidity event condition. The liquidity event condition for the RSUs was satisfied upon the occurrence of a qualifying event, defined specifically in the equity documents, and generally referred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vested) or 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3"/>
        </w:trPr>
        <w:tc>
          <w:tcPr>
            <w:tcW w:w="4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(Value in thousands, life in years)</w:t>
            </w: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9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5"/>
                <w:szCs w:val="15"/>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1,347,536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(15,080)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29,318,783</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68,324</w:t>
            </w:r>
          </w:p>
        </w:tc>
        <w:tc>
          <w:tcPr>
            <w:tcW w:w="100" w:type="dxa"/>
            <w:vAlign w:val="bottom"/>
            <w:shd w:val="clear" w:color="auto" w:fill="CFF0FC"/>
          </w:tcPr>
          <w:p>
            <w:pPr>
              <w:spacing w:after="0"/>
              <w:rPr>
                <w:sz w:val="19"/>
                <w:szCs w:val="19"/>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September 30, 2025</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29,318,783</w:t>
            </w:r>
          </w:p>
        </w:tc>
        <w:tc>
          <w:tcPr>
            <w:tcW w:w="16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2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68,324</w:t>
            </w:r>
          </w:p>
        </w:tc>
        <w:tc>
          <w:tcPr>
            <w:tcW w:w="10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September 30, 2025</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15,847,903</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21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38,507</w:t>
            </w:r>
          </w:p>
        </w:tc>
        <w:tc>
          <w:tcPr>
            <w:tcW w:w="100" w:type="dxa"/>
            <w:vAlign w:val="bottom"/>
            <w:shd w:val="clear" w:color="auto" w:fill="CFF0FC"/>
          </w:tcPr>
          <w:p>
            <w:pPr>
              <w:spacing w:after="0"/>
              <w:rPr>
                <w:sz w:val="18"/>
                <w:szCs w:val="18"/>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-350520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-333375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-350520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-333375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$15.9 million of total unrecognized compensation cost related to unvested stock options, which is expected to be recognized over a weighted average period of 1.8 years.</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grant-date fair value of stock options. The determination of the fair value of stock options on the grant date is affected by the estimated closing share price of the Company’s common stock, as well as assumptions regarding a number of complex and subjective variables. These variables include expected share price volatility over the term of the awards, actual and projected employee stock option exercise behaviors, risk-free interest rates, and expected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firstLine="44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grant date fair value of the stock options granted was $2.05 per share. The fair value of the options issued was determined using the Black-Scholes option pricing model, using the following inputs: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2025</w:t>
            </w:r>
          </w:p>
        </w:tc>
        <w:tc>
          <w:tcPr>
            <w:tcW w:w="180" w:type="dxa"/>
            <w:vAlign w:val="bottom"/>
          </w:tcPr>
          <w:p>
            <w:pPr>
              <w:spacing w:after="0"/>
              <w:rPr>
                <w:sz w:val="15"/>
                <w:szCs w:val="15"/>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exercise price (per share)</w:t>
            </w:r>
          </w:p>
        </w:tc>
        <w:tc>
          <w:tcPr>
            <w:tcW w:w="2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rate</w:t>
            </w: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 rate</w:t>
            </w:r>
          </w:p>
        </w:tc>
        <w:tc>
          <w:tcPr>
            <w:tcW w:w="1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accelerated the vesting associated with 388,988 outstanding options resulting in $1.1 million of incremental stock 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xml:space="preserve">Number of RSUs </w:t>
            </w:r>
            <w:r>
              <w:rPr>
                <w:rFonts w:ascii="Times New Roman" w:cs="Times New Roman" w:eastAsia="Times New Roman" w:hAnsi="Times New Roman"/>
                <w:sz w:val="19"/>
                <w:szCs w:val="19"/>
                <w:b w:val="1"/>
                <w:bCs w:val="1"/>
                <w:color w:val="auto"/>
                <w:vertAlign w:val="superscript"/>
              </w:rPr>
              <w:t>(1)</w:t>
            </w:r>
          </w:p>
        </w:tc>
        <w:tc>
          <w:tcPr>
            <w:tcW w:w="14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8,872,307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Issued</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(1,331,257)</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(406,649)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10,764,848</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6" w:lineRule="exact"/>
        <w:rPr>
          <w:sz w:val="20"/>
          <w:szCs w:val="20"/>
          <w:color w:val="auto"/>
        </w:rPr>
      </w:pPr>
    </w:p>
    <w:p>
      <w:pPr>
        <w:ind w:right="20" w:firstLine="8"/>
        <w:spacing w:after="0" w:line="239" w:lineRule="auto"/>
        <w:tabs>
          <w:tab w:leader="none" w:pos="177"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As of September 30, 2025, 1,973,365 of the RSUs have vested but have not yet been issued to the award holders. As no conditions remain in order for these shares of common stock to be issuable, these awards have been included in the weighted average shares outstanding calculation for purposes of earnings per share (see Note 18).</w:t>
      </w:r>
    </w:p>
    <w:p>
      <w:pPr>
        <w:spacing w:after="0" w:line="20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RSUs had both a service-based condition and a liquidity event condition. The liquidity event condition was satisfied on the consummation of the liquidity event, and effective with the consummation of the Merger, the Company recognized $3.9 million in stock-based compensation expense associated with the vesting of the outstanding RSUs (see Note 3).</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$20.7 million of total unrecognized compensation cost related to unvested RSUs, which is expected to be recognized over a weighted average period of 2.7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the Board of Directors adopted the 2025 Employee Stock Purchase Plan (the “2025 ESPP”) in order to enable eligible employees to purchase shares of common stock with accumulated payroll deductions. Under the 2025 ESPP, eligible employees will be able to purchase share of common stock at a discount over a series of offering periods, which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3,047,669 shares of common stock were reserved for issuance pursuant to the 2025 ESPP, and no shares of stock had been purchased by employees as the Company had not commenced the 2025 ESPP.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outstanding purchase orders and contractual obligations totaling $0.5 million to procure inventory. The Company’s outstanding inventory purchase orders and preauthorized commitments to procure strategic components based on expected demand are placed with a server supplier, its primary third-party contract manufacturer, and a semiconductor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has an obligation to purchase inventories that have been purchased by a contract manufacturer when components have not been consumed within a period defined in the terms of its agreement with the manufacturer. The Company purchased inventories due to this obligation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60" w:type="dxa"/>
            <w:vAlign w:val="bottom"/>
          </w:tcPr>
          <w:p>
            <w:pPr>
              <w:spacing w:after="0"/>
              <w:rPr>
                <w:sz w:val="15"/>
                <w:szCs w:val="15"/>
                <w:color w:val="auto"/>
              </w:rPr>
            </w:pPr>
          </w:p>
        </w:tc>
        <w:tc>
          <w:tcPr>
            <w:tcW w:w="288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purchases related to purchase obligations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September 30, 2025 and December 31, 2024, the liability balance of the Company’s accrued losses on purchase commitments equaled $0.6 million on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 million contingent upon the closing of the Merger and for reimbursement of expenses up to $0.5 million.</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as successor to BurTech, in the Supreme Court of the State of New York, County of New York, asserting that, pursuant to the Jefferies Engagement Letter, it is entitled to payment of the amounts described above, along with pre-and post-judgment interest and legal costs and seeking summary judgment in lieu of complaint. On September 4, 2025, the court denied Jefferies’s motion for summary judgment, and on September 19, 2025, Jefferies filed a complaint. The Company has engaged counsel and intends to vigorously defend this matter.</w:t>
      </w:r>
    </w:p>
    <w:p>
      <w:pPr>
        <w:spacing w:after="0" w:line="181"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450 -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has recorded estimated liabilities as a maximum potential of contingent exposure in this matter of $5.0 million as of September 30, 2025, of which $4.0 million is included in accounts payable and $1.0 million is included in accrued expenses and other current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 Agreements</w:t>
      </w:r>
    </w:p>
    <w:p>
      <w:pPr>
        <w:spacing w:after="0" w:line="229" w:lineRule="exact"/>
        <w:rPr>
          <w:sz w:val="20"/>
          <w:szCs w:val="20"/>
          <w:color w:val="auto"/>
        </w:rPr>
      </w:pPr>
    </w:p>
    <w:p>
      <w:pPr>
        <w:jc w:val="both"/>
        <w:ind w:right="220" w:firstLine="449"/>
        <w:spacing w:after="0" w:line="258"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Board of Directors, is in the form of restricted stock units following the filing of a registration statement subsequent to the Merger consummation to register such shares, and subject to the advisors continued service on the applicable grant date. During the three months ended September 30, 2025, the Company released the advisor restricted stock units which had vested under the terms of the agreements (see Note 14).</w:t>
      </w:r>
    </w:p>
    <w:p>
      <w:pPr>
        <w:spacing w:after="0" w:line="183" w:lineRule="exact"/>
        <w:rPr>
          <w:sz w:val="20"/>
          <w:szCs w:val="20"/>
          <w:color w:val="auto"/>
        </w:rPr>
      </w:pPr>
    </w:p>
    <w:p>
      <w:pPr>
        <w:jc w:val="both"/>
        <w:ind w:right="220" w:firstLine="449"/>
        <w:spacing w:after="0" w:line="253" w:lineRule="auto"/>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 payment was due upon the close of the Merger (see Note 3). Under the terms of the agreement, at the Company’s discretion, the advisory fee of $0.8 million is to be paid in the form of (i) cash and (ii) cash or a combination of cash and shares of common stock of common stock at a price of $10.00 per share at various dates in 2025. The finder’s fee, equal to a specified percentage of the trust value of the Company’s shares held by investors introduced by the advisor, is to be paid fifty percent in cash and fifty percent in shares of common stock at a price of $10.00 per share, concurrent with the close of the Merger.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$10.00 per share (subject to a $1.00 per share floor), within two days the Company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April 2024, the Company entered into an advisory agreement for future services. The terms of the agreement require a non-refundable advisory fee of $2.0 million paid upon execution of the contract in the form of 769,231 shares of common stock (the “Fee Shares”). In July 2025, the Company released the 769,231 shares of common stock due under the advisory agreement. The Fee Shares are subject to a one-year lock-up provision (the “Lock-Up Period”) which expires the earlier of one year from the date of the agreement or the date of a change of control as defined in the agreement. Prior to the expiration of the Lock-Up Period, the advisor may sell the common stock shares back to the Company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 and Balances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Partner Referral Agreement</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June 30, 2025, the Company entered into a Sales Partner Referral Agreement (the “Referral Agreement”) with Burkhan LLC (the “Sales Partner”), an affiliated party. Pursuant to the Referral Agreement, the Sales Partner will, on a non-exclusive basis, promote certain of the Company’s products and refer potential customers to the Company. The Company may approve or reject any customer opportunity presented by the Sales Partner in its sole discretion. Sales commissions payable to the Sales Partner are negotiable, as further discussed, below. 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Burkhan. Under the agreement, BST will purchase up to $56.5 million of the Company’s products on behalf of an unaffiliated end user, beginning in the second quarter of 2025 through 2026. The Sales Partner will receive a commission, payable by the Company, of up to 10%, depending on its gross margins under the purchase order, payable in cash or partially, at the Company’s discretion, in shares of the Company’s common stock.</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pursuant to the Referral Agreement, the Company recognized $1.3 million and $3.0 million, respectively, in revenue from sales to an affiliate of Burkhan, inclusive of sales commissions to Burkhan of $0.1 million and $0.3 million, respectively, which was reported as a reduction of revenue. The sales commission payable was included in the accrued expense and other current liabilities - related party balance as of September 30, 2025.</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$3.4 million in accounts receivable that was due from an affiliate of Burkhan, while as of December 31, 2024 there were no amounts due from this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 and Balances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recognized revenue of $0.8 million, approximately 97% of total revenue, from sales to a minority stockholder, while during the nine months ended September 30, 2024, the Company recognized revenue of $1.5 million, approximately 98% of total revenue, from sales to two minority stockholders.</w:t>
      </w:r>
    </w:p>
    <w:p>
      <w:pPr>
        <w:spacing w:after="0" w:line="176"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2023, the Company issued a convertible note in the amount of $5.0 million or 41% of the total 2023 Convertible Note proceeds raised in 2023 to a related party investor holding more than a 10% ownership the Company’s outstanding stock. This related party investor also has a representative serving on the Company’s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10). The 2023 Convertible Note and 2023 Convertible Note Warrants held by this investor were subject to the adjustments in fair value. As of December 31, 2024, the 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and nine months ended September 30, 2025, the change in fair value for the respective 2023 Convertible Note was zero and $6.0 million, respectively (see Note 5). During the three and nine months ended September 30, 2024, the changes in fair value for the respective 2023 Convertible Note and 2023 Convertible Note Warrants equaled $0.3 million and $0.6 million, respectively, and immaterial and $(0.4) million, respectively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prior revenue arrangement, representing zero and approximately 21% of total revenues for the three and nine months ended September 30, 2024, also invested in a P2P Note in the amount of $3.3 million, or 35% of the total P2P proceeds raised in 2023 (see Note 9).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this related party’s respective P2P Note and P2P Warrants were converted into common stock in connection with the Merger (see Note 3). During the three and nine months ended September 30, 2025, the change in fair value for the respective P2P Note was zero and $7.2 million, respectively (see Note 5). During the three and nine months ended September 30, 2024, the change in fair value for the respective P2P Note and P2P Warrants was immaterial and $0.4 million, respectively, and immaterial and ($0.4) million, respectively (see Note 5).</w:t>
      </w:r>
    </w:p>
    <w:p>
      <w:pPr>
        <w:spacing w:after="0" w:line="188"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December 2022, one of the minority stockholders with which the Company had a prior revenue arrangement, representing approximately 97% and 77% of total revenues for the three and nine months ended September 30, 2024, respectively, and 98% of accounts receivable as of December 31, 2024, also invested in a P2P Note in the amount of $0.4 million, or 13% of the total P2P proceeds raised in 2022 (see Note 9).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2022 P2P Note and P2P Warrants were converted into common stock in connection with the Merger (see Note 3). During the three and nine months ended September 30, 2025, the changes in fair value for this set of P2P Notes were zero and $0.8 million, respectively (see Note 5). During the three and nine months ended September 30, 2024, the changes in fair value for this set of P2P Note and P2P Note Warrants were immaterial and $0.4 million, respectively and immaterial (see Note 5).</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2025, in connection with the consummation of the Merger, the Company signed the Shareholder Note (see Note 3).</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incurred zero and $0.5 million, respectively, of marketing expenses paid to a company owned by a direct family member of one of its minority stockholders and board of directors. During the three and nine months ended September 30, 2024, the Company incurred no such marketing expenses.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2025, the Company had amounts due to related parties for a working capital loan and other advances (see Note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Reporting</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reportable segment, and manages the business and evaluates financial performance on a consolidated basis. The CODM regularly receives and reviews consolidated financial results focusing primarily on revenue, key costs and expenses, net loss, and earnings before interest, tax, depreciation and amortization (“EBITDA”) and as further adjusted (“Adjusted EBITDA”), to make decisions regarding the allocation of resources and assessment of performance. The Company defines Adjusted EBITDA as net loss before interest, taxes, depreciation and amortization, certain non-cash items and other adjustments that it does not consider in its evaluation of ongoing operating performance from period to period.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60" w:type="dxa"/>
            <w:vAlign w:val="bottom"/>
          </w:tcPr>
          <w:p>
            <w:pPr>
              <w:spacing w:after="0"/>
              <w:rPr>
                <w:sz w:val="15"/>
                <w:szCs w:val="15"/>
                <w:color w:val="auto"/>
              </w:rPr>
            </w:pPr>
          </w:p>
        </w:tc>
        <w:tc>
          <w:tcPr>
            <w:tcW w:w="30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(10,091)</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(11,222)</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Employee costs</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(17,175)</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(7,520)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(51,498)</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(21,392)</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costs</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(1,499)</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(5,192)</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(4,424)</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(15,488)</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(121,511)</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(25,130)</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(5,265)</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(29,436)</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(26,258)</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(25,607)</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(203,608)</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(54,503)</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-24765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ind w:firstLine="8"/>
        <w:spacing w:after="0" w:line="226" w:lineRule="auto"/>
        <w:tabs>
          <w:tab w:leader="none" w:pos="195"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items” includes marketing expense, professional fees, income tax expense, facilities costs, transaction costs, foreign exchange gains and losses, credit loss expense, and other overhead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color w:val="auto"/>
        </w:rPr>
        <w:t>The following reflects the Company’s EBITDA and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(26,258)</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(25,607)</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(203,608)</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(54,503)</w:t>
            </w: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(26,566)</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(26,574)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(203,781)</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(55,144)</w:t>
            </w: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121,511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costs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4"/>
                <w:szCs w:val="24"/>
                <w:color w:val="auto"/>
                <w:vertAlign w:val="superscript"/>
              </w:rPr>
              <w:t>(1)</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(11,066)</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(10,478)</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(39,372)</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(28,564)</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-25400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8" w:lineRule="exact"/>
        <w:rPr>
          <w:sz w:val="20"/>
          <w:szCs w:val="20"/>
          <w:color w:val="auto"/>
        </w:rPr>
      </w:pPr>
    </w:p>
    <w:p>
      <w:pPr>
        <w:jc w:val="both"/>
        <w:ind w:firstLine="8"/>
        <w:spacing w:after="0" w:line="237" w:lineRule="auto"/>
        <w:tabs>
          <w:tab w:leader="none" w:pos="193"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adjustments” includes, but is not limited to, other non-cash expenses, including foreign exchange gains and losses, and unusual or non-recurring expenses, including litigation expenses, financing advisory fees, and fines and penalties. The Company believes that these expenses are not reflective of its ongoing operating performance and excluding these costs provides a more meaningful comparison of its results of operations over comparative periods.</w:t>
      </w:r>
    </w:p>
    <w:p>
      <w:pPr>
        <w:spacing w:after="0" w:line="206"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Long-lived and ROU assets were located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00" w:type="dxa"/>
            <w:vAlign w:val="bottom"/>
          </w:tcPr>
          <w:p>
            <w:pPr>
              <w:spacing w:after="0"/>
              <w:rPr>
                <w:sz w:val="15"/>
                <w:szCs w:val="15"/>
                <w:color w:val="auto"/>
              </w:rPr>
            </w:pPr>
          </w:p>
        </w:tc>
        <w:tc>
          <w:tcPr>
            <w:tcW w:w="294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-170815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Net Loss Per Share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amounts)</w:t>
            </w:r>
          </w:p>
        </w:tc>
        <w:tc>
          <w:tcPr>
            <w:tcW w:w="160" w:type="dxa"/>
            <w:vAlign w:val="bottom"/>
          </w:tcPr>
          <w:p>
            <w:pPr>
              <w:spacing w:after="0"/>
              <w:rPr>
                <w:sz w:val="15"/>
                <w:szCs w:val="15"/>
                <w:color w:val="auto"/>
              </w:rPr>
            </w:pPr>
          </w:p>
        </w:tc>
        <w:tc>
          <w:tcPr>
            <w:tcW w:w="26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(26,258)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(25,607)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(203,608)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(54,503)</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103,585,681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17,478,371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100,130,737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17,466,606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2" w:lineRule="exact"/>
        <w:rPr>
          <w:sz w:val="20"/>
          <w:szCs w:val="20"/>
          <w:color w:val="auto"/>
        </w:rPr>
      </w:pPr>
    </w:p>
    <w:p>
      <w:pPr>
        <w:ind w:firstLine="8"/>
        <w:spacing w:after="0" w:line="239" w:lineRule="auto"/>
        <w:tabs>
          <w:tab w:leader="none" w:pos="176"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Three and nine months ended September 30, 2025 include 1,944,865 vested but unissued shares underlying awards of RSUs to employees and 28,500 vested RSUs but unissued shares underlying awards of RSUs to advisors. The Company is contractually obligated to issue shares of common stock for all vested but unissued RSUs.</w:t>
      </w:r>
    </w:p>
    <w:p>
      <w:pPr>
        <w:spacing w:after="0" w:line="20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 or out-of-the-money: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3260" w:type="dxa"/>
            <w:vAlign w:val="bottom"/>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34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280" w:type="dxa"/>
            <w:vAlign w:val="bottom"/>
          </w:tcPr>
          <w:p>
            <w:pPr>
              <w:spacing w:after="0"/>
              <w:rPr>
                <w:sz w:val="12"/>
                <w:szCs w:val="12"/>
                <w:color w:val="auto"/>
              </w:rPr>
            </w:pPr>
          </w:p>
        </w:tc>
        <w:tc>
          <w:tcPr>
            <w:tcW w:w="152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520" w:type="dxa"/>
            <w:vAlign w:val="bottom"/>
            <w:tcBorders>
              <w:top w:val="single" w:sz="8" w:color="auto"/>
              <w:bottom w:val="single" w:sz="8" w:color="auto"/>
            </w:tcBorders>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29,318,783</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12,736,621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29,318,783</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12,736,621</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8,791,483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3,743,578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8,791,483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3,743,578</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Earnout shares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Public warrants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34,702,999</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34,702,999</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 warrants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4,695,604</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4,695,604</w:t>
            </w:r>
          </w:p>
        </w:tc>
        <w:tc>
          <w:tcPr>
            <w:tcW w:w="100" w:type="dxa"/>
            <w:vAlign w:val="bottom"/>
          </w:tcPr>
          <w:p>
            <w:pPr>
              <w:spacing w:after="0"/>
              <w:rPr>
                <w:sz w:val="18"/>
                <w:szCs w:val="18"/>
                <w:color w:val="auto"/>
              </w:rPr>
            </w:pPr>
          </w:p>
        </w:tc>
      </w:tr>
      <w:tr>
        <w:trPr>
          <w:trHeight w:val="249"/>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85,408,516</w:t>
            </w:r>
          </w:p>
        </w:tc>
        <w:tc>
          <w:tcPr>
            <w:tcW w:w="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55,878,802</w:t>
            </w:r>
          </w:p>
        </w:tc>
        <w:tc>
          <w:tcPr>
            <w:tcW w:w="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85,408,516</w:t>
            </w:r>
          </w:p>
        </w:tc>
        <w:tc>
          <w:tcPr>
            <w:tcW w:w="2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55,878,802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-25400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of issuance of these condensed consolidated financial statements and determined that the following subsequent events, other than those disclosed elsewhere in the condensed consolidated financial statements, are reportable: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Sales of Securities Under the Committed Equity Facility</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From October 1, 2025 through October 17, 2025, the Company settled an additional 2,736,587 shares of newly-issued common stock, sold to B. Riley under the Committed Equity Facility, for net proceeds of $13.4 million. As of the date of issuance of these condensed consolidated financial statements, the Company had settled a total of 8,410,321 shares of common stock, sold to B. Riley under the Committed Equity Facility, for net proceeds of $33.4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10, 2025 Private Placement</w:t>
      </w:r>
    </w:p>
    <w:p>
      <w:pPr>
        <w:spacing w:after="0" w:line="22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November 10, 2025, the Company and affiliates of Polar Asset Management Partners Inc. (“Polar”) entered into a Securities Purchase Agreement (the “Polar Private Placement”). Pursuant to the Polar Private Placement, the Company agreed to the direct sale of 9,375,000 shares of the Company’s common stock at a purchase price of $3.20 per share and the issuance of 9,375,000 warrants to purchase additional shares of the Company’s common stock, resulting in aggregate gross proceeds of approximately $30.0 million, before deducting offering expenses. The warrants have a term of five years and are immediately exercisable, with an exercise price of $5.00 per share. The Company intends to use the net proceeds from the Polar Private Placement for general corporate and working capital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condensed consolidated financial statements and related notes thereto, included in Part 1. Item 1. of this Quarterly Report, risk factors, included in Part 2. Item 1A. of this Quarterly Report, and the information included in our Current Report on Form 8-K/A, as filed with the U.S. Securities and Exchange Commission (“SEC”) on April 15, 2025, and the previous Quarterly Reports on Form 10-Q as filed with the SEC on May 14, 2025 and August 14, 2025,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provide purpose-built, transformative artificial intelligence (“AI”)-enabled edge computing solutions comprised of hardware and software intended to optimize AI from the edge to the core, with a full-stack programmable processor architecture suite and low-code/no-code software platform that enables AI processing solutions for high-performance computing at both the network’s edge and at data centers. Our solutions are intended to deliver real-time insights and decision-making capabilities at low power consumption, high efficiency, minimal size, and low cost.</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Macroeconomic Environment and its Effect on Blaize</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the first quarter of 2025, the United States (“U.S.”) government announced the forthcoming imposition of a series of new tariff policies affecting imports from many countries, including China. At the same time, many countries, including China, threatened retaliatory tariff regimes. Subsequently, China announced tighter export controls on certain rare earth metals, which are critical for high-tech manufacturing, and the U.S. government announced additional tariffs. Further, the regulations restricting the export of certain products and technology from the U.S. to China continue to be fluid, which could affect our business in China. These export controls, regulations, and tariffs are currently subject to ongoing negotiation.</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While the legality and ultimate implications of the tariffs imposed by the U.S. government remain unclear, tariffs could materially increase our import costs and potentially lead to higher prices that may reduce consumer demand, and add an overall element of uncertainty to the U.S. economy. We are proactively evaluating strategies to mitigate the impact of tariffs on our supply chain and costs. These strategies include exploring alternative sourcing outside of China, working with our suppliers to manage cost increases, and implementing price increases. These actions may not fully offset the impact of tariffs and, as a result, our revenues, cost of materials, and overall financial performance may be materially affected.</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Adding to overall economic uncertainty, the U.S. government has ceased all operations but those deemed essential (the “government shutdown”). During a government shutdown, import and export processes can slow, especially if agencies involved reduce staff levels. Further, the SEC does not review registration statements during a government shutdown, which could limit our access to public capital markets until the government resumes normal operations.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(the “OBBBA”) was signed into law. The OBBBA makes permanent key elements of the Tax Cuts and Jobs Act, including 100% bonus depreciation, domestic research cost expensing, and the business interest expense limitation.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effects of the new tax law will be recognized in the period of enactment. We are in the process of evaluating the impact of OBBBA on our condensed consolidated financial statements. Any results of such evaluations will be reflected on our consolidated financial statements included in our Annual Report on Form 10-K for the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in Our Business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July 14, 2025, we entered into a $50.0 million common stock purchase agreement (“Committed Equity Facility”) with B. Riley Principal Capital II, LLC (“B. Riley”). We expect to use the proceeds from this facility to accelerate commercialization of our South Asia smart infrastructure contract and investment in our next-generation chip, as well as for working capital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November 10, 2025, Blaize and affiliates of Polar Asset Management Partners Inc. (“Polar”) entered into a Securities Purchase Agreement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 We intend to use the net proceeds from the Polar Private Placement for general corporate and working capital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could significantly accelerate growth through near-term customer implementations. Although we have no contractual arrangement(s) with respect to such pipeline and there is no assurance of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September 30, 2025, a total of 53 POCs were initiated or in progress with a potential customer.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September 30, 2025, we had a total of 42 Partners.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September 30, 2025, a total of 26 Design Wins have been confirmed with a Partner or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225"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encompasses the sale of our semiconductor products through various supply agreements.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encompasses the sale of our applications and other software products through various licensing agreements.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 providing customized design services to our customers, tailored to their specific requirements.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revenue for the three and nine months ended September 30, 2025 and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74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Three Months Ended September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5"/>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Nine Months Ended September 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1"/>
              </w:rPr>
              <w:t>Change</w:t>
            </w:r>
          </w:p>
        </w:tc>
      </w:tr>
      <w:tr>
        <w:trPr>
          <w:trHeight w:val="128"/>
        </w:trPr>
        <w:tc>
          <w:tcPr>
            <w:tcW w:w="3660" w:type="dxa"/>
            <w:vAlign w:val="bottom"/>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93"/>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3"/>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7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313"/>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3"/>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13"/>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73"/>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4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r>
      <w:tr>
        <w:trPr>
          <w:trHeight w:val="156"/>
        </w:trPr>
        <w:tc>
          <w:tcPr>
            <w:tcW w:w="36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revenue</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11,867</w:t>
            </w:r>
          </w:p>
        </w:tc>
        <w:tc>
          <w:tcPr>
            <w:tcW w:w="40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781</w:t>
            </w:r>
          </w:p>
        </w:tc>
        <w:tc>
          <w:tcPr>
            <w:tcW w:w="28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11,086</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5"/>
                <w:szCs w:val="15"/>
                <w:color w:val="auto"/>
              </w:rPr>
              <w:t>1,419% $</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14,856</w:t>
            </w:r>
          </w:p>
        </w:tc>
        <w:tc>
          <w:tcPr>
            <w:tcW w:w="38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1,553</w:t>
            </w:r>
          </w:p>
        </w:tc>
        <w:tc>
          <w:tcPr>
            <w:tcW w:w="28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13,303</w:t>
            </w:r>
          </w:p>
        </w:tc>
        <w:tc>
          <w:tcPr>
            <w:tcW w:w="1240" w:type="dxa"/>
            <w:vAlign w:val="bottom"/>
            <w:gridSpan w:val="3"/>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857%</w:t>
            </w:r>
          </w:p>
        </w:tc>
      </w:tr>
    </w:tbl>
    <w:p>
      <w:pPr>
        <w:spacing w:after="0" w:line="19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revenue increased 1,419% to $11.9 million, compared to $0.8 million for the three months ended September 30, 2024. This increase in revenue was primarily due to hardware sold to a new customer which included $10.4 million of revenue for the three months ended September 30, 2025, with the remainder of this increase due to hardware sold to a related party, while revenue from the comparable period in 2024 was derived primarily from engineering services provided to a related party. Engineering services revenue with the related party is no longer expected, as the development contract with this party has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revenue increased 857% to $14.9 million compared to $1.6 million for the nine months ended September 30, 2024. The increase was primarily due to hardware sales to a new customer in the third quarter of 2025 of $10.4 million, while revenue from the comparable period in 2024 was derived primarily from engineering services provided to a related party. Engineering services revenue with the related party is no longer expected, as the development contract with this party has been completed.</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revenue by the geographical location of our customers for the three and nine months ended September 30, 2025 and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9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7"/>
              </w:rPr>
              <w:t>Three Months Ended September 30,</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29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180"/>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3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28"/>
        </w:trPr>
        <w:tc>
          <w:tcPr>
            <w:tcW w:w="2980" w:type="dxa"/>
            <w:vAlign w:val="bottom"/>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30"/>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760" w:type="dxa"/>
            <w:vAlign w:val="bottom"/>
            <w:tcBorders>
              <w:bottom w:val="single" w:sz="8" w:color="auto"/>
            </w:tcBorders>
          </w:tcPr>
          <w:p>
            <w:pPr>
              <w:jc w:val="right"/>
              <w:ind w:right="25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10"/>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31"/>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70"/>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720" w:type="dxa"/>
            <w:vAlign w:val="bottom"/>
            <w:tcBorders>
              <w:bottom w:val="single" w:sz="8" w:color="auto"/>
            </w:tcBorders>
          </w:tcPr>
          <w:p>
            <w:pPr>
              <w:jc w:val="right"/>
              <w:ind w:right="227"/>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r>
      <w:tr>
        <w:trPr>
          <w:trHeight w:val="155"/>
        </w:trPr>
        <w:tc>
          <w:tcPr>
            <w:tcW w:w="298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5"/>
                <w:szCs w:val="15"/>
                <w:color w:val="auto"/>
              </w:rPr>
              <w:t>Asia Pacific</w:t>
            </w:r>
          </w:p>
        </w:tc>
        <w:tc>
          <w:tcPr>
            <w:tcW w:w="2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10,445</w:t>
            </w:r>
          </w:p>
        </w:tc>
        <w:tc>
          <w:tcPr>
            <w:tcW w:w="1120" w:type="dxa"/>
            <w:vAlign w:val="bottom"/>
            <w:tcBorders>
              <w:right w:val="single" w:sz="8" w:color="CFF0FC"/>
            </w:tcBorders>
            <w:gridSpan w:val="3"/>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88%</w:t>
            </w: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3"/>
            <w:shd w:val="clear" w:color="auto" w:fill="CFF0FC"/>
          </w:tcPr>
          <w:p>
            <w:pPr>
              <w:jc w:val="right"/>
              <w:ind w:right="3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 $</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11,411</w:t>
            </w:r>
          </w:p>
        </w:tc>
        <w:tc>
          <w:tcPr>
            <w:tcW w:w="960" w:type="dxa"/>
            <w:vAlign w:val="bottom"/>
            <w:gridSpan w:val="3"/>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77%</w:t>
            </w:r>
          </w:p>
        </w:tc>
        <w:tc>
          <w:tcPr>
            <w:tcW w:w="22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333</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21%</w:t>
            </w:r>
          </w:p>
        </w:tc>
      </w:tr>
      <w:tr>
        <w:trPr>
          <w:trHeight w:val="162"/>
        </w:trPr>
        <w:tc>
          <w:tcPr>
            <w:tcW w:w="298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North America</w:t>
            </w:r>
          </w:p>
        </w:tc>
        <w:tc>
          <w:tcPr>
            <w:tcW w:w="2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1,338</w:t>
            </w:r>
          </w:p>
        </w:tc>
        <w:tc>
          <w:tcPr>
            <w:tcW w:w="112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3,312</w:t>
            </w:r>
          </w:p>
        </w:tc>
        <w:tc>
          <w:tcPr>
            <w:tcW w:w="96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1,215</w:t>
            </w:r>
          </w:p>
        </w:tc>
        <w:tc>
          <w:tcPr>
            <w:tcW w:w="100" w:type="dxa"/>
            <w:vAlign w:val="bottom"/>
          </w:tcPr>
          <w:p>
            <w:pPr>
              <w:spacing w:after="0"/>
              <w:rPr>
                <w:sz w:val="14"/>
                <w:szCs w:val="14"/>
                <w:color w:val="auto"/>
              </w:rPr>
            </w:pPr>
          </w:p>
        </w:tc>
        <w:tc>
          <w:tcPr>
            <w:tcW w:w="8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78%</w:t>
            </w:r>
          </w:p>
        </w:tc>
      </w:tr>
      <w:tr>
        <w:trPr>
          <w:trHeight w:val="162"/>
        </w:trPr>
        <w:tc>
          <w:tcPr>
            <w:tcW w:w="298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84</w:t>
            </w:r>
          </w:p>
        </w:tc>
        <w:tc>
          <w:tcPr>
            <w:tcW w:w="10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133</w:t>
            </w:r>
          </w:p>
        </w:tc>
        <w:tc>
          <w:tcPr>
            <w:tcW w:w="960" w:type="dxa"/>
            <w:vAlign w:val="bottom"/>
            <w:gridSpan w:val="3"/>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w:t>
            </w:r>
          </w:p>
        </w:tc>
      </w:tr>
      <w:tr>
        <w:trPr>
          <w:trHeight w:val="20"/>
        </w:trPr>
        <w:tc>
          <w:tcPr>
            <w:tcW w:w="29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56"/>
        </w:trPr>
        <w:tc>
          <w:tcPr>
            <w:tcW w:w="29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Total revenue</w:t>
            </w:r>
          </w:p>
        </w:tc>
        <w:tc>
          <w:tcPr>
            <w:tcW w:w="22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11,867</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1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1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14,856</w:t>
            </w:r>
          </w:p>
        </w:tc>
        <w:tc>
          <w:tcPr>
            <w:tcW w:w="960" w:type="dxa"/>
            <w:vAlign w:val="bottom"/>
            <w:gridSpan w:val="3"/>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22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1,553</w:t>
            </w:r>
          </w:p>
        </w:tc>
        <w:tc>
          <w:tcPr>
            <w:tcW w:w="100" w:type="dxa"/>
            <w:vAlign w:val="bottom"/>
          </w:tcPr>
          <w:p>
            <w:pPr>
              <w:spacing w:after="0"/>
              <w:rPr>
                <w:sz w:val="13"/>
                <w:szCs w:val="13"/>
                <w:color w:val="auto"/>
              </w:rPr>
            </w:pPr>
          </w:p>
        </w:tc>
        <w:tc>
          <w:tcPr>
            <w:tcW w:w="86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100%</w:t>
            </w:r>
          </w:p>
        </w:tc>
      </w:tr>
      <w:tr>
        <w:trPr>
          <w:trHeight w:val="20"/>
        </w:trPr>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-136525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-136525</wp:posOffset>
            </wp:positionV>
            <wp:extent cx="939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-136525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-136525</wp:posOffset>
            </wp:positionV>
            <wp:extent cx="946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-136525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-136525</wp:posOffset>
            </wp:positionV>
            <wp:extent cx="939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-136525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-136525</wp:posOffset>
            </wp:positionV>
            <wp:extent cx="939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Thus far in 2025, our revenue was derived from two significant customers, one significant customer located in the Asia Pacific region, who is not a related party, and one significant customer located in North America, who is a related party. In 2024, our revenue was derived from two different customers, located in both North America and Asia Pacific, and both of whom were related parties.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expect our growth to continue in both Asia Pacific and North America. Since our revenue is concentrated among a small number of customers, revenue from any one significant customer may change the geographical mix of our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Cost of revenue is primarily comprised of the cost of semiconductors purchased from contract manufacturers, including wafer fabrication, assembly, testing and packaging, board, and device costs as well as indirect costs such as inventory carrying costs and inventory valuation reserves. In addition, cost of revenue also includes direct labor costs associated with the servicing of our engineering services revenue contracts. Engineering services revenue with the related party is no longer expected, as the development contract with this party has been completed. There is no depreciation and amortization allocable to cost of revenue; however, if such depreciation and amortization expense were to be incurred, it would be allocated to cost of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of ordinary depreciation and amortization on long-lived assets such as computer equipment, furniture and fixtures, leasehold improvements, and office equipment and is generally not material to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Transaction costs consisted of direct incremental legal, consulting, and banking fees related to the consummation of the transactions (the “Merger”) contemplated by the Agreement and Plan of Merger (the “Merger Agreement”), dated as of December 22, 2023 (as amended on April 22, 2024, October 24, 2024 and November 21, 2024), which was completed in the first quarter of 2025. No additional costs relating to the Merger are expected to be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Detail of Costs and Expenses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costs and expenses, as described above, for the three and nine months ended September 30, 2025 and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Three Months Ended September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Nine Months Ended September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5"/>
        </w:trPr>
        <w:tc>
          <w:tcPr>
            <w:tcW w:w="4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8"/>
        </w:trPr>
        <w:tc>
          <w:tcPr>
            <w:tcW w:w="4280" w:type="dxa"/>
            <w:vAlign w:val="bottom"/>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ind w:right="211"/>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22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66"/>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6"/>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4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r>
      <w:tr>
        <w:trPr>
          <w:trHeight w:val="155"/>
        </w:trPr>
        <w:tc>
          <w:tcPr>
            <w:tcW w:w="428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5"/>
                <w:szCs w:val="15"/>
                <w:color w:val="auto"/>
              </w:rPr>
              <w:t>Cost of revenue</w:t>
            </w:r>
          </w:p>
        </w:tc>
        <w:tc>
          <w:tcPr>
            <w:tcW w:w="160" w:type="dxa"/>
            <w:vAlign w:val="bottom"/>
            <w:shd w:val="clear" w:color="auto" w:fill="CFF0FC"/>
          </w:tcPr>
          <w:p>
            <w:pPr>
              <w:jc w:val="right"/>
              <w:ind w:right="1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10,091</w:t>
            </w:r>
          </w:p>
        </w:tc>
        <w:tc>
          <w:tcPr>
            <w:tcW w:w="400" w:type="dxa"/>
            <w:vAlign w:val="bottom"/>
            <w:gridSpan w:val="2"/>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476</w:t>
            </w:r>
          </w:p>
        </w:tc>
        <w:tc>
          <w:tcPr>
            <w:tcW w:w="7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9,615</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5"/>
                <w:szCs w:val="15"/>
                <w:color w:val="auto"/>
              </w:rPr>
              <w:t>2,020% $</w:t>
            </w: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11,222</w:t>
            </w:r>
          </w:p>
        </w:tc>
        <w:tc>
          <w:tcPr>
            <w:tcW w:w="38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1,039</w:t>
            </w:r>
          </w:p>
        </w:tc>
        <w:tc>
          <w:tcPr>
            <w:tcW w:w="6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$ 10,183</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980%</w:t>
            </w:r>
          </w:p>
        </w:tc>
      </w:tr>
      <w:tr>
        <w:trPr>
          <w:trHeight w:val="162"/>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2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Operating expenses:</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62"/>
        </w:trPr>
        <w:tc>
          <w:tcPr>
            <w:tcW w:w="42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Research and development</w:t>
            </w:r>
          </w:p>
        </w:tc>
        <w:tc>
          <w:tcPr>
            <w:tcW w:w="1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9,676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5,799</w:t>
            </w:r>
          </w:p>
        </w:tc>
        <w:tc>
          <w:tcPr>
            <w:tcW w:w="7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3,877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67%</w:t>
            </w: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32,407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15,765</w:t>
            </w:r>
          </w:p>
        </w:tc>
        <w:tc>
          <w:tcPr>
            <w:tcW w:w="6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16,642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106%</w:t>
            </w:r>
          </w:p>
        </w:tc>
      </w:tr>
      <w:tr>
        <w:trPr>
          <w:trHeight w:val="162"/>
        </w:trPr>
        <w:tc>
          <w:tcPr>
            <w:tcW w:w="42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Selling, general and administrative</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14,321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5,546</w:t>
            </w:r>
          </w:p>
        </w:tc>
        <w:tc>
          <w:tcPr>
            <w:tcW w:w="7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8,775</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158%</w:t>
            </w: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40,207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14,538</w:t>
            </w:r>
          </w:p>
        </w:tc>
        <w:tc>
          <w:tcPr>
            <w:tcW w:w="6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25,669</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177%</w:t>
            </w:r>
          </w:p>
        </w:tc>
      </w:tr>
      <w:tr>
        <w:trPr>
          <w:trHeight w:val="162"/>
        </w:trPr>
        <w:tc>
          <w:tcPr>
            <w:tcW w:w="42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Selling, general and administrative - related party</w:t>
            </w:r>
          </w:p>
        </w:tc>
        <w:tc>
          <w:tcPr>
            <w:tcW w:w="1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20" w:type="dxa"/>
            <w:vAlign w:val="bottom"/>
            <w:gridSpan w:val="3"/>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455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r>
      <w:tr>
        <w:trPr>
          <w:trHeight w:val="162"/>
        </w:trPr>
        <w:tc>
          <w:tcPr>
            <w:tcW w:w="42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251</w:t>
            </w:r>
          </w:p>
        </w:tc>
        <w:tc>
          <w:tcPr>
            <w:tcW w:w="7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113</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1,011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688</w:t>
            </w:r>
          </w:p>
        </w:tc>
        <w:tc>
          <w:tcPr>
            <w:tcW w:w="6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r>
      <w:tr>
        <w:trPr>
          <w:trHeight w:val="162"/>
        </w:trPr>
        <w:tc>
          <w:tcPr>
            <w:tcW w:w="42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Transaction costs</w:t>
            </w:r>
          </w:p>
        </w:tc>
        <w:tc>
          <w:tcPr>
            <w:tcW w:w="1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2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12,043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163</w:t>
            </w:r>
          </w:p>
        </w:tc>
        <w:tc>
          <w:tcPr>
            <w:tcW w:w="6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11,880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4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operating expenses</w:t>
            </w:r>
          </w:p>
        </w:tc>
        <w:tc>
          <w:tcPr>
            <w:tcW w:w="160" w:type="dxa"/>
            <w:vAlign w:val="bottom"/>
            <w:shd w:val="clear" w:color="auto" w:fill="CFF0FC"/>
          </w:tcPr>
          <w:p>
            <w:pPr>
              <w:jc w:val="right"/>
              <w:ind w:right="1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24,361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11,673</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$ 12,688</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86,123</w:t>
            </w:r>
          </w:p>
        </w:tc>
        <w:tc>
          <w:tcPr>
            <w:tcW w:w="38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31,154</w:t>
            </w:r>
          </w:p>
        </w:tc>
        <w:tc>
          <w:tcPr>
            <w:tcW w:w="6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$ 54,969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-24765</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0000" w:firstLine="8"/>
        <w:spacing w:after="0" w:line="368" w:lineRule="auto"/>
        <w:tabs>
          <w:tab w:leader="none" w:pos="19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material ** Not meaningful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cost of revenue increased by $9.6 million, or 2,020%, to $10.1 million, compared to $0.5 million for the three months ended September 30, 2024. The increase was primarily driven by higher hardware costs required to fulfil sales contracts during the current period.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cost of revenue increased by $10.2 million, or 980%, to $11.2 million, compared to $1.0 million for the nine months ended September 30, 2024. The increase was primarily driven by higher hardware costs required to fulfil sales contracts during the current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R&amp;D expense increased by $3.9 million, or 67%, to $9.7 million, compared to $5.8 million for the three months ended September 30, 2024. The increase was primarily due to higher stock-based compensation expenses allocated to R&amp;D and the acquisition of third-party intellectual property for new chip development.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R&amp;D expense increased by $16.6 million, or 106%, to $32.4 million, compared to $15.8 million for the nine months ended September 30, 2024. The increase was primarily due to higher stock-based compensation expenses allocated to R&amp;D and the acquisition of third-party intellectual property for new chip development.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increases in R&amp;D expenses described above are expected to continue as we support the development of our next generation of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SG&amp;A expense increased by $8.8 million, or 158%, to $14.3 million compared to $5.5 million for the three months ended September 30, 2024. This increase was primarily due to stock-based compensation expense, which is the largest component of payroll expense, which is, in turn, the largest component of SG&amp;A.</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SG&amp;A expense increased by $25.7 million, or 177%, reaching $40.2 million, up from $14.5 million for the nine months ended September 30, 2024. This increase was primarily due to stock-based compensation expense, which is the largest component of payroll expense, which is, in turn, the largest component of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details of our total other expense, net, for the three and nine months ended September 30,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0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6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5"/>
                <w:szCs w:val="15"/>
                <w:color w:val="auto"/>
              </w:rPr>
              <w:t>Debt financing charge on convertible notes</w:t>
            </w:r>
          </w:p>
        </w:tc>
        <w:tc>
          <w:tcPr>
            <w:tcW w:w="300" w:type="dxa"/>
            <w:vAlign w:val="bottom"/>
            <w:gridSpan w:val="2"/>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2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FF0FC"/>
            </w:tcBorders>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3"/>
            <w:shd w:val="clear" w:color="auto" w:fill="CFF0FC"/>
          </w:tcPr>
          <w:p>
            <w:pPr>
              <w:jc w:val="right"/>
              <w:ind w:right="5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2"/>
            <w:shd w:val="clear" w:color="auto" w:fill="CFF0FC"/>
          </w:tcPr>
          <w:p>
            <w:pPr>
              <w:jc w:val="right"/>
              <w:ind w:right="2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FF0FC"/>
            </w:tcBorders>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(464)</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464</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Gain (loss) on foreign exchange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(88)</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(119)</w:t>
            </w:r>
          </w:p>
        </w:tc>
        <w:tc>
          <w:tcPr>
            <w:tcW w:w="260" w:type="dxa"/>
            <w:vAlign w:val="bottom"/>
          </w:tcPr>
          <w:p>
            <w:pPr>
              <w:spacing w:after="0"/>
              <w:rPr>
                <w:sz w:val="14"/>
                <w:szCs w:val="14"/>
                <w:color w:val="auto"/>
              </w:rPr>
            </w:pPr>
          </w:p>
        </w:tc>
        <w:tc>
          <w:tcPr>
            <w:tcW w:w="7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(384)%</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(154)</w:t>
            </w:r>
          </w:p>
        </w:tc>
        <w:tc>
          <w:tcPr>
            <w:tcW w:w="180" w:type="dxa"/>
            <w:vAlign w:val="bottom"/>
          </w:tcPr>
          <w:p>
            <w:pPr>
              <w:spacing w:after="0"/>
              <w:rPr>
                <w:sz w:val="14"/>
                <w:szCs w:val="14"/>
                <w:color w:val="auto"/>
              </w:rPr>
            </w:pPr>
          </w:p>
        </w:tc>
        <w:tc>
          <w:tcPr>
            <w:tcW w:w="7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(92)</w:t>
            </w:r>
          </w:p>
        </w:tc>
        <w:tc>
          <w:tcPr>
            <w:tcW w:w="26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148%</w:t>
            </w:r>
          </w:p>
        </w:tc>
        <w:tc>
          <w:tcPr>
            <w:tcW w:w="0" w:type="dxa"/>
            <w:vAlign w:val="bottom"/>
          </w:tcPr>
          <w:p>
            <w:pPr>
              <w:spacing w:after="0"/>
              <w:rPr>
                <w:sz w:val="1"/>
                <w:szCs w:val="1"/>
                <w:color w:val="auto"/>
              </w:rPr>
            </w:pPr>
          </w:p>
        </w:tc>
      </w:tr>
      <w:tr>
        <w:trPr>
          <w:trHeight w:val="145"/>
        </w:trPr>
        <w:tc>
          <w:tcPr>
            <w:tcW w:w="3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5"/>
                <w:szCs w:val="15"/>
                <w:color w:val="auto"/>
              </w:rPr>
              <w:t>(139,78</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Change in fair value of convertible notes</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(15,398)</w:t>
            </w: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15,398</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(165,703)</w:t>
            </w:r>
          </w:p>
        </w:tc>
        <w:tc>
          <w:tcPr>
            <w:tcW w:w="180" w:type="dxa"/>
            <w:vAlign w:val="bottom"/>
            <w:shd w:val="clear" w:color="auto" w:fill="CFF0FC"/>
          </w:tcPr>
          <w:p>
            <w:pPr>
              <w:spacing w:after="0"/>
              <w:rPr>
                <w:sz w:val="15"/>
                <w:szCs w:val="15"/>
                <w:color w:val="auto"/>
              </w:rPr>
            </w:pPr>
          </w:p>
        </w:tc>
        <w:tc>
          <w:tcPr>
            <w:tcW w:w="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(25,921)</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539%</w:t>
            </w:r>
          </w:p>
        </w:tc>
        <w:tc>
          <w:tcPr>
            <w:tcW w:w="0" w:type="dxa"/>
            <w:vAlign w:val="bottom"/>
          </w:tcPr>
          <w:p>
            <w:pPr>
              <w:spacing w:after="0"/>
              <w:rPr>
                <w:sz w:val="1"/>
                <w:szCs w:val="1"/>
                <w:color w:val="auto"/>
              </w:rPr>
            </w:pPr>
          </w:p>
        </w:tc>
      </w:tr>
      <w:tr>
        <w:trPr>
          <w:trHeight w:val="162"/>
        </w:trPr>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Change in fair value of warrants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(90)</w:t>
            </w:r>
          </w:p>
        </w:tc>
        <w:tc>
          <w:tcPr>
            <w:tcW w:w="14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(60,345)</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(61,600)</w:t>
            </w:r>
          </w:p>
        </w:tc>
        <w:tc>
          <w:tcPr>
            <w:tcW w:w="26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Change in fair value of other earnout shares</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(3,798)</w:t>
            </w:r>
          </w:p>
        </w:tc>
        <w:tc>
          <w:tcPr>
            <w:tcW w:w="1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(3,798)</w:t>
            </w: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105,463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105,463</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360" w:type="dxa"/>
            <w:vAlign w:val="bottom"/>
          </w:tcPr>
          <w:p>
            <w:pPr>
              <w:ind w:left="80"/>
              <w:spacing w:after="0" w:line="145" w:lineRule="exact"/>
              <w:rPr>
                <w:sz w:val="20"/>
                <w:szCs w:val="20"/>
                <w:color w:val="auto"/>
              </w:rPr>
            </w:pPr>
            <w:r>
              <w:rPr>
                <w:rFonts w:ascii="Times New Roman" w:cs="Times New Roman" w:eastAsia="Times New Roman" w:hAnsi="Times New Roman"/>
                <w:sz w:val="15"/>
                <w:szCs w:val="15"/>
                <w:color w:val="auto"/>
              </w:rPr>
              <w:t>Change in fair value of unissued shares of common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stock</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(244)</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(244)</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Change in fair value of committed equity facility</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(63)</w:t>
            </w:r>
          </w:p>
        </w:tc>
        <w:tc>
          <w:tcPr>
            <w:tcW w:w="1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(63)</w:t>
            </w: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(63)</w:t>
            </w:r>
          </w:p>
        </w:tc>
        <w:tc>
          <w:tcPr>
            <w:tcW w:w="1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(63)</w:t>
            </w: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net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(1,032)</w:t>
            </w:r>
          </w:p>
        </w:tc>
        <w:tc>
          <w:tcPr>
            <w:tcW w:w="260" w:type="dxa"/>
            <w:vAlign w:val="bottom"/>
          </w:tcPr>
          <w:p>
            <w:pPr>
              <w:spacing w:after="0"/>
              <w:rPr>
                <w:sz w:val="14"/>
                <w:szCs w:val="14"/>
                <w:color w:val="auto"/>
              </w:rPr>
            </w:pPr>
          </w:p>
        </w:tc>
        <w:tc>
          <w:tcPr>
            <w:tcW w:w="7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(81)%</w:t>
            </w: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(1,528)</w:t>
            </w:r>
          </w:p>
        </w:tc>
        <w:tc>
          <w:tcPr>
            <w:tcW w:w="260" w:type="dxa"/>
            <w:vAlign w:val="bottom"/>
          </w:tcPr>
          <w:p>
            <w:pPr>
              <w:spacing w:after="0"/>
              <w:rPr>
                <w:sz w:val="14"/>
                <w:szCs w:val="14"/>
                <w:color w:val="auto"/>
              </w:rPr>
            </w:pPr>
          </w:p>
        </w:tc>
        <w:tc>
          <w:tcPr>
            <w:tcW w:w="7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3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other expense, net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(3,652)</w:t>
            </w: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FF0FC"/>
            </w:tcBorders>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(14,184)</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10,532</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gridSpan w:val="3"/>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(120,897)</w:t>
            </w: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FF0FC"/>
            </w:tcBorders>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(23,515)</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(97,382)</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-25400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-25400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3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“other expense, net” for the three and nine months ended September 20, 2025 compared to the three and nine months ended September 30, 2024 was driven by the fair value changes in the different financial instruments in place during each period. In the first quarter of 2025, as a result of the Merger, the convertible notes, convertible preferred stock, and warrants were all converted into shares of our common stock. These instruments were, therefore, only outstanding fully during the comparative period for 2024.</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After the Merger, the earnout awards issued to Burkhan that were classified as a derivative liability, and the derivative asset (fair value of the initial put option) and liability (forward contracts at each date of purchase of common stock by B. Riley) associated with the Committed Equity Facility were recorded, and subsequently marked to market at the end of each quarterly period. “Other, net” includes fines and penalties as well as the Committed Equity Facility transaction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conjunction with net loss calculated in accordance with accounting principles generally accepted in the U.S. (“GAAP”), we also use EBITDA and Adjusted EBITDA to evaluate our ongoing operations and for internal planning and forecasting purposes. Non-GAAP financial information is presented for supplemental informational purposes only, should not be considered in isolation or as a substitute for financial information presented in accordance with GAAP, and may be different from similarly-titled non-GAAP measures used by other companies. We believe that along with our GAAP financial information, our non-GAAP financial information when taken collectively and evaluated appropriately, is helpful to investors in assessing our operating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EBITDA is defined as “Earnings before interest, income taxes, depreciation, and amortization”. Adjusted EBITDA is defined as EBITDA adjusted for certain unusual and other significant items and removes the volatility associated with non-cash items such as stock-based compensation, changes in fair value, and operational income and expenses that are not expected to be ongoing, as discussed below in the footnote to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loss to EBITDA and Adjusted EBITDA for the three and nine months ended September 30, 2025 and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1780" w:type="dxa"/>
            <w:vAlign w:val="bottom"/>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September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7"/>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Nine Months Ended September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5"/>
        </w:trPr>
        <w:tc>
          <w:tcPr>
            <w:tcW w:w="37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30,</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8"/>
        </w:trPr>
        <w:tc>
          <w:tcPr>
            <w:tcW w:w="3780" w:type="dxa"/>
            <w:vAlign w:val="bottom"/>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(Amounts in thousands)</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6"/>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65"/>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8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65"/>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6"/>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5"/>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8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05"/>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1"/>
                <w:szCs w:val="11"/>
                <w:color w:val="auto"/>
              </w:rPr>
            </w:pPr>
          </w:p>
        </w:tc>
      </w:tr>
      <w:tr>
        <w:trPr>
          <w:trHeight w:val="155"/>
        </w:trPr>
        <w:tc>
          <w:tcPr>
            <w:tcW w:w="3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loss</w:t>
            </w:r>
          </w:p>
        </w:tc>
        <w:tc>
          <w:tcPr>
            <w:tcW w:w="1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FF0FC"/>
          </w:tcPr>
          <w:p>
            <w:pPr>
              <w:jc w:val="right"/>
              <w:ind w:right="102"/>
              <w:spacing w:after="0" w:line="156" w:lineRule="exact"/>
              <w:rPr>
                <w:sz w:val="20"/>
                <w:szCs w:val="20"/>
                <w:color w:val="auto"/>
              </w:rPr>
            </w:pPr>
            <w:r>
              <w:rPr>
                <w:rFonts w:ascii="Times New Roman" w:cs="Times New Roman" w:eastAsia="Times New Roman" w:hAnsi="Times New Roman"/>
                <w:sz w:val="15"/>
                <w:szCs w:val="15"/>
                <w:color w:val="auto"/>
              </w:rPr>
              <w:t>(26,258)</w:t>
            </w:r>
          </w:p>
        </w:tc>
        <w:tc>
          <w:tcPr>
            <w:tcW w:w="1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5"/>
                <w:szCs w:val="15"/>
                <w:color w:val="auto"/>
              </w:rPr>
              <w:t>(25,607)</w:t>
            </w:r>
          </w:p>
        </w:tc>
        <w:tc>
          <w:tcPr>
            <w:tcW w:w="200" w:type="dxa"/>
            <w:vAlign w:val="bottom"/>
            <w:gridSpan w:val="2"/>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(651)</w:t>
            </w:r>
          </w:p>
        </w:tc>
        <w:tc>
          <w:tcPr>
            <w:tcW w:w="20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 $</w:t>
            </w:r>
          </w:p>
        </w:tc>
        <w:tc>
          <w:tcPr>
            <w:tcW w:w="820" w:type="dxa"/>
            <w:vAlign w:val="bottom"/>
            <w:gridSpan w:val="2"/>
            <w:shd w:val="clear" w:color="auto" w:fill="CFF0FC"/>
          </w:tcPr>
          <w:p>
            <w:pPr>
              <w:jc w:val="right"/>
              <w:ind w:right="102"/>
              <w:spacing w:after="0" w:line="156" w:lineRule="exact"/>
              <w:rPr>
                <w:sz w:val="20"/>
                <w:szCs w:val="20"/>
                <w:color w:val="auto"/>
              </w:rPr>
            </w:pPr>
            <w:r>
              <w:rPr>
                <w:rFonts w:ascii="Times New Roman" w:cs="Times New Roman" w:eastAsia="Times New Roman" w:hAnsi="Times New Roman"/>
                <w:sz w:val="15"/>
                <w:szCs w:val="15"/>
                <w:color w:val="auto"/>
              </w:rPr>
              <w:t>(203,608)</w:t>
            </w:r>
          </w:p>
        </w:tc>
        <w:tc>
          <w:tcPr>
            <w:tcW w:w="200" w:type="dxa"/>
            <w:vAlign w:val="bottom"/>
            <w:gridSpan w:val="2"/>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5"/>
                <w:szCs w:val="15"/>
                <w:color w:val="auto"/>
              </w:rPr>
              <w:t>(54,503)</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FF0FC"/>
          </w:tcPr>
          <w:p>
            <w:pPr>
              <w:jc w:val="right"/>
              <w:ind w:right="122"/>
              <w:spacing w:after="0" w:line="156" w:lineRule="exact"/>
              <w:rPr>
                <w:sz w:val="20"/>
                <w:szCs w:val="20"/>
                <w:color w:val="auto"/>
              </w:rPr>
            </w:pPr>
            <w:r>
              <w:rPr>
                <w:rFonts w:ascii="Times New Roman" w:cs="Times New Roman" w:eastAsia="Times New Roman" w:hAnsi="Times New Roman"/>
                <w:sz w:val="15"/>
                <w:szCs w:val="15"/>
                <w:color w:val="auto"/>
              </w:rPr>
              <w:t>(149,105)</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274%</w:t>
            </w:r>
          </w:p>
        </w:tc>
      </w:tr>
      <w:tr>
        <w:trPr>
          <w:trHeight w:val="162"/>
        </w:trPr>
        <w:tc>
          <w:tcPr>
            <w:tcW w:w="37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364</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45%</w:t>
            </w: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1,011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47%</w:t>
            </w:r>
          </w:p>
        </w:tc>
      </w:tr>
      <w:tr>
        <w:trPr>
          <w:trHeight w:val="162"/>
        </w:trPr>
        <w:tc>
          <w:tcPr>
            <w:tcW w:w="37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Provision for income taxes</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222</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(126)</w:t>
            </w: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(36)%</w:t>
            </w:r>
          </w:p>
        </w:tc>
      </w:tr>
      <w:tr>
        <w:trPr>
          <w:trHeight w:val="162"/>
        </w:trPr>
        <w:tc>
          <w:tcPr>
            <w:tcW w:w="37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Interest income, net</w:t>
            </w:r>
          </w:p>
        </w:tc>
        <w:tc>
          <w:tcPr>
            <w:tcW w:w="180" w:type="dxa"/>
            <w:vAlign w:val="bottom"/>
          </w:tcPr>
          <w:p>
            <w:pPr>
              <w:spacing w:after="0"/>
              <w:rPr>
                <w:sz w:val="14"/>
                <w:szCs w:val="14"/>
                <w:color w:val="auto"/>
              </w:rPr>
            </w:pPr>
          </w:p>
        </w:tc>
        <w:tc>
          <w:tcPr>
            <w:tcW w:w="780" w:type="dxa"/>
            <w:vAlign w:val="bottom"/>
            <w:gridSpan w:val="2"/>
          </w:tcPr>
          <w:p>
            <w:pPr>
              <w:jc w:val="right"/>
              <w:ind w:right="102"/>
              <w:spacing w:after="0" w:line="162" w:lineRule="exact"/>
              <w:rPr>
                <w:sz w:val="20"/>
                <w:szCs w:val="20"/>
                <w:color w:val="auto"/>
              </w:rPr>
            </w:pPr>
            <w:r>
              <w:rPr>
                <w:rFonts w:ascii="Times New Roman" w:cs="Times New Roman" w:eastAsia="Times New Roman" w:hAnsi="Times New Roman"/>
                <w:sz w:val="15"/>
                <w:szCs w:val="15"/>
                <w:color w:val="auto"/>
              </w:rPr>
              <w:t>(693)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
              <w:spacing w:after="0" w:line="162" w:lineRule="exact"/>
              <w:rPr>
                <w:sz w:val="20"/>
                <w:szCs w:val="20"/>
                <w:color w:val="auto"/>
              </w:rPr>
            </w:pPr>
            <w:r>
              <w:rPr>
                <w:rFonts w:ascii="Times New Roman" w:cs="Times New Roman" w:eastAsia="Times New Roman" w:hAnsi="Times New Roman"/>
                <w:sz w:val="15"/>
                <w:szCs w:val="15"/>
                <w:color w:val="auto"/>
              </w:rPr>
              <w:t>(1,273)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(46)%</w:t>
            </w:r>
          </w:p>
        </w:tc>
        <w:tc>
          <w:tcPr>
            <w:tcW w:w="140" w:type="dxa"/>
            <w:vAlign w:val="bottom"/>
          </w:tcPr>
          <w:p>
            <w:pPr>
              <w:spacing w:after="0"/>
              <w:rPr>
                <w:sz w:val="14"/>
                <w:szCs w:val="14"/>
                <w:color w:val="auto"/>
              </w:rPr>
            </w:pPr>
          </w:p>
        </w:tc>
        <w:tc>
          <w:tcPr>
            <w:tcW w:w="820" w:type="dxa"/>
            <w:vAlign w:val="bottom"/>
            <w:gridSpan w:val="2"/>
          </w:tcPr>
          <w:p>
            <w:pPr>
              <w:jc w:val="right"/>
              <w:ind w:right="102"/>
              <w:spacing w:after="0" w:line="162" w:lineRule="exact"/>
              <w:rPr>
                <w:sz w:val="20"/>
                <w:szCs w:val="20"/>
                <w:color w:val="auto"/>
              </w:rPr>
            </w:pPr>
            <w:r>
              <w:rPr>
                <w:rFonts w:ascii="Times New Roman" w:cs="Times New Roman" w:eastAsia="Times New Roman" w:hAnsi="Times New Roman"/>
                <w:sz w:val="15"/>
                <w:szCs w:val="15"/>
                <w:color w:val="auto"/>
              </w:rPr>
              <w:t>(1,406)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22"/>
              <w:spacing w:after="0" w:line="162" w:lineRule="exact"/>
              <w:rPr>
                <w:sz w:val="20"/>
                <w:szCs w:val="20"/>
                <w:color w:val="auto"/>
              </w:rPr>
            </w:pPr>
            <w:r>
              <w:rPr>
                <w:rFonts w:ascii="Times New Roman" w:cs="Times New Roman" w:eastAsia="Times New Roman" w:hAnsi="Times New Roman"/>
                <w:sz w:val="15"/>
                <w:szCs w:val="15"/>
                <w:color w:val="auto"/>
              </w:rPr>
              <w:t>(1,677)</w:t>
            </w: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(16)%</w:t>
            </w: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5"/>
        </w:trPr>
        <w:tc>
          <w:tcPr>
            <w:tcW w:w="3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EBITDA</w:t>
            </w:r>
          </w:p>
        </w:tc>
        <w:tc>
          <w:tcPr>
            <w:tcW w:w="1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2"/>
              <w:spacing w:after="0" w:line="156" w:lineRule="exact"/>
              <w:rPr>
                <w:sz w:val="20"/>
                <w:szCs w:val="20"/>
                <w:color w:val="auto"/>
              </w:rPr>
            </w:pPr>
            <w:r>
              <w:rPr>
                <w:rFonts w:ascii="Times New Roman" w:cs="Times New Roman" w:eastAsia="Times New Roman" w:hAnsi="Times New Roman"/>
                <w:sz w:val="15"/>
                <w:szCs w:val="15"/>
                <w:color w:val="auto"/>
              </w:rPr>
              <w:t>(26,566)</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5"/>
                <w:szCs w:val="15"/>
                <w:color w:val="auto"/>
              </w:rPr>
              <w:t>(26,574)</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2"/>
              <w:spacing w:after="0" w:line="156" w:lineRule="exact"/>
              <w:rPr>
                <w:sz w:val="20"/>
                <w:szCs w:val="20"/>
                <w:color w:val="auto"/>
              </w:rPr>
            </w:pPr>
            <w:r>
              <w:rPr>
                <w:rFonts w:ascii="Times New Roman" w:cs="Times New Roman" w:eastAsia="Times New Roman" w:hAnsi="Times New Roman"/>
                <w:sz w:val="15"/>
                <w:szCs w:val="15"/>
                <w:color w:val="auto"/>
              </w:rPr>
              <w:t>(203,781)</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5"/>
                <w:szCs w:val="15"/>
                <w:color w:val="auto"/>
              </w:rPr>
              <w:t>(55,144)</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2"/>
              <w:spacing w:after="0" w:line="156" w:lineRule="exact"/>
              <w:rPr>
                <w:sz w:val="20"/>
                <w:szCs w:val="20"/>
                <w:color w:val="auto"/>
              </w:rPr>
            </w:pPr>
            <w:r>
              <w:rPr>
                <w:rFonts w:ascii="Times New Roman" w:cs="Times New Roman" w:eastAsia="Times New Roman" w:hAnsi="Times New Roman"/>
                <w:sz w:val="15"/>
                <w:szCs w:val="15"/>
                <w:color w:val="auto"/>
              </w:rPr>
              <w:t>(148,637)</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270%</w:t>
            </w:r>
          </w:p>
        </w:tc>
      </w:tr>
      <w:tr>
        <w:trPr>
          <w:trHeight w:val="162"/>
        </w:trPr>
        <w:tc>
          <w:tcPr>
            <w:tcW w:w="37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9,486</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9,127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2,542%</w:t>
            </w: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28,092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27,050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2,596%</w:t>
            </w:r>
          </w:p>
        </w:tc>
      </w:tr>
      <w:tr>
        <w:trPr>
          <w:trHeight w:val="162"/>
        </w:trPr>
        <w:tc>
          <w:tcPr>
            <w:tcW w:w="37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Fair value changes and financing charges</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4,424</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15,488</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(11,064)</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(71)%</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121,511</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25,130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96,381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384%</w:t>
            </w:r>
          </w:p>
        </w:tc>
      </w:tr>
      <w:tr>
        <w:trPr>
          <w:trHeight w:val="162"/>
        </w:trPr>
        <w:tc>
          <w:tcPr>
            <w:tcW w:w="37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Transaction costs</w:t>
            </w:r>
          </w:p>
        </w:tc>
        <w:tc>
          <w:tcPr>
            <w:tcW w:w="180" w:type="dxa"/>
            <w:vAlign w:val="bottom"/>
          </w:tcPr>
          <w:p>
            <w:pPr>
              <w:spacing w:after="0"/>
              <w:rPr>
                <w:sz w:val="14"/>
                <w:szCs w:val="14"/>
                <w:color w:val="auto"/>
              </w:rPr>
            </w:pPr>
          </w:p>
        </w:tc>
        <w:tc>
          <w:tcPr>
            <w:tcW w:w="780" w:type="dxa"/>
            <w:vAlign w:val="bottom"/>
            <w:gridSpan w:val="2"/>
          </w:tcPr>
          <w:p>
            <w:pPr>
              <w:jc w:val="right"/>
              <w:ind w:right="162"/>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200" w:type="dxa"/>
            <w:vAlign w:val="bottom"/>
          </w:tcPr>
          <w:p>
            <w:pPr>
              <w:spacing w:after="0"/>
              <w:rPr>
                <w:sz w:val="14"/>
                <w:szCs w:val="14"/>
                <w:color w:val="auto"/>
              </w:rPr>
            </w:pPr>
          </w:p>
        </w:tc>
        <w:tc>
          <w:tcPr>
            <w:tcW w:w="7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12,043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11,880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7,288%</w:t>
            </w:r>
          </w:p>
        </w:tc>
      </w:tr>
      <w:tr>
        <w:trPr>
          <w:trHeight w:val="162"/>
        </w:trPr>
        <w:tc>
          <w:tcPr>
            <w:tcW w:w="37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Non-cash inventory cost realignment adjustments</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2"/>
              <w:spacing w:after="0" w:line="162" w:lineRule="exact"/>
              <w:rPr>
                <w:sz w:val="20"/>
                <w:szCs w:val="20"/>
                <w:color w:val="auto"/>
              </w:rPr>
            </w:pPr>
            <w:r>
              <w:rPr>
                <w:rFonts w:ascii="Times New Roman" w:cs="Times New Roman" w:eastAsia="Times New Roman" w:hAnsi="Times New Roman"/>
                <w:sz w:val="15"/>
                <w:szCs w:val="15"/>
                <w:color w:val="auto"/>
              </w:rPr>
              <w:t>(112)</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204</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(316)</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(155)%</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2"/>
              <w:spacing w:after="0" w:line="162" w:lineRule="exact"/>
              <w:rPr>
                <w:sz w:val="20"/>
                <w:szCs w:val="20"/>
                <w:color w:val="auto"/>
              </w:rPr>
            </w:pPr>
            <w:r>
              <w:rPr>
                <w:rFonts w:ascii="Times New Roman" w:cs="Times New Roman" w:eastAsia="Times New Roman" w:hAnsi="Times New Roman"/>
                <w:sz w:val="15"/>
                <w:szCs w:val="15"/>
                <w:color w:val="auto"/>
              </w:rPr>
              <w:t>(656)</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(835)</w:t>
            </w: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(466)%</w:t>
            </w:r>
          </w:p>
        </w:tc>
      </w:tr>
      <w:tr>
        <w:trPr>
          <w:trHeight w:val="162"/>
        </w:trPr>
        <w:tc>
          <w:tcPr>
            <w:tcW w:w="3780" w:type="dxa"/>
            <w:vAlign w:val="bottom"/>
          </w:tcPr>
          <w:p>
            <w:pPr>
              <w:ind w:left="80"/>
              <w:spacing w:after="0" w:line="162" w:lineRule="exact"/>
              <w:rPr>
                <w:sz w:val="20"/>
                <w:szCs w:val="20"/>
                <w:color w:val="auto"/>
              </w:rPr>
            </w:pPr>
            <w:r>
              <w:rPr>
                <w:rFonts w:ascii="Times New Roman" w:cs="Times New Roman" w:eastAsia="Times New Roman" w:hAnsi="Times New Roman"/>
                <w:sz w:val="14"/>
                <w:szCs w:val="14"/>
                <w:color w:val="auto"/>
              </w:rPr>
              <w:t>Other adjustments</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1,702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1,734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(5,419)%</w:t>
            </w: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3,353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5,080%</w:t>
            </w:r>
          </w:p>
        </w:tc>
      </w:tr>
      <w:tr>
        <w:trPr>
          <w:trHeight w:val="196"/>
        </w:trPr>
        <w:tc>
          <w:tcPr>
            <w:tcW w:w="37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Adjusted EBITDA</w:t>
            </w:r>
          </w:p>
        </w:tc>
        <w:tc>
          <w:tcPr>
            <w:tcW w:w="1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(11,066</w:t>
            </w:r>
          </w:p>
        </w:tc>
        <w:tc>
          <w:tcPr>
            <w:tcW w:w="18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(10,478</w:t>
            </w:r>
          </w:p>
        </w:tc>
        <w:tc>
          <w:tcPr>
            <w:tcW w:w="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CFF0FC"/>
          </w:tcPr>
          <w:p>
            <w:pPr>
              <w:jc w:val="right"/>
              <w:ind w:right="2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(588)</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6%</w:t>
            </w: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(39,372</w:t>
            </w:r>
          </w:p>
        </w:tc>
        <w:tc>
          <w:tcPr>
            <w:tcW w:w="18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(28,564</w:t>
            </w:r>
          </w:p>
        </w:tc>
        <w:tc>
          <w:tcPr>
            <w:tcW w:w="10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(10,808</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5" w:lineRule="exact"/>
        <w:rPr>
          <w:sz w:val="20"/>
          <w:szCs w:val="20"/>
          <w:color w:val="auto"/>
        </w:rPr>
      </w:pPr>
    </w:p>
    <w:p>
      <w:pPr>
        <w:jc w:val="both"/>
        <w:ind w:firstLine="8"/>
        <w:spacing w:after="0" w:line="264" w:lineRule="auto"/>
        <w:tabs>
          <w:tab w:leader="none" w:pos="167"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adjustments” includes, but is not limited to, other non-cash expenses, including foreign exchange gains and losses, and unusual or non-recurring expenses, including litigation expenses, financing advisory fees, and fines and penalties. We believe that these expenses are not reflective of our ongoing operating performance and excluding these costs provides a more meaningful comparison of our results of operations over comparative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accompanying this Quarterly Report on Form 10-Q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w:t>
      </w:r>
    </w:p>
    <w:p>
      <w:pPr>
        <w:spacing w:after="0" w:line="17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to Issue Shares of Our Common Stock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September 30, 2025, we have commitments to issue 29,318,739 shares of common stock to employees and others under stock option awards, and an additional 10,764,848 shares of our common stock under employee and other RSU awards. We have further reserved 3,047,669 shares of our common stock under an employee stock purchase plan, which has not yet commenced.</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Additionally, 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These Earnout Shares are dependent upon, among other things, changes in the closing share price of our common stock, the expected timing of settlement, and the probability of achieving certain triggering events.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Further, we have a total of 29,698,250 warrants to purchase shares of our common stock outstanding, exercisable at $11.50 per share, expiring at various dates within the first quarter of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a Sales Partner Referral Agreement with an affiliate that allows for shares of our common stock to be issued to that affiliate in respect of a sales commission. Cash or shares of stock for commission payments are to be released upon our receipt of cash on the sales made under the Sales Partner Referral Agreement. To date, sales have been made to another related party, an affiliate of the sales partner, but no payments have been made on amounts due to us, and therefore, no cash or shares of stock relating to the sales commission have been released.</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also have commitments to issue shares of our common stock under the Committed Equity Facility and Polar Private Placement, as further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Currently Available Financing Facilities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July 14, 2025, we entered into a Committed Equity Facility with B. Riley. Pursuant to the Committed Equity Facility, we have the right, but not the obligation, to sell to B. Riley up to an aggregate of $50.0 million of newly issued shares of our common stock, subject to certain conditions and limitations. As of September 30, 2025, we had settled 5,673,734 shares of our common stock, sold to B. Riley for net proceeds of $20.0 million.</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Subsequent to September 30, 2025, we settled additional shares of newly-issued common stock, sold to B. Riley under this agreement, and as of October 17, 2025, the most recent date of such a sale, we had settled a total of 8,410,321 shares of our common stock, sold to B. Riley under the Committed Equity Facility, for net proceeds of $33.4 million.</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November 10, 2025, Blaize and Polar entered into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 We intend to use the net proceeds from the Polar Private Placement for general corporate and working capital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Utilized Financing Facilities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Prior to the Merger, and for the year ended December 31, 2024, certain agreements were in place which provided us with funding. Upon the consummation of the Merger, these agreements all converted to equity (shares of our common stock or warrants to purchase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2025 and 2024</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Pr>
          <w:p>
            <w:pPr>
              <w:spacing w:after="0"/>
              <w:rPr>
                <w:sz w:val="15"/>
                <w:szCs w:val="15"/>
                <w:color w:val="auto"/>
              </w:rPr>
            </w:pPr>
          </w:p>
        </w:tc>
        <w:tc>
          <w:tcPr>
            <w:tcW w:w="27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22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(57,290)</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(35,788)</w:t>
            </w:r>
          </w:p>
        </w:tc>
        <w:tc>
          <w:tcPr>
            <w:tcW w:w="0" w:type="dxa"/>
            <w:vAlign w:val="bottom"/>
          </w:tcPr>
          <w:p>
            <w:pPr>
              <w:spacing w:after="0"/>
              <w:rPr>
                <w:sz w:val="1"/>
                <w:szCs w:val="1"/>
                <w:color w:val="auto"/>
              </w:rPr>
            </w:pPr>
          </w:p>
        </w:tc>
      </w:tr>
      <w:tr>
        <w:trPr>
          <w:trHeight w:val="216"/>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82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(26,224)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$57.3 million for the nine months ended September 30, 2025, compared to $35.8 million for the nine months ended September 30, 2024. The increase in cash used in operating activities was primarily due to an increase of $149.1 million in net loss, partially offset by an increase in adjustments to reconcile net loss to net cash used in operating expenses of $122.0 million and an increase in changes in operating assets and liabilities of $5.6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and 2024, we used $0.7 million and $1.2 million, respectively, of cash to purchase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financing activities was $31.8 million, which primarily consisted of $20.0 million of proceeds from the Committed Equity Facility and $15.9 million of proceeds from the Merger and PIPE financing, partially offset by the $4.3 million payment of deferred offering costs. Net cash provided by financing activities for the nine months ended September 30, 2024 of $102.4 million primarily consisted of $110.7 million in proceeds from the issuance of secured convertible notes under the 2023 Note Purchase Agreement, partially offset by the payment of demand notes of $4.8 million and deferred offering costs of $3.7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and Cash Availability</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Material cash requirements generally include the near-term general corporate expenses of the business, such as employee payroll and consulting fees. Additionally, as of September 30, 2025 and December 31, 2024, we had outstanding purchase orders and contractual obligations totaling $0.5 million and $0.2 million, respectively, to procure inventory.</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we had cash and cash equivalents on hand of $24.0 million, and we had $30.0 million remaining available to draw on the Committed Equity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are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will remain an EGC under the JOBS Act until the earliest of (i) December 31, 2026, which is the last day of our first fiscal year following the fifth anniversary of the closing of BurTech’s initial public offering,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have also elected to avail ourselves of smaller reporting company (“SRC”) status, which is currently available to us as our annual revenues are less than $100.0 million, while at the same time, our public float is less than $700.0 million. Should our annual revenues exceed $100.0 million, then we may continue to elect SRC status if our public float is less than $250.0 million. Annual revenues are determined with reference to our full year revenues as reported on Form 10-K each year, and public float is determined annually at a measurement date of June 30 of each year by multiplying the number of shares of common stock held by non-affiliates by the closing share price of our common stock on June 30 of that year. SRC status allows us, but does not require us, to provide scaled disclosures in our annual reports on Form 10-K and our quarterly reports on Form 10-Q.</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public float and revenue calculations described above also determine our status as an accelerated or non-accelerated filer. Currently, as our revenues are less than $100.0 million, we are a non-accelerated filer, and as long as we are a non-accelerated filer (as determined each year on June 30 as described above) we are not required to provide an auditor’s attestation report on our system of internal controls over financial reporting pursuant to Section 404(b) of the Sarbanes-Oxley Act. Should our revenues exceed $100.0 million and should our public float continue to be in excess of $75.0 million, we would then become an accelerated filer, commencing with our next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at the date of the condensed consolidated financial statements and the reported amounts of revenues and expenses during the reported periods. Actual results could differ from those estimates. We expect quarter-to-quarter GAAP earnings volatility from our business activities.</w:t>
      </w:r>
    </w:p>
    <w:p>
      <w:pPr>
        <w:spacing w:after="0" w:line="176"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critical accounting estimates include estimates related to accounting for the Merger and reverse recapitalization, income taxes, revenue, the net realizable value of inventories, the liability or equity classification and/or valuation of financial instruments, which may be complex financial instruments. Our financial instruments subject to valuation other than a Level 1 valuation technique currently include the Committed Equity Facility, earnout shares, and the valuation of stock-based compensation awards subject to market conditions, and historically included the pre-Merger convertible notes, pre-Merger warrants, and pre-Merger stock-based compensation awards. These estimates and assumptions are based on historical experience and on various other factors which we believe to be reasonable under the circumstances. We engage third-party valuation specialists to assist with estimates related to the valuation of derivative assets or liabilities arising from complex financial instruments.</w:t>
      </w:r>
    </w:p>
    <w:p>
      <w:pPr>
        <w:spacing w:after="0" w:line="18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Management discusses the ongoing development and selection of these critical accounting policies and estimates with the Audit Committee of our Board of Directors.</w:t>
      </w:r>
    </w:p>
    <w:p>
      <w:pPr>
        <w:spacing w:after="0" w:line="162" w:lineRule="exact"/>
        <w:rPr>
          <w:sz w:val="20"/>
          <w:szCs w:val="20"/>
          <w:color w:val="auto"/>
        </w:rPr>
      </w:pPr>
    </w:p>
    <w:p>
      <w:pPr>
        <w:jc w:val="both"/>
        <w:ind w:firstLine="511"/>
        <w:spacing w:after="0" w:line="282" w:lineRule="auto"/>
        <w:rPr>
          <w:sz w:val="20"/>
          <w:szCs w:val="20"/>
          <w:color w:val="auto"/>
        </w:rPr>
      </w:pPr>
      <w:r>
        <w:rPr>
          <w:rFonts w:ascii="Times New Roman" w:cs="Times New Roman" w:eastAsia="Times New Roman" w:hAnsi="Times New Roman"/>
          <w:sz w:val="18"/>
          <w:szCs w:val="18"/>
          <w:color w:val="auto"/>
        </w:rPr>
        <w:t>Refer to Note 2 of the Notes to the Condensed Consolidated Financial Statements in Part I, Item 1 of this Quarterly Report on Form 10-Q for a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reflect the consummation of the Merger and other transactions contemplated by the Merger Agreement (altogether with the Merger, the “Business Combination”), which was accounted for as a reverse recapitalization in accordance with U.S. GAAP. The accounting for the Business Combination required management to make significant estimates and judgments, particularly in identifying the accounting acquirer, determining the fair value of instruments issued, and evaluating the classification of certain financial instruments.</w:t>
      </w:r>
    </w:p>
    <w:p>
      <w:pPr>
        <w:spacing w:after="0" w:line="178"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Under 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determination of the accounting acquirer required management to consider a variety of factors, including the relative voting rights of the pre-combination shareholders, the composition of the board of directors and senior management of the combined entity, and the intended purpose and substance of the transaction. After considering this guidance, the merger was accounted for as a reverse recapitalization, with no goodwill or intangible assets recognized. The net assets of the combined entity are stated at historical cost, and the shares and per-share information presented in the consolidated financial statements were retroactively adjusted to reflect the exchange ratio established in the merger agreement.</w:t>
      </w:r>
    </w:p>
    <w:p>
      <w:pPr>
        <w:spacing w:after="0" w:line="18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addition, management evaluated the appropriate classification of certain financial instruments such as contingent earnout liabilities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This assessment required complex analysis of contractual terms and applicable accounting guidance to determine whether instruments should be recorded as equity or liability-classified. Liability-classified instruments are subsequently remeasured at fair value each reporting period end, with changes recognized in earnings, which may result in significant volatility in our results of operations.</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Because the accounting for the merger and reverse recapitalization involved estimates that relied on management’s assumptions regarding market conditions, valuation methodologies, and the interpretation of complex contractual terms, it represents a critical accounting estimate.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deferred tax asset balance is currently subject to a full valuation allowance. In evaluating the need for a valuation allowance, management considers both positive and negative evidence, including historical operating results, forecasts of future taxable income, the reversal of existing temporary differences, tax planning strategies, and the length of carryforward periods. The weight given to each piece of evidence depends on the extent to which it can be objectively verified. The most significant factor in this assessment is management’s projection of future taxable income, which inherently involves estimates and assumptions regarding future business performance, market conditions, and other factors that may affect profitability. Should actual results differ materially from our estimates of future taxable income, or should there be a change in the weighting of available evidence, our conclusion regarding the need for, or amount of, a valuation allowance could change significantly in future periods.</w:t>
      </w:r>
    </w:p>
    <w:p>
      <w:pPr>
        <w:spacing w:after="0" w:line="18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While accounting for income taxes involves several areas of judgment, the valuation allowance represents the most significant estimate subject to material variability in future periods. Management reviews the realizability of deferred tax assets at each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date and adjusts the valuation allowance as appropriate based on updated information and revised forecasts.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We must make significant estimates and assumptions as we follow the revenue accounting model of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to (i) identify the contract(s) with a customer; (ii) identify the performance obligations in the contract; (iii) determine the transaction price; (iv)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the transaction price to the performance obligations in the contract; and (v) recognize revenue when (or as) we satisfy a performance obligation.</w:t>
      </w:r>
    </w:p>
    <w:p>
      <w:pPr>
        <w:spacing w:after="0" w:line="17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contracts may contain more than one performance obligation. Judgment is required in determining whether each performance obligation within a customer contract is distinct. Most of the products and services function on a standalone basis and do not require a significant amount of integration or interdependency. Therefore, multiple performance obligations contained within a customer contract are considered distinct and are not combined for revenue recognition purposes. We allocate the total transaction price to each distinct performance obligation in an arrangement with multiple performance obligations on a relative standalone selling price basis. In certain cases, we can establish standalone selling price based on directly observable prices of products or services sold separately in comparable circumstances to similar customers. If standalone selling price is not directly observable, such as when we do not sell a product or service separately, we determine standalone selling price based on market data and other observable inputs.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Realizable Value of Inventories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determination of the net realizable value (“NRV”) of inventory is a critical accounting estimate that requires management judgment. Inventories are stated at the lower of cost or NRV. Cost is determined using the first-in, first out method. NRV represents the estimated selling price in the ordinary course of business, less reasonably predictable costs of completion, disposal, and transportation.</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Management regularly reviews inventory quantities on hand and compares these amounts to forecasted demand, historical usage, and market conditions to identify excess, slow-moving, obsolete, or otherwise impaired items. When indicators are present that the cost of the inventory exceeds its NRV, we record a write-down. These estimates inherently involve significant judgment, particularly in assessing future demand and technological changes.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Changes in assumptions or market conditions could materially affect the carrying value of our inventory. Once recorded, write-downs to NRV establish a new cost basis and are not subsequently reversed.</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Management believes the assumptions and methodologies used in estimating NRV are reasonable and consistent with industry practice; however, actual results may differ materially from these estimates, which could have a significant impact on our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Complex Financial Instruments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Our financial statements include various instruments with characteristics of both debt and equity, currently including the Committed Equity Facility, earnout shares, and warrants trading under the ticker symbol “BZAIW”, and historically have included convertible notes, redeemable preferred stock, and legacy warrants. The determination of whether these instruments should be classified as liabilities or equity requires significant judgment and the application of complex accounting guidance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Management evaluates the specific terms and features of each instrument, including redemption provisions, conversion features, participation rights, and contingencies that could require cash settlement. Instruments that contain certain cash settlement features are generally classified as liabilities and recorded at fair value, with changes in fair value recognized through earnings. Instruments that are not mandatorily redeemable for cash and that meet the criteria for equity classification are recorded in equity.</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Determining the appropriate classification requires assessing the likelihood and timing of redemption or conversion events, evaluating embedded derivative features where an instrument embedded in a contract is issued for nominal or no apparent consideration, along with the essential characteristics inherent in a derivative instrument of a notional amount, an underlying security, and a mechanism for net settlement, and estimating fair values where bifurcation is required. These assessments rely on market-based assumptions, volatility estimates, discount rates, and, in certain cases, management’s expectations regarding future financing and settlement outcomes. Because these judgments involve estimates that are inherently uncertain, subsequent changes in facts or circumstances could materially impact the classification and measurement of these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Valuation of any financial instrument depends on the underlying characteristics of the instrument, which generally dictate the valuation model to be used. Currently outstanding instruments subject to valuation include the Committed Equity Facility, the earnout shares, and stock options. Previously outstanding instruments subject to valuation have included convertible notes and previously outstanding warrants.</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fair value of the put option embedded in the Committed Equity Facility at its inception was determined using a Monte Carlo simulation model. This methodology captures the probabilistic nature of mechanisms for our future exercise of the instrument, share price volatility, and contractual constraints, providing a reasonable estimate of the put option’s expected economic benefit over its remaining term. Monte Carlo simulation is a numerical method used to estimate the value of uncertain outcomes by repeatedly generating random variables to mimic the behavior of a stochastic (i.e., random) process. Over time, the fair value of this put option will revert to zero, as the Committed Equity Facility is either fully utilized or expired.</w:t>
      </w:r>
    </w:p>
    <w:p>
      <w:pPr>
        <w:spacing w:after="0" w:line="183"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The fair value of the forward contract embedded in the Committed Equity Facility at each point of issuance of our common stock to B. Riley is the difference between a volume-weighted average purchase price and the settlement date closing share price of our common stock. The embedded derivative of the forward contract does not involve a complex valuation model.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earnout shares have been valued using a Monte Carlo simulation model, as described above.</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fair value of stock options granted is determined using the Black-Scholes-Merton (“Black-Scholes”) option pricing model using various inputs, including management’s estimates of expected share price volatility, term, risk-free rate and future dividends. We have elected the simplified method to determine the expected term of the option grants.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previous issue of legacy warrants was recorded at estimated fair value calculated using the Black-Scholes option pricing model as described above; wherein, depending on the terms of the legacy warrants, certain parameters within the Black-Scholes option pricing model were required to be determined using a Monte Carlo simulation model, as described above.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previous issue of convertible notes was valued at an assumed market price, and did not involve a complex valuation model.</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value of our pre-Merger stock-based compensation awards was determined based on the estimated fair value of shares of common stock at the date of grant, as determined by the Board of Directors, and did not involve a complex valuation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which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(our Chief Executive Officer) and Principal Financial and Accounting Officer (our Chief Financial Officer), or persons performing similar functions, as appropriate to allow timely decisions regarding required or necessary disclosures.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accordance with Exchange Act Rules 13a-15 and 15d-15, an evaluation was completed under the supervision and with the participation of our management, including our Chief Executive Officer and Chief Financial Officer, of the effectiveness of the design and operation of our disclosure controls and procedures as of the end of the period covered by this Quarterly Report. Prior to the Merger, when preparing the financial statements for the years ended December 31, 2024, BurTech Acquisition Corp. (“BurTech”) identified a material weakness, as discussed below, in internal control over financial reporting. As of December 31, 2024, Blaize, Inc. (“Legacy Blaize”) did not identify any material weaknesses in internal control over financial reporting. As of September 30, 2025, the material weaknesses of the combined entity were remediated by the Company. As such, our management, including our Chief Executive Officer and Chief Financial Officer, concluded that our disclosure controls and procedures were effective in providing reasonable assurance that the information required to be disclosed in our reports filed or submitted under the Exchange Act was recorded, processed, summarized, and reported within the time periods specified in the SEC’s rules and forms as of September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our ongoing remediation efforts and the continued monitoring and maintenance of our control procedures as part of the implementation of Section 404 of the Sarbanes-Oxley Act of 2002, we continue to review, test, and improve the operation of our internal controls. Other than our remediation of the prior material weakness of the combined company, as referred to above, there have not been any changes in our internal control over financial reporting (as such term is defined in Rules 13a-15(f) and 15d-15(f) under the Exchange Act) that occurred during the nine months ended September 30, 2025,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67"/>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may become involved in litigation or other legal proceedings. See Note 15 of the Notes to the Condensed Consolidated Financial Statements in Item 1. Financial Statements (unaudited) of Part I of this Quarterly Report, which is incorporated by reference in this Item 1, for additional information regarding </w:t>
      </w:r>
      <w:r>
        <w:rPr>
          <w:rFonts w:ascii="Times New Roman" w:cs="Times New Roman" w:eastAsia="Times New Roman" w:hAnsi="Times New Roman"/>
          <w:sz w:val="18"/>
          <w:szCs w:val="18"/>
          <w:i w:val="1"/>
          <w:iCs w:val="1"/>
          <w:color w:val="auto"/>
        </w:rPr>
        <w:t>Jefferies LLC vs. Blaize Holdings, Inc</w:t>
      </w:r>
      <w:r>
        <w:rPr>
          <w:rFonts w:ascii="Times New Roman" w:cs="Times New Roman" w:eastAsia="Times New Roman" w:hAnsi="Times New Roman"/>
          <w:sz w:val="18"/>
          <w:szCs w:val="18"/>
          <w:color w:val="auto"/>
        </w:rPr>
        <w:t>. Except as described by the foregoing,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67"/>
        <w:spacing w:after="0" w:line="282" w:lineRule="auto"/>
        <w:rPr>
          <w:sz w:val="20"/>
          <w:szCs w:val="20"/>
          <w:color w:val="auto"/>
        </w:rPr>
      </w:pPr>
      <w:r>
        <w:rPr>
          <w:rFonts w:ascii="Times New Roman" w:cs="Times New Roman" w:eastAsia="Times New Roman" w:hAnsi="Times New Roman"/>
          <w:sz w:val="18"/>
          <w:szCs w:val="18"/>
          <w:color w:val="auto"/>
        </w:rPr>
        <w:t>Other than the risk factors listed below, there have been no material changes from the risk factors previously described under Part 1, Item 1A of our Annual Report on Form 10-K for the year ended December 31, 2024, filed with the SEC on April 15,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external partners for critical processes in manufacturing our products.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rely on certain external partners for critical manufacturing steps for our semiconductor and/or System-on-a-Chip (“SoC”) products, including our wafer fabrication,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reliance on these third-party manufacturers also subjects us to risks that include, but are not limited to:</w:t>
      </w:r>
    </w:p>
    <w:p>
      <w:pPr>
        <w:spacing w:after="0" w:line="225"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procuring inventory resulting from modifications to or discontinuation of a manufacturer’s operations;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reasons outside of our control;</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20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Any of these events could lead to production delays, increased costs, or a compromise in the quality and performance of our products, which could materially adversely affect our business and financial results.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of a disruption in our supply chain, any efforts to develop alternative supply sources may not be successful or may take longer to take effect than anticipated.</w:t>
      </w:r>
    </w:p>
    <w:p>
      <w:pPr>
        <w:spacing w:after="0" w:line="15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have a design, manufacturing, and sales agreement with a third party that provides us with design expertise, support and assistance, and certain deliverables, prototypes, products, and services. We cannot be certain that this third party will remain in business, or that it will not be purchased by one of our competitors or another company that is not interested in continuing to produce these products for our intended purpose or supply us with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8" w:name="page49"/>
    <w:bookmarkEnd w:id="48"/>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we seek alternative sources of supply, or our manufacturers may have to make financial accommodations to other contract manufacturers or otherwise take steps to mitigate supply disruption. Any alternative manufacturers may be unable or unwilling to meet our and our customers’ specifications.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our products could be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supply chain and production process may be affected by tariffs on equipment or materials that we may rely on or use for our products, which could also cause our costs to increase.</w:t>
      </w:r>
    </w:p>
    <w:p>
      <w:pPr>
        <w:spacing w:after="0" w:line="15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cannot predict what actions, if any, may be taken with respect to tariffs or trade relations between the United States and China, what products may be subject to the imposition of tariffs by the United States, or what actions may be taken by China in retaliation. The adoption and expansion of trade restrictions, the occurrence of a trade war, or other governmental action related to tariffs, trade agreements or related policies have the potential to adversely impact our supply chain and access to equipment, and our costs. Tariffs imposed on components or equipment that we source from China will increase our costs and could have an adverse impact on our operating results and financial conditions in future periods. Our supply chain and product assembly is global in nature. While most of the goods movement, including imports and exports, required to manufacture and test our products is restricted to Asian countries, there are certain components that must enter or exit the United States. Those components are at the highest risk of being affected by the aforementioned changes, and in turn disrupting the supply chain and our product pipeline.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small number of customers, including related parties, for a significant portion of our revenue, and our accounts receivable balances are similarly concentrated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A relatively small number of customers account, and have accounted, for a significant portion of our revenue and accounts receivable balance. In the current year, during the three and nine months ended September 30, 2025, two customers, one a related party and one a third party customer, account for approximately 99% and approximately 90%, respectively, of our revenue, of which approximately 11% and approximately 20%, respectively, is from the related party. As of September 30, 2025, two customers, one a related party and one a third party customer, comprised approximately 90% of our accounts receivable balance, of which approximately 25% is from the related party. In the prior year during the three months ended September 30, 2024, one customer, a related party, accounted for approximately 97% of our revenue and during the nine months ended September 30, 2024, two customers, both related parties, accounted for approximately 98% of our revenue. As of December 31, 2024, one customer, a third party customer, accounted for approximately 98% of our accounts receivable balance. This customer concentration exposes us to a material adverse effect if any of these significant customers, for any reason, were to significantly reduce purchases, or favor competitors or new market participants. We can provide no assurance that any of these significant customers, or any of our other customers, will continue to utilize our products or services at current levels. Our customer concentration may also subject us to perceived or actual bargaining leverage that our significant customers may have, given their importance to us. If our significant customers seek to renegotiate their agreements on terms that are less favorable to us, and we accept such unfavorable terms, such unfavorable terms may have a material adverse effect on our business, results of operations and financial condition. Furthermore, industry consolidation and company failures could decrease the number of potential customers for our products and services. A decrease in the number of potential customers will increase our reliance on our current significant customers and, due to their relative importance to us, may further negatively impact our bargaining position with them, and thus our profitability. If we were to lose one or more of our significant customers, or have one or more of our significant customers cancel key programs or otherwise significantly reduce their volumes of business with us, or if one or more of our significant customer were to fail to pay us in full for the goods and services purchased from us, our sales and profitability would be materially reduced and our business and financial condition would be seriously harmed.</w:t>
      </w:r>
    </w:p>
    <w:p>
      <w:pPr>
        <w:spacing w:after="0" w:line="1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spacing w:after="0" w:line="15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July 14, 2025, we entered into a common stock purchase agreement (the “Committed Equity Facility”) with B. Riley Principal Capital, LLC (“B. Riley”), pursuant to which B. Riley has committed to purchase up to $50.0 million of our common stock, subject to certain limitations and conditions set forth in the Committed Equity Facility. The shares of our common stock that may be issued under the Committed Equity Facility may be sold by us to B. Riley at our discretion from time to time over an approximately 36-month period. During the three months ending September 30, 2025, we sold 5,673,734 shares of our common stock for net proceeds of $20.0 million pursuant to the Committed Equity Facility. Subsequent to September 30, 2025, we sold additional shares of newly-issued common stock under this agreement, and as of October 17, 2025, the most recent date of such a sale, we had sold a total of 8,410,321 shares of our common stock to B. Riley for net proceeds of $33.4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B. Riley under the Committed Equity Facility. Sales of our common stock, if any, to B. Riley under the Committed Equity Facility depend upon market conditions and other factors to be determined by us. We may ultimately decide to sell to B. Riley all or only a portion of the shares of our common stock that may be available for us to sell to B. Riley pursuant to the Committed Equity Facility. Depending on market liquidity at the time, resales of those shares by B. Riley may cause the public trading price of our common stock to decrease.</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Because the purchase price per share to be paid by B. Riley for the shares of common stock that we may elect to sell to B. Riley under the Committed Equity Facility will fluctuate based on the market prices of our common stock during the applicable purchase valuation period for each purchase made pursuant to the Committed Equity Facility, it is not possible for us to predict, as of the date of this filing and prior to any such sales, the number of shares of common stock that we will ultimately sell to B. Riley under the Committed Equity Facility, the purchase price per share that B. Riley will pay for shares purchased from us under the Committed Equity Facility, or the aggregate gross proceeds that we will receive from those purchases by B. Riley under the Committed Equity Facility.</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Moreover, although the Committed Equity Facility provides that we may, in our discretion, from time to time during the term of the Committed Equity Facility direct B. Riley to purchase shares of our common stock from us, for a maximum aggregate purchase price of up to $50.0 million, only 20,326,159 shares of common stock of which 83,353 represent the commitment shares we issued to B. Riley upon our execution of the Committed Equity Facility on July 14, 2025 were registered for resale under a registration statement on Form S-1. Accordingly, only 20,242,806 of such shares represent shares that we may elect, in our sole discretion, to issue and sell to B. Riley, from time to time under the Committed Equity Facility. As of September 30, 2025, there were 14,569,072 registered shares available for purchase under the Committed Equity Facility. Assuming all of the registered shares available and offered for resale by B. Riley were sold by us to B. Riley for $3.45 per share of common stock (which represents the official closing share price of our common stock on Nasdaq on September 30, 2025), less a 3.0% discount (the same fixed percentage discount that will be used to calculate the applicable per share purchase price for shares of common stock that we may elect to sell to B. Riley under the Committed Equity Facility), we would only receive aggregate gross proceeds of $29.3 million. Therefore, because the market price of our common stock fluctuates, the actual purchase prices to be paid by B. Riley for shares of our common stock that we direct it to purchase under the Committed Equity Facility also fluctuate because they will be based on the current market price of our common stock at the time of each purchase. In order to receive aggregate gross proceeds equal to B. Riley’s $50.0 million total aggregate purchase commitment under the Committed Equity Facility, we would have to register additional shares of common stock.</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addition, under the applicable Nasdaq rules, we may not issue to B. Riley more than 20,326,158 shares of common stock without stockholder approval, which number of shares is equal to 19.99% of the shares of the common stock outstanding immediately prior to the execution of the Committed Equity Facility. As a result, if it becomes necessary for us to issue and sell to B. Riley an aggregate number of shares that would exceed that limit (excluding certain issuances), then before we could issue any shares of common stock in excess of the share issuance limit under the Committed Equity Facility, we would also need to obtain the requisite stockholder approval.</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Any issuance and sale by us under the Committed Equity Facility of a substantial amount of shares of common stock could cause additional substantial dilution to our stockholders, which may not be in your best interest as a stockholder.</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Our inability to access a portion or the full amount available under the Committed Equity Facility, in the absence of any other financing sources,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attract and retain talent, specifically in senior management and skilled technical, engineering, project management, and other key roles. Macroeconomic conditions, specifically labor shortages, increased competition for employees, and wage inflation could have a material impact on our ability to attract and retain talent, our turnover rate, and the cost of operating our business. If we are unable to attract and retain sufficient talent, minimize employee turnover, or manage wage inflation, it could have a material adverse effect on our business, financial condition, results of operations, or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macroeconomic conditions could materially adversely affect our business, financial condition, results of operations, and prospects.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Macroeconomic conditions, such as persistent high inflation, changes to monetary policy, high interest rates, volatile currency exchange rates, credit and debt concerns, decreasing consumer confidence and spending, concerns about the stability and liquidity of certain financial institutions, the introduction of or changes in tariffs or trade barriers, pandemics and other health crises, and global recessions can adversely impact demand for our products, which could negatively impact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and Use of Proceeds.</w:t>
      </w:r>
    </w:p>
    <w:p>
      <w:pPr>
        <w:spacing w:after="0" w:line="225"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Sales of Unregistered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July 15, 2025, the Company issued an aggregate of 769,231 shares of common stock to Cantor Fitzgerald &amp; Co. (“Cantor”) in a private placement under the Securities Act in connection with that certain Engagement Letter, dated April 11, 2025, by and between the Company and Cantor.</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settled 5,673,734 newly-issued shares of our common stock for total net proceeds of $20.0 million, sold to B. Riley Principal Capital II, LLC under the Common Stock Purchase Agreement (the “Committed Equity Facility”), dated July 14, 2025.</w:t>
      </w:r>
    </w:p>
    <w:p>
      <w:pPr>
        <w:spacing w:after="0" w:line="172" w:lineRule="exact"/>
        <w:rPr>
          <w:sz w:val="20"/>
          <w:szCs w:val="20"/>
          <w:color w:val="auto"/>
        </w:rPr>
      </w:pPr>
    </w:p>
    <w:p>
      <w:pPr>
        <w:ind w:left="460" w:right="9580" w:hanging="452"/>
        <w:spacing w:after="0" w:line="500" w:lineRule="auto"/>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460" w:right="7740" w:hanging="452"/>
        <w:spacing w:after="0" w:line="500" w:lineRule="auto"/>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Repurchases of Equity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adopted or terminated a trading arrangement for the purchase of Company securities for the three months ended September 30, 2025 that is either (i) a contract, instruction, or written plan intended to satisfy the affirmative defense conditions of Rule 10b5-1(c), or a “Rule 10b5-1 trading arrangement” or (ii) a “non-Rule 10b5-1 trading arrangement” (as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Polaris Private Placement</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November 10, 2025, Blaize Holdings, Inc. (the “Company”) entered into a securities purchase agreement (the “Purchase Agreement”) with affiliates of Polar Asset Management Partners Inc. (“Polar” or the “Purchaser”), for the private placement (the “Polar Private Placement”) of (i) 9,375,000 shares (the “Shares”) of the Company’s common stock (the “Common Stock”), at a purchase price of $3.20 per Share and (ii) 9,375,000 warrants to purchase additional shares of Common Stock (the “Warrants”). The Warrants have a term of five years and an exercise price of $5.00 per share. The aggregate gross proceeds for the Polar Private Placement are $30.0 million, before deducting offering expenses. The Company intends to use the net proceeds from the financing for general corporate and working capital purposes.</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the Company agreed that until the date that is 60 days from the effective date (the “Effective Date”) of the registration statement (the “Registration Statement”) filed by the Company with the Securities and Exchange Commission (the “SEC”) for purposes of registering the resale of the Shares, neither the Company nor any subsidiary will issue, enter into any agreement to issue or announce the issuance of Common Stock or any securities convertible into or exercisable or exchangeable for Common Stock, or file a registration statement other than the Registration Statement, subject to certain exceptions, including the Company’s existing committed equity financing facility. The Company has further agreed not to enter into an agreement involving a Variable Rate Transaction (as defined in the Purchase Agreement) until 180 days from the Effective Date, subject to exceptions. In addition, pursuant to lock-up agreements, the Company’s executive officers and directors agreed that until the date that they will not sell or transfer any Common Stock or any securities convertible into or exercisable or exchangeable for Common Stock, subject to certain exceptions, for a time period defined in those certain lock-up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indemnification obligations of the Company and the Purchaser, including for liabilities under the Securities Act of 1933, as amended (the “Securities Act”), and other obligations of the parties. The representations, warranties and covenants contained in the Purchase Agreement were made only for purposes of such Purchase Agreement and are made as of specific dates; are solely for the benefit of the parties (except as specifically set forth therein); may be subject to qualifications and limitations agreed upon by the parties in connection with negotiating the terms of the Purchase Agreement, instead of establishing matters as facts; and may be subject to standards of materiality and knowledge applicable to the contracting parties that differ from those applicable to the investors generally. Investors should not rely on the representations, warranties and covenants or any description thereof as characterizations of the actual state of facts or condition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Warrants</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Warrants have an exercise price of $5.00 per share of Common Stock and will be exercisable commencing on the Initial Exercise Date and will expire on the fifth anniversary of the issuance dates of the Warrants.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If at any time after six month anniversary of the grant date, a registration statement registering the issuance of the Common Warrant Shares under the Securities Act is not effective or available, the holder may, in its sole discretion, elect to exercise the Warrants through a cashless exercise, in which case the holder would receive upon such exercise the net number of shares of Common Stock determined according to the formula set forth in the Warrants.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exercise price of the Warrants, and the number of Warrant Shares, will be subject to adjustment in the event of any stock dividend or split, reverse stock split, recapitalization, reorganization or similar transaction, as described in the Warrants.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holder will not have the right to exercise any portion of the Warrants if the holder (together with its affiliates) would beneficially own in excess of 4.99% of the number of shares of Common Stock outstanding immediately after giving effect to the exercise, as such percentage ownership is determined in accordance with the terms of the warrants. However, any holder may increase or decrease such percentage up to 9.99%.</w:t>
      </w:r>
    </w:p>
    <w:p>
      <w:pPr>
        <w:spacing w:after="0" w:line="176"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In the event of a Fundamental Transaction (as such term is defined in the Warrants), the successor entity will succeed to, and be substituted for the Company, and may exercise every right and power that the Company may exercise and will assume all of its obligations under the Warrants with the same effect as if the successor entity had been named in the warrant itself. If holders of Common Stock are given a choice as to the securities, cash or property to be received in a Fundamental Transaction, then the holder will be given the same choice as to the consideration it receives upon any exercise of the Warrants following the Fundamental Transaction. In addition, the successor entity, at the request of holders of Warrants, will be obligated to purchase any unexercised portion of the Warrants in accordance with their terms. Notwithstanding the foregoing, in the event of a Fundamental Transaction, the holders of the Warrants have the right to require the Company or a successor entity to redeem the Warrants for cash in the amount of the Black Scholes Value (as defined in the Warrants) of the unexercised portion of the Warrants concurrently with or within thirty (30) days following the consummation of a Fundamental Transaction. However, in the event of a Fundamental Transaction that is not in the Company’s control, including a Fundamental Transaction not approved by the Company’s board of directors, the holders of the Warrants will only be entitled to receive from the Company or its successor entity the same type or form of consideration (and in the same proportion), at the Black Scholes Value of the unexercised portion of the Warrant that is being offered and paid to the holders of Common Stock in connection with the Fundamental Transaction, whether that consideration is in the form of cash, stock or any combination of cash and stock, or whether the holders of Common Stock are given the choice to receive alternative forms of consideration in connection with the Fundamental Transaction.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In addition, on November 10, 2025, the Company and the Purchaser entered into a registration rights agreement (the “Registration Rights Agreement”), pursuant to which the Company agreed to file a Registration Statement with the SEC on or before November 30, 2025 for purposes of registering the resale of the Shares and Warrant Shares, to use its reasonable best efforts to have such Registration Statement declared effective no later than 30 days after filing (or 60 days after filing in the event of SEC review), and to keep the Registration Statement effective until the date that all registrable securities covered by the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Polar Private Placement is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The Purchaser represented that it was an accredited investor within the meaning of Rule 501(a) of Regulation D and were acquiring the Shares as principal for their own accounts and not with a view to or for distributing or reselling the Shares. The shares of the Company’s common stock were offered without any general solicitation by the Company or its representatives. The shares of the Company’s common stock sold and issued in the Polar Private Placement will not be registered under the Securities Act or any state securities laws and may not be offered or sold in the United States absent registration with the SEC or an applicable exemption from the registration requirements.</w:t>
      </w:r>
    </w:p>
    <w:p>
      <w:pPr>
        <w:spacing w:after="0" w:line="18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Warrant and the Registration Rights Agreement do not purport to be complete and are qualified in their entirety by reference to the Purchase Agreement, form of Warrant and the Registration Rights Agreement filed as Exhibits 10.4, 10.5 and 10.6, respectively, to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12"/>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3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14"/>
                <w:szCs w:val="14"/>
                <w:color w:val="auto"/>
              </w:rPr>
            </w:pPr>
          </w:p>
        </w:tc>
        <w:tc>
          <w:tcPr>
            <w:tcW w:w="590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402">
              <w:r>
                <w:rPr>
                  <w:rFonts w:ascii="Times New Roman" w:cs="Times New Roman" w:eastAsia="Times New Roman" w:hAnsi="Times New Roman"/>
                  <w:sz w:val="18"/>
                  <w:szCs w:val="18"/>
                  <w:color w:val="0000FF"/>
                  <w:w w:val="99"/>
                </w:rPr>
                <w:t>Third Amended and Restated Certificate of Incorporation of Blaize Holdings, Inc.</w:t>
              </w:r>
            </w:hyperlink>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1"/>
                <w:szCs w:val="21"/>
                <w:color w:val="auto"/>
              </w:rPr>
            </w:pPr>
          </w:p>
        </w:tc>
        <w:tc>
          <w:tcPr>
            <w:tcW w:w="40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403">
              <w:r>
                <w:rPr>
                  <w:rFonts w:ascii="Times New Roman" w:cs="Times New Roman" w:eastAsia="Times New Roman" w:hAnsi="Times New Roman"/>
                  <w:sz w:val="18"/>
                  <w:szCs w:val="18"/>
                  <w:color w:val="0000FF"/>
                  <w:w w:val="99"/>
                </w:rPr>
                <w:t>Amended and Restated Bylaws of Blaize Holdings, Inc.</w:t>
              </w:r>
            </w:hyperlink>
          </w:p>
        </w:tc>
        <w:tc>
          <w:tcPr>
            <w:tcW w:w="540" w:type="dxa"/>
            <w:vAlign w:val="bottom"/>
          </w:tcPr>
          <w:p>
            <w:pPr>
              <w:spacing w:after="0"/>
              <w:rPr>
                <w:sz w:val="21"/>
                <w:szCs w:val="21"/>
                <w:color w:val="auto"/>
              </w:rPr>
            </w:pPr>
          </w:p>
        </w:tc>
        <w:tc>
          <w:tcPr>
            <w:tcW w:w="232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Blaize Holdings, Inc. Form of Stock Option Agreement under the Blaize Holdings, Inc. 2025 Incentive</w:t>
              </w:r>
            </w:hyperlink>
          </w:p>
        </w:tc>
        <w:tc>
          <w:tcPr>
            <w:tcW w:w="4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860" w:type="dxa"/>
            <w:vAlign w:val="bottom"/>
            <w:gridSpan w:val="17"/>
            <w:vMerge w:val="restart"/>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Award Plan</w:t>
              </w:r>
            </w:hyperlink>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6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21"/>
                <w:szCs w:val="21"/>
                <w:color w:val="auto"/>
              </w:rPr>
            </w:pPr>
          </w:p>
        </w:tc>
        <w:tc>
          <w:tcPr>
            <w:tcW w:w="77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Common Stock Purchase Agreement, dated as of July 14, 2025, by and between the Company and B. Riley</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7860" w:type="dxa"/>
            <w:vAlign w:val="bottom"/>
            <w:gridSpan w:val="17"/>
            <w:vMerge w:val="restart"/>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Principal Capital II, LLC.</w:t>
              </w:r>
            </w:hyperlink>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6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21"/>
                <w:szCs w:val="21"/>
                <w:color w:val="auto"/>
              </w:rPr>
            </w:pPr>
          </w:p>
        </w:tc>
        <w:tc>
          <w:tcPr>
            <w:tcW w:w="73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Registration Rights Agreement, dated as of July 14, 2025, by and between the Company and B. Riley</w:t>
              </w:r>
            </w:hyperlink>
          </w:p>
        </w:tc>
        <w:tc>
          <w:tcPr>
            <w:tcW w:w="5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7860" w:type="dxa"/>
            <w:vAlign w:val="bottom"/>
            <w:gridSpan w:val="17"/>
            <w:vMerge w:val="restart"/>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Principal Capital II, LLC.</w:t>
              </w:r>
            </w:hyperlink>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6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Securities Purchase Agreement, dated as of November 10, 2025, by and among the Company, Polar</w:t>
              </w:r>
            </w:hyperlink>
          </w:p>
        </w:tc>
        <w:tc>
          <w:tcPr>
            <w:tcW w:w="22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60" w:type="dxa"/>
            <w:vAlign w:val="bottom"/>
            <w:gridSpan w:val="17"/>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Long/Short Master Fund and Polar Multi-Strategy Master Fund</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8"/>
              </w:rPr>
            </w:pPr>
            <w:hyperlink r:id="rId408">
              <w:r>
                <w:rPr>
                  <w:rFonts w:ascii="Times New Roman" w:cs="Times New Roman" w:eastAsia="Times New Roman" w:hAnsi="Times New Roman"/>
                  <w:sz w:val="18"/>
                  <w:szCs w:val="18"/>
                  <w:color w:val="0000FF"/>
                  <w:w w:val="98"/>
                </w:rPr>
                <w:t>Form of Warrant</w:t>
              </w:r>
            </w:hyperlink>
          </w:p>
        </w:tc>
        <w:tc>
          <w:tcPr>
            <w:tcW w:w="2240" w:type="dxa"/>
            <w:vAlign w:val="bottom"/>
            <w:tcBorders>
              <w:top w:val="single" w:sz="8" w:color="0000FF"/>
              <w:bottom w:val="single" w:sz="8" w:color="0000FF"/>
            </w:tcBorders>
            <w:gridSpan w:val="2"/>
          </w:tcPr>
          <w:p>
            <w:pPr>
              <w:spacing w:after="0"/>
              <w:rPr>
                <w:sz w:val="21"/>
                <w:szCs w:val="21"/>
                <w:color w:val="auto"/>
              </w:rPr>
            </w:pPr>
          </w:p>
        </w:tc>
        <w:tc>
          <w:tcPr>
            <w:tcW w:w="20" w:type="dxa"/>
            <w:vAlign w:val="bottom"/>
            <w:tcBorders>
              <w:top w:val="single" w:sz="8" w:color="0000FF"/>
              <w:bottom w:val="single" w:sz="8" w:color="0000FF"/>
            </w:tcBorders>
          </w:tcPr>
          <w:p>
            <w:pPr>
              <w:spacing w:after="0"/>
              <w:rPr>
                <w:sz w:val="21"/>
                <w:szCs w:val="21"/>
                <w:color w:val="auto"/>
              </w:rPr>
            </w:pPr>
          </w:p>
        </w:tc>
        <w:tc>
          <w:tcPr>
            <w:tcW w:w="1080" w:type="dxa"/>
            <w:vAlign w:val="bottom"/>
            <w:tcBorders>
              <w:top w:val="single" w:sz="8" w:color="0000FF"/>
              <w:bottom w:val="single" w:sz="8" w:color="0000FF"/>
            </w:tcBorders>
            <w:gridSpan w:val="2"/>
          </w:tcPr>
          <w:p>
            <w:pPr>
              <w:spacing w:after="0"/>
              <w:rPr>
                <w:sz w:val="21"/>
                <w:szCs w:val="21"/>
                <w:color w:val="auto"/>
              </w:rPr>
            </w:pPr>
          </w:p>
        </w:tc>
        <w:tc>
          <w:tcPr>
            <w:tcW w:w="232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Registration Rights Agreement, dated as of November 10, 2025, by and among the Company, Polar</w:t>
              </w:r>
            </w:hyperlink>
          </w:p>
        </w:tc>
        <w:tc>
          <w:tcPr>
            <w:tcW w:w="6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860" w:type="dxa"/>
            <w:vAlign w:val="bottom"/>
            <w:gridSpan w:val="17"/>
            <w:vMerge w:val="restart"/>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Long/Short Master Fund and Polar Multi-Strategy Master Fund</w:t>
              </w:r>
            </w:hyperlink>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6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Certification of Principal Executive Officer Pursuant to Rules 13a-14(a) and 15d-14(a) under the Securities</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880" w:type="dxa"/>
            <w:vAlign w:val="bottom"/>
            <w:gridSpan w:val="9"/>
            <w:vMerge w:val="restart"/>
          </w:tcPr>
          <w:p>
            <w:pPr>
              <w:spacing w:after="0" w:line="196" w:lineRule="exact"/>
              <w:rPr>
                <w:rFonts w:ascii="Times New Roman" w:cs="Times New Roman" w:eastAsia="Times New Roman" w:hAnsi="Times New Roman"/>
                <w:sz w:val="18"/>
                <w:szCs w:val="18"/>
                <w:color w:val="0000FF"/>
                <w:w w:val="99"/>
              </w:rPr>
            </w:pPr>
            <w:hyperlink r:id="rId410">
              <w:r>
                <w:rPr>
                  <w:rFonts w:ascii="Times New Roman" w:cs="Times New Roman" w:eastAsia="Times New Roman" w:hAnsi="Times New Roman"/>
                  <w:sz w:val="18"/>
                  <w:szCs w:val="18"/>
                  <w:color w:val="0000FF"/>
                  <w:w w:val="99"/>
                </w:rPr>
                <w:t>Exchange Act of 1934, as Adopted Pursuant to Section 302 of the Sarbanes-Oxley Act of 2002.</w:t>
              </w:r>
            </w:hyperlink>
          </w:p>
        </w:tc>
        <w:tc>
          <w:tcPr>
            <w:tcW w:w="98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80" w:type="dxa"/>
            <w:vAlign w:val="bottom"/>
            <w:tcBorders>
              <w:bottom w:val="single" w:sz="8" w:color="0000FF"/>
            </w:tcBorders>
            <w:gridSpan w:val="9"/>
            <w:vMerge w:val="continue"/>
          </w:tcPr>
          <w:p>
            <w:pPr>
              <w:spacing w:after="0"/>
              <w:rPr>
                <w:sz w:val="3"/>
                <w:szCs w:val="3"/>
                <w:color w:val="auto"/>
              </w:rPr>
            </w:pPr>
          </w:p>
        </w:tc>
        <w:tc>
          <w:tcPr>
            <w:tcW w:w="98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7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Certification of Principal Financial Officer Pursuant to Rules 13a-14(a) and 15d-14(a) under the Securities</w:t>
              </w:r>
            </w:hyperlink>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880" w:type="dxa"/>
            <w:vAlign w:val="bottom"/>
            <w:gridSpan w:val="9"/>
            <w:vMerge w:val="restart"/>
          </w:tcPr>
          <w:p>
            <w:pPr>
              <w:spacing w:after="0" w:line="196" w:lineRule="exact"/>
              <w:rPr>
                <w:rFonts w:ascii="Times New Roman" w:cs="Times New Roman" w:eastAsia="Times New Roman" w:hAnsi="Times New Roman"/>
                <w:sz w:val="18"/>
                <w:szCs w:val="18"/>
                <w:color w:val="0000FF"/>
                <w:w w:val="99"/>
              </w:rPr>
            </w:pPr>
            <w:hyperlink r:id="rId411">
              <w:r>
                <w:rPr>
                  <w:rFonts w:ascii="Times New Roman" w:cs="Times New Roman" w:eastAsia="Times New Roman" w:hAnsi="Times New Roman"/>
                  <w:sz w:val="18"/>
                  <w:szCs w:val="18"/>
                  <w:color w:val="0000FF"/>
                  <w:w w:val="99"/>
                </w:rPr>
                <w:t>Exchange Act of 1934, as Adopted Pursuant to Section 302 of the Sarbanes-Oxley Act of 2002.</w:t>
              </w:r>
            </w:hyperlink>
          </w:p>
        </w:tc>
        <w:tc>
          <w:tcPr>
            <w:tcW w:w="98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80" w:type="dxa"/>
            <w:vAlign w:val="bottom"/>
            <w:tcBorders>
              <w:bottom w:val="single" w:sz="8" w:color="0000FF"/>
            </w:tcBorders>
            <w:gridSpan w:val="9"/>
            <w:vMerge w:val="continue"/>
          </w:tcPr>
          <w:p>
            <w:pPr>
              <w:spacing w:after="0"/>
              <w:rPr>
                <w:sz w:val="3"/>
                <w:szCs w:val="3"/>
                <w:color w:val="auto"/>
              </w:rPr>
            </w:pPr>
          </w:p>
        </w:tc>
        <w:tc>
          <w:tcPr>
            <w:tcW w:w="98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5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Certification of Principal Executive Officer Pursuant to 18 U.S.C. Section 1350, as Adopted Pursuant to</w:t>
              </w:r>
            </w:hyperlink>
          </w:p>
        </w:tc>
        <w:tc>
          <w:tcPr>
            <w:tcW w:w="3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80" w:type="dxa"/>
            <w:vAlign w:val="bottom"/>
            <w:gridSpan w:val="5"/>
            <w:vMerge w:val="restart"/>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Section 906 of the Sarbanes-Oxley Act of 2002.</w:t>
              </w:r>
            </w:hyperlink>
          </w:p>
        </w:tc>
        <w:tc>
          <w:tcPr>
            <w:tcW w:w="4380" w:type="dxa"/>
            <w:vAlign w:val="bottom"/>
            <w:gridSpan w:val="1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80" w:type="dxa"/>
            <w:vAlign w:val="bottom"/>
            <w:tcBorders>
              <w:bottom w:val="single" w:sz="8" w:color="0000FF"/>
            </w:tcBorders>
            <w:gridSpan w:val="5"/>
            <w:vMerge w:val="continue"/>
          </w:tcPr>
          <w:p>
            <w:pPr>
              <w:spacing w:after="0"/>
              <w:rPr>
                <w:sz w:val="3"/>
                <w:szCs w:val="3"/>
                <w:color w:val="auto"/>
              </w:rPr>
            </w:pPr>
          </w:p>
        </w:tc>
        <w:tc>
          <w:tcPr>
            <w:tcW w:w="438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Certification of Principal Financial Officer Pursuant to 18 U.S.C. Section 1350, as Adopted Pursuant to</w:t>
              </w:r>
            </w:hyperlink>
          </w:p>
        </w:tc>
        <w:tc>
          <w:tcPr>
            <w:tcW w:w="3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60" w:type="dxa"/>
            <w:vAlign w:val="bottom"/>
            <w:gridSpan w:val="4"/>
            <w:vMerge w:val="restart"/>
          </w:tcPr>
          <w:p>
            <w:pPr>
              <w:spacing w:after="0" w:line="196" w:lineRule="exact"/>
              <w:rPr>
                <w:rFonts w:ascii="Times New Roman" w:cs="Times New Roman" w:eastAsia="Times New Roman" w:hAnsi="Times New Roman"/>
                <w:sz w:val="18"/>
                <w:szCs w:val="18"/>
                <w:color w:val="0000FF"/>
                <w:w w:val="99"/>
              </w:rPr>
            </w:pPr>
            <w:hyperlink r:id="rId413">
              <w:r>
                <w:rPr>
                  <w:rFonts w:ascii="Times New Roman" w:cs="Times New Roman" w:eastAsia="Times New Roman" w:hAnsi="Times New Roman"/>
                  <w:sz w:val="18"/>
                  <w:szCs w:val="18"/>
                  <w:color w:val="0000FF"/>
                  <w:w w:val="99"/>
                </w:rPr>
                <w:t>Section 906 of the Sarbanes-Oxley Act of 2002.</w:t>
              </w:r>
            </w:hyperlink>
          </w:p>
        </w:tc>
        <w:tc>
          <w:tcPr>
            <w:tcW w:w="4400" w:type="dxa"/>
            <w:vAlign w:val="bottom"/>
            <w:gridSpan w:val="1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60" w:type="dxa"/>
            <w:vAlign w:val="bottom"/>
            <w:tcBorders>
              <w:bottom w:val="single" w:sz="8" w:color="0000FF"/>
            </w:tcBorders>
            <w:gridSpan w:val="4"/>
            <w:vMerge w:val="continue"/>
          </w:tcPr>
          <w:p>
            <w:pPr>
              <w:spacing w:after="0"/>
              <w:rPr>
                <w:sz w:val="3"/>
                <w:szCs w:val="3"/>
                <w:color w:val="auto"/>
              </w:rPr>
            </w:pPr>
          </w:p>
        </w:tc>
        <w:tc>
          <w:tcPr>
            <w:tcW w:w="440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78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153"/>
        </w:trPr>
        <w:tc>
          <w:tcPr>
            <w:tcW w:w="920" w:type="dxa"/>
            <w:vAlign w:val="bottom"/>
            <w:gridSpan w:val="2"/>
            <w:vMerge w:val="continue"/>
          </w:tcPr>
          <w:p>
            <w:pPr>
              <w:spacing w:after="0"/>
              <w:rPr>
                <w:sz w:val="13"/>
                <w:szCs w:val="13"/>
                <w:color w:val="auto"/>
              </w:rPr>
            </w:pPr>
          </w:p>
        </w:tc>
        <w:tc>
          <w:tcPr>
            <w:tcW w:w="78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 XBRL document.</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6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8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-3411220</wp:posOffset>
            </wp:positionV>
            <wp:extent cx="7132320" cy="3086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3086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714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3086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3086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3086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-3765550</wp:posOffset>
            </wp:positionV>
            <wp:extent cx="7132320" cy="1828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7132320" cy="182880"/>
                    </a:xfrm>
                    <a:prstGeom prst="rect">
                      <a:avLst/>
                    </a:prstGeom>
                    <a:noFill/>
                  </pic:spPr>
                </pic:pic>
              </a:graphicData>
            </a:graphic>
          </wp:anchor>
        </w:drawing>
      </w:r>
    </w:p>
    <w:p>
      <w:pPr>
        <w:spacing w:after="0" w:line="16" w:lineRule="exact"/>
        <w:rPr>
          <w:sz w:val="20"/>
          <w:szCs w:val="20"/>
          <w:color w:val="auto"/>
        </w:rPr>
      </w:pPr>
    </w:p>
    <w:p>
      <w:pPr>
        <w:ind w:right="2100" w:firstLine="8"/>
        <w:spacing w:after="0" w:line="485" w:lineRule="auto"/>
        <w:tabs>
          <w:tab w:leader="none" w:pos="9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132320" cy="1714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7620</wp:posOffset>
            </wp:positionV>
            <wp:extent cx="15341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ind w:right="80" w:hanging="123"/>
        <w:spacing w:after="0"/>
        <w:rPr>
          <w:sz w:val="20"/>
          <w:szCs w:val="20"/>
          <w:color w:val="auto"/>
        </w:rPr>
      </w:pPr>
      <w:r>
        <w:rPr>
          <w:rFonts w:ascii="Times New Roman" w:cs="Times New Roman" w:eastAsia="Times New Roman" w:hAnsi="Times New Roman"/>
          <w:sz w:val="28"/>
          <w:szCs w:val="28"/>
          <w:b w:val="1"/>
          <w:bCs w:val="1"/>
          <w:color w:val="auto"/>
          <w:vertAlign w:val="superscript"/>
        </w:rPr>
        <w:t>Schedule/</w:t>
      </w:r>
      <w:r>
        <w:rPr>
          <w:rFonts w:ascii="Times New Roman" w:cs="Times New Roman" w:eastAsia="Times New Roman" w:hAnsi="Times New Roman"/>
          <w:sz w:val="14"/>
          <w:szCs w:val="14"/>
          <w:b w:val="1"/>
          <w:bCs w:val="1"/>
          <w:color w:val="auto"/>
        </w:rPr>
        <w:t xml:space="preserve"> Exhibit Ref.</w:t>
      </w:r>
      <w:r>
        <w:rPr>
          <w:sz w:val="20"/>
          <w:szCs w:val="20"/>
          <w:color w:val="auto"/>
        </w:rPr>
        <w:t xml:space="preserve"> </w:t>
      </w:r>
      <w:r>
        <w:rPr>
          <w:rFonts w:ascii="Times New Roman" w:cs="Times New Roman" w:eastAsia="Times New Roman" w:hAnsi="Times New Roman"/>
          <w:sz w:val="14"/>
          <w:szCs w:val="14"/>
          <w:b w:val="1"/>
          <w:bCs w:val="1"/>
          <w:color w:val="auto"/>
        </w:rPr>
        <w:t>Filing Date Form</w:t>
      </w: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1/17/2025</w:t>
            </w:r>
          </w:p>
        </w:tc>
      </w:tr>
      <w:tr>
        <w:trPr>
          <w:trHeight w:val="25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1/17/2025</w:t>
            </w:r>
          </w:p>
        </w:tc>
      </w:tr>
      <w:tr>
        <w:trPr>
          <w:trHeight w:val="37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9/2/2025</w:t>
            </w:r>
          </w:p>
        </w:tc>
      </w:tr>
      <w:tr>
        <w:trPr>
          <w:trHeight w:val="48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7/15/2025</w:t>
            </w:r>
          </w:p>
        </w:tc>
      </w:tr>
      <w:tr>
        <w:trPr>
          <w:trHeight w:val="48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7/15/2025</w:t>
            </w:r>
          </w:p>
        </w:tc>
      </w:tr>
    </w:tbl>
    <w:p>
      <w:pPr>
        <w:spacing w:after="0" w:line="4923" w:lineRule="exact"/>
        <w:rPr>
          <w:sz w:val="20"/>
          <w:szCs w:val="20"/>
          <w:color w:val="auto"/>
        </w:rPr>
      </w:pPr>
    </w:p>
    <w:p>
      <w:pPr>
        <w:sectPr>
          <w:pgSz w:w="11900" w:h="16838" w:orient="portrait"/>
          <w:cols w:equalWidth="0" w:num="2">
            <w:col w:w="8780" w:space="220"/>
            <w:col w:w="2240"/>
          </w:cols>
          <w:pgMar w:left="320" w:top="981" w:right="339" w:bottom="1440" w:gutter="0" w:footer="0" w:header="0"/>
          <w:type w:val="continuous"/>
        </w:sectPr>
      </w:pPr>
    </w:p>
    <w:p>
      <w:pPr>
        <w:jc w:val="both"/>
        <w:ind w:firstLine="8"/>
        <w:spacing w:after="0" w:line="266"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spacing w:after="0" w:line="1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6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54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3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16"/>
        </w:trPr>
        <w:tc>
          <w:tcPr>
            <w:tcW w:w="3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Harminder Sehmi</w:t>
            </w:r>
          </w:p>
        </w:tc>
      </w:tr>
      <w:tr>
        <w:trPr>
          <w:trHeight w:val="191"/>
        </w:trPr>
        <w:tc>
          <w:tcPr>
            <w:tcW w:w="3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16"/>
        </w:trPr>
        <w:tc>
          <w:tcPr>
            <w:tcW w:w="3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11"/>
        </w:trPr>
        <w:tc>
          <w:tcPr>
            <w:tcW w:w="3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lowerRoman"/>
      <w:start w:val="2"/>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decimal"/>
      <w:start w:val="104"/>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02" Type="http://schemas.openxmlformats.org/officeDocument/2006/relationships/hyperlink" Target="https://www.sec.gov/Archives/edgar/data/1871638/000119312525008517/d903961dex31.htm" TargetMode="External"/><Relationship Id="rId403" Type="http://schemas.openxmlformats.org/officeDocument/2006/relationships/hyperlink" Target="https://www.sec.gov/Archives/edgar/data/1871638/000119312525008517/d903961dex32.htm" TargetMode="External"/><Relationship Id="rId404" Type="http://schemas.openxmlformats.org/officeDocument/2006/relationships/hyperlink" Target="https://www.sec.gov/Archives/edgar/data/1871638/000119312525194046/d99229dex101.htm" TargetMode="External"/><Relationship Id="rId405" Type="http://schemas.openxmlformats.org/officeDocument/2006/relationships/hyperlink" Target="https://www.sec.gov/Archives/edgar/data/1871638/000119312525158997/d13627dex101.htm" TargetMode="External"/><Relationship Id="rId406" Type="http://schemas.openxmlformats.org/officeDocument/2006/relationships/hyperlink" Target="https://www.sec.gov/Archives/edgar/data/1871638/000119312525158997/d13627dex102.htm" TargetMode="External"/><Relationship Id="rId407" Type="http://schemas.openxmlformats.org/officeDocument/2006/relationships/hyperlink" Target="https://www.sec.gov/Archives/edgar/data/1871638/000119312525280252/bzai-ex10_4.htm" TargetMode="External"/><Relationship Id="rId408" Type="http://schemas.openxmlformats.org/officeDocument/2006/relationships/hyperlink" Target="https://www.sec.gov/Archives/edgar/data/1871638/000119312525280252/bzai-ex10_5.htm" TargetMode="External"/><Relationship Id="rId409" Type="http://schemas.openxmlformats.org/officeDocument/2006/relationships/hyperlink" Target="https://www.sec.gov/Archives/edgar/data/1871638/000119312525280252/bzai-ex10_6.htm" TargetMode="External"/><Relationship Id="rId410" Type="http://schemas.openxmlformats.org/officeDocument/2006/relationships/hyperlink" Target="https://www.sec.gov/Archives/edgar/data/1871638/000119312525280252/bzai-ex31_1.htm" TargetMode="External"/><Relationship Id="rId411" Type="http://schemas.openxmlformats.org/officeDocument/2006/relationships/hyperlink" Target="https://www.sec.gov/Archives/edgar/data/1871638/000119312525280252/bzai-ex31_2.htm" TargetMode="External"/><Relationship Id="rId412" Type="http://schemas.openxmlformats.org/officeDocument/2006/relationships/hyperlink" Target="https://www.sec.gov/Archives/edgar/data/1871638/000119312525280252/bzai-ex32_1.htm" TargetMode="External"/><Relationship Id="rId413" Type="http://schemas.openxmlformats.org/officeDocument/2006/relationships/hyperlink" Target="https://www.sec.gov/Archives/edgar/data/1871638/000119312525280252/bzai-ex32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2025-11-13T16:08:27Z</dcterms:created>
  <dcterms:modified xsi:type="dcterms:W3CDTF">2025-11-13T16:08:27Z</dcterms:modified>
</cp:coreProperties>
</file>