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rPr/>
      </w:pPr>
      <w:r>
        <w:rPr>
          <w:rFonts w:ascii="Times New Roman;serif" w:hAnsi="Times New Roman;serif"/>
          <w:b/>
          <w:color w:val="000000"/>
          <w:sz w:val="22"/>
        </w:rPr>
        <w:t>Date of Report (Date of earliest event reported):</w:t>
      </w:r>
      <w:r>
        <w:rPr>
          <w:color w:val="EE2724"/>
        </w:rPr>
        <w:t xml:space="preserve"> </w:t>
      </w:r>
      <w:r>
        <w:rPr>
          <w:rFonts w:ascii="Times New Roman;serif" w:hAnsi="Times New Roman;serif"/>
          <w:b/>
          <w:color w:val="000000"/>
          <w:sz w:val="22"/>
        </w:rPr>
        <w:t>October 16,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00" w:after="283"/>
              <w:jc w:val="left"/>
              <w:rPr/>
            </w:pPr>
            <w:r>
              <w:rPr/>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Blaize Holdings, Inc.</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0" w:after="283"/>
              <w:jc w:val="left"/>
              <w:rPr/>
            </w:pPr>
            <w:r>
              <w:rPr/>
            </w:r>
          </w:p>
        </w:tc>
      </w:tr>
    </w:tbl>
    <w:p>
      <w:pPr>
        <w:pStyle w:val="TextBody"/>
        <w:bidi w:val="0"/>
        <w:spacing w:before="0" w:after="0"/>
        <w:jc w:val="left"/>
        <w:rPr/>
      </w:pPr>
      <w:r>
        <w:rPr/>
      </w:r>
    </w:p>
    <w:tbl>
      <w:tblPr>
        <w:tblW w:w="5858" w:type="dxa"/>
        <w:jc w:val="left"/>
        <w:tblInd w:w="0" w:type="dxa"/>
        <w:tblLayout w:type="fixed"/>
        <w:tblCellMar>
          <w:top w:w="28" w:type="dxa"/>
          <w:left w:w="28" w:type="dxa"/>
          <w:bottom w:w="28" w:type="dxa"/>
          <w:right w:w="28" w:type="dxa"/>
        </w:tblCellMar>
      </w:tblPr>
      <w:tblGrid>
        <w:gridCol w:w="334"/>
        <w:gridCol w:w="291"/>
        <w:gridCol w:w="291"/>
        <w:gridCol w:w="291"/>
        <w:gridCol w:w="291"/>
        <w:gridCol w:w="291"/>
        <w:gridCol w:w="291"/>
        <w:gridCol w:w="291"/>
        <w:gridCol w:w="307"/>
        <w:gridCol w:w="614"/>
        <w:gridCol w:w="614"/>
        <w:gridCol w:w="617"/>
        <w:gridCol w:w="390"/>
        <w:gridCol w:w="390"/>
        <w:gridCol w:w="555"/>
      </w:tblGrid>
      <w:tr>
        <w:trPr/>
        <w:tc>
          <w:tcPr>
            <w:tcW w:w="3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001-41139</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2890 Zanker Road, Suite 107</w:t>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95134</w:t>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left"/>
        <w:rPr/>
      </w:pPr>
      <w:r>
        <w:rPr/>
      </w:r>
    </w:p>
    <w:tbl>
      <w:tblPr>
        <w:tblW w:w="6075" w:type="dxa"/>
        <w:jc w:val="left"/>
        <w:tblInd w:w="0" w:type="dxa"/>
        <w:tblLayout w:type="fixed"/>
        <w:tblCellMar>
          <w:top w:w="28" w:type="dxa"/>
          <w:left w:w="28" w:type="dxa"/>
          <w:bottom w:w="28" w:type="dxa"/>
          <w:right w:w="28" w:type="dxa"/>
        </w:tblCellMar>
      </w:tblPr>
      <w:tblGrid>
        <w:gridCol w:w="1946"/>
        <w:gridCol w:w="1711"/>
        <w:gridCol w:w="2418"/>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(916) 347-0050</w:t>
            </w:r>
          </w:p>
        </w:tc>
      </w:tr>
    </w:tbl>
    <w:p>
      <w:pPr>
        <w:pStyle w:val="TextBody"/>
        <w:bidi w:val="0"/>
        <w:spacing w:before="0" w:after="0"/>
        <w:jc w:val="left"/>
        <w:rPr/>
      </w:pPr>
      <w:r>
        <w:rPr/>
      </w:r>
    </w:p>
    <w:tbl>
      <w:tblPr>
        <w:tblW w:w="1319" w:type="dxa"/>
        <w:jc w:val="left"/>
        <w:tblInd w:w="0" w:type="dxa"/>
        <w:tblLayout w:type="fixed"/>
        <w:tblCellMar>
          <w:top w:w="28" w:type="dxa"/>
          <w:left w:w="28" w:type="dxa"/>
          <w:bottom w:w="28" w:type="dxa"/>
          <w:right w:w="28" w:type="dxa"/>
        </w:tblCellMar>
      </w:tblPr>
      <w:tblGrid>
        <w:gridCol w:w="422"/>
        <w:gridCol w:w="371"/>
        <w:gridCol w:w="526"/>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7" w:after="283"/>
              <w:jc w:val="left"/>
              <w:rPr/>
            </w:pPr>
            <w:r>
              <w:rPr/>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49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80" w:after="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77"/>
        <w:gridCol w:w="1824"/>
        <w:gridCol w:w="1845"/>
        <w:gridCol w:w="109"/>
        <w:gridCol w:w="109"/>
        <w:gridCol w:w="109"/>
        <w:gridCol w:w="296"/>
        <w:gridCol w:w="296"/>
        <w:gridCol w:w="298"/>
        <w:gridCol w:w="109"/>
        <w:gridCol w:w="109"/>
        <w:gridCol w:w="109"/>
        <w:gridCol w:w="792"/>
        <w:gridCol w:w="792"/>
        <w:gridCol w:w="1131"/>
      </w:tblGrid>
      <w:tr>
        <w:trPr/>
        <w:tc>
          <w:tcPr>
            <w:tcW w:w="227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59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color w:val="000000"/>
                <w:sz w:val="2"/>
              </w:rPr>
            </w:pPr>
            <w:r>
              <w:rPr>
                <w:rFonts w:ascii="Times New Roman;serif" w:hAnsi="Times New Roman;serif"/>
                <w:b w:val="false"/>
                <w:color w:val="000000"/>
                <w:sz w:val="2"/>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3.03    Material Modification to Rights of Security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disclosure set forth in Item 5.03 below is hereby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5.03    Amendments to Articles of Incorporation or Bylaws; Change in Fiscal Year.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October 16, 2026,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Blaize Holdings,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declared a dividend of one one-thousandth of a share of our Series B Preferred Stock, par value $0.0001 per share (“</w:t>
      </w:r>
      <w:r>
        <w:rPr>
          <w:rFonts w:ascii="Times New Roman;serif" w:hAnsi="Times New Roman;serif"/>
          <w:b/>
          <w:i/>
          <w:color w:val="000000"/>
          <w:sz w:val="20"/>
        </w:rPr>
        <w:t>Series B Preferred Stock</w:t>
      </w:r>
      <w:r>
        <w:rPr>
          <w:color w:val="000000"/>
        </w:rPr>
        <w:t>”</w:t>
      </w:r>
      <w:r>
        <w:rPr>
          <w:rFonts w:ascii="Times New Roman;serif" w:hAnsi="Times New Roman;serif"/>
          <w:b w:val="false"/>
          <w:color w:val="000000"/>
          <w:sz w:val="20"/>
        </w:rPr>
        <w:t>), on each outstanding share of our common stock, par value $0.0001 per share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),to stockholders of record October 26, 2026 (the “</w:t>
      </w:r>
      <w:r>
        <w:rPr>
          <w:rFonts w:ascii="Times New Roman;serif" w:hAnsi="Times New Roman;serif"/>
          <w:b/>
          <w:i/>
          <w:color w:val="000000"/>
          <w:sz w:val="20"/>
        </w:rPr>
        <w:t>Record Date</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General; Transferability</w:t>
      </w:r>
      <w:r>
        <w:rPr>
          <w:rFonts w:ascii="Times New Roman;serif" w:hAnsi="Times New Roman;serif"/>
          <w:b w:val="false"/>
          <w:color w:val="000000"/>
          <w:sz w:val="20"/>
        </w:rPr>
        <w:t xml:space="preserve">. The Board has adopted resolutions providing that shares of Series B Preferred Stock will be uncertificated. As a result, outstanding shares of Series B Preferred Stock will be represented in book-entry form. The certificate of designations governing Series B Preferred Stock provides that shares of Series B Preferred Stock may not be transferred by any holder thereof except in connection with a transfer by such holder of any shares of Common Stock held by such holder, in which case a number of one one-thousandths (1/1,000ths) of a share of Series B Preferred Stock equal to the number of shares of Common Stock to be transferred by such holder will be automatically transferred to the transferee of such shares of Common Stock.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Voting Rights</w:t>
      </w:r>
      <w:r>
        <w:rPr>
          <w:rFonts w:ascii="Times New Roman;serif" w:hAnsi="Times New Roman;serif"/>
          <w:b w:val="false"/>
          <w:color w:val="000000"/>
          <w:sz w:val="20"/>
        </w:rPr>
        <w:t>. Each share of Series B Preferred Stock will entitle the holder thereof to 1,000,000 votes per share (and, for the avoidance of doubt, each fraction of a share of Series B Preferred Stock will have a ratable number of votes). Thus, each one-thousandth of a share of Series B Preferred Stock will entitle the holder thereof to 1,000 votes. The outstanding shares of Series B Preferred Stock will vote together with the outstanding shares of Common Stock as a single class exclusively with respect to (1) any proposal to adopt an amendment to our Third Amended and Restated Certificate of Incorporation, as amended (the “</w:t>
      </w:r>
      <w:r>
        <w:rPr>
          <w:rFonts w:ascii="Times New Roman;serif" w:hAnsi="Times New Roman;serif"/>
          <w:b/>
          <w:i/>
          <w:color w:val="000000"/>
          <w:sz w:val="20"/>
        </w:rPr>
        <w:t>Certificate of Incorporation</w:t>
      </w:r>
      <w:r>
        <w:rPr>
          <w:color w:val="000000"/>
        </w:rPr>
        <w:t>”</w:t>
      </w:r>
      <w:r>
        <w:rPr>
          <w:rFonts w:ascii="Times New Roman;serif" w:hAnsi="Times New Roman;serif"/>
          <w:b w:val="false"/>
          <w:color w:val="000000"/>
          <w:sz w:val="20"/>
        </w:rPr>
        <w:t>), to reclassify the outstanding shares of Common Stock into a smaller number of shares of Common Stock at a ratio specified in or determined in accordance with the terms of any such amendment (the “</w:t>
      </w:r>
      <w:r>
        <w:rPr>
          <w:rFonts w:ascii="Times New Roman;serif" w:hAnsi="Times New Roman;serif"/>
          <w:b/>
          <w:i/>
          <w:color w:val="000000"/>
          <w:sz w:val="20"/>
        </w:rPr>
        <w:t>Reverse Stock Split</w:t>
      </w:r>
      <w:r>
        <w:rPr>
          <w:color w:val="000000"/>
        </w:rPr>
        <w:t>”</w:t>
      </w:r>
      <w:r>
        <w:rPr>
          <w:rFonts w:ascii="Times New Roman;serif" w:hAnsi="Times New Roman;serif"/>
          <w:b w:val="false"/>
          <w:color w:val="000000"/>
          <w:sz w:val="20"/>
        </w:rPr>
        <w:t>) and (2) any proposal to adjourn any meeting of stockholders called for the purpose of voting on the Reverse Stock Split (the “</w:t>
      </w:r>
      <w:r>
        <w:rPr>
          <w:rFonts w:ascii="Times New Roman;serif" w:hAnsi="Times New Roman;serif"/>
          <w:b/>
          <w:i/>
          <w:color w:val="000000"/>
          <w:sz w:val="20"/>
        </w:rPr>
        <w:t>Adjournment Proposal</w:t>
      </w:r>
      <w:r>
        <w:rPr>
          <w:color w:val="000000"/>
        </w:rPr>
        <w:t>”</w:t>
      </w:r>
      <w:r>
        <w:rPr>
          <w:rFonts w:ascii="Times New Roman;serif" w:hAnsi="Times New Roman;serif"/>
          <w:b w:val="false"/>
          <w:color w:val="000000"/>
          <w:sz w:val="20"/>
        </w:rPr>
        <w:t xml:space="preserve">). The Series B Preferred Stock will not be entitled to vote on any other matter, except to the extent required under the Delaware General Corporation Law.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provided on any applicable proxy or ballot with respect to the voting on the Reverse Stock Split or the Adjournment Proposal, as applicable, the holder of each share of Series B Preferred Stock (or fraction thereof) entitled to vote on the Reverse Stock Split or the Adjournment Proposal, as applicable, at any meeting of stockholders held to vote on the Reverse Stock Split will be cast in the same manner as the vote, if any, of the holder of the share of Common Stock (or fraction thereof) in respect of which such share of Series B Preferred Stock (or fraction thereof) was issued as a dividend is cast on the Reverse Stock Split or the Adjournment Proposal, as applicable, and the proxy or ballot with respect to shares of Common Stock held by any holder on whose behalf such proxy or ballot is submitted will be deemed to include all shares of Series B Preferred Stock (or fraction thereof) held by such holder. Holders of Series B Preferred Stock will not receive a separate ballot or proxy to cast votes with respect to the Series B Preferred Stock on the Reverse Stock Split or the Adjournment Proposal brought before any meeting of stockholders held to vote on the Reverse Stock Split.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Dividend Rights</w:t>
      </w:r>
      <w:r>
        <w:rPr>
          <w:rFonts w:ascii="Times New Roman;serif" w:hAnsi="Times New Roman;serif"/>
          <w:b w:val="false"/>
          <w:color w:val="000000"/>
          <w:sz w:val="20"/>
        </w:rPr>
        <w:t xml:space="preserve">. The holders of Series B Preferred Stock, as such, will not be entitled to receive dividends of any kind.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Liquidation Preference</w:t>
      </w:r>
      <w:r>
        <w:rPr>
          <w:rFonts w:ascii="Times New Roman;serif" w:hAnsi="Times New Roman;serif"/>
          <w:b w:val="false"/>
          <w:color w:val="000000"/>
          <w:sz w:val="20"/>
        </w:rPr>
        <w:t>. The Series B Preferred Stock will rank senior to the Common Stock as to any distribution of our assets upon a liquidation, dissolution or winding up of our Company, whether voluntarily or involuntarily (a “</w:t>
      </w:r>
      <w:r>
        <w:rPr>
          <w:rFonts w:ascii="Times New Roman;serif" w:hAnsi="Times New Roman;serif"/>
          <w:b/>
          <w:i/>
          <w:color w:val="000000"/>
          <w:sz w:val="20"/>
        </w:rPr>
        <w:t>Dissolution</w:t>
      </w:r>
      <w:r>
        <w:rPr>
          <w:color w:val="000000"/>
        </w:rPr>
        <w:t>”</w:t>
      </w:r>
      <w:r>
        <w:rPr>
          <w:rFonts w:ascii="Times New Roman;serif" w:hAnsi="Times New Roman;serif"/>
          <w:b w:val="false"/>
          <w:color w:val="000000"/>
          <w:sz w:val="20"/>
        </w:rPr>
        <w:t xml:space="preserve">). Upon any Dissolution, each holder of outstanding shares of Series B Preferred Stock will be entitled to be paid out of our assets available for distribution to stockholders, prior and in preference to any distribution to the holders of Common Stock, an amount in cash equal to $0.0001 per outstanding share of Series B Preferred Stock.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Redemption</w:t>
      </w:r>
      <w:r>
        <w:rPr>
          <w:rFonts w:ascii="Times New Roman;serif" w:hAnsi="Times New Roman;serif"/>
          <w:b w:val="false"/>
          <w:color w:val="000000"/>
          <w:sz w:val="20"/>
        </w:rPr>
        <w:t>. All shares of Series B Preferred Stock that are not present in person or by proxy at any meeting of stockholders held to vote on the Reverse Stock Split as of immediately prior to the opening of the polls at such meeting (the “</w:t>
      </w:r>
      <w:r>
        <w:rPr>
          <w:rFonts w:ascii="Times New Roman;serif" w:hAnsi="Times New Roman;serif"/>
          <w:b/>
          <w:i/>
          <w:color w:val="000000"/>
          <w:sz w:val="20"/>
        </w:rPr>
        <w:t>Initial Redemption Time</w:t>
      </w:r>
      <w:r>
        <w:rPr>
          <w:color w:val="000000"/>
        </w:rPr>
        <w:t>”</w:t>
      </w:r>
      <w:r>
        <w:rPr>
          <w:rFonts w:ascii="Times New Roman;serif" w:hAnsi="Times New Roman;serif"/>
          <w:b w:val="false"/>
          <w:color w:val="000000"/>
          <w:sz w:val="20"/>
        </w:rPr>
        <w:t>) will automatically be redeemed by us at the Initial Redemption Time without further action on our part or on the part of the holder of shares of Series B Preferred Stock (the “</w:t>
      </w:r>
      <w:r>
        <w:rPr>
          <w:rFonts w:ascii="Times New Roman;serif" w:hAnsi="Times New Roman;serif"/>
          <w:b/>
          <w:i/>
          <w:color w:val="000000"/>
          <w:sz w:val="20"/>
        </w:rPr>
        <w:t>Initial Redemption</w:t>
      </w:r>
      <w:r>
        <w:rPr>
          <w:color w:val="000000"/>
        </w:rPr>
        <w:t>”</w:t>
      </w:r>
      <w:r>
        <w:rPr>
          <w:rFonts w:ascii="Times New Roman;serif" w:hAnsi="Times New Roman;serif"/>
          <w:b w:val="false"/>
          <w:color w:val="000000"/>
          <w:sz w:val="20"/>
        </w:rPr>
        <w:t xml:space="preserve">). Any outstanding shares of Series B Preferred Stock that have not been redeemed pursuant to the Initial Redemption will automatically be redeemed in whole, but not in part, at the close of business on the earlier of (i) the business day established by the Board in its sole discretion and (ii) the first business day following the date on which our stockholders approve the Reverse Stock Split.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Each share of Series B Preferred Stock redeemed in accordance with the certificate of designations governing the Series B Preferred Stock (the “</w:t>
      </w:r>
      <w:r>
        <w:rPr>
          <w:rFonts w:ascii="Times New Roman;serif" w:hAnsi="Times New Roman;serif"/>
          <w:b/>
          <w:i/>
          <w:color w:val="000000"/>
          <w:sz w:val="20"/>
        </w:rPr>
        <w:t>Certificate of Designations</w:t>
      </w:r>
      <w:r>
        <w:rPr>
          <w:color w:val="000000"/>
        </w:rPr>
        <w:t>”</w:t>
      </w:r>
      <w:r>
        <w:rPr>
          <w:rFonts w:ascii="Times New Roman;serif" w:hAnsi="Times New Roman;serif"/>
          <w:b w:val="false"/>
          <w:color w:val="000000"/>
          <w:sz w:val="20"/>
        </w:rPr>
        <w:t xml:space="preserve">) will be deemed to be redeemed immediately prior to the redemption time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and after such redemption time, each share of Series B Preferred Stock redeemed pursuant to the Certificate of Designations will no longer be deemed to be outstanding and all rights in respect of such share of Series B Preferred Stock will cease.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Miscellaneous. </w:t>
      </w:r>
      <w:r>
        <w:rPr>
          <w:rFonts w:ascii="Times New Roman;serif" w:hAnsi="Times New Roman;serif"/>
          <w:b w:val="false"/>
          <w:color w:val="000000"/>
          <w:sz w:val="20"/>
        </w:rPr>
        <w:t xml:space="preserve">The Series B Preferred Stock is not convertible into, or exchangeable for, shares of any other class or series of our stock or other securities. The Series B Preferred Stock has no stated maturity and is not subject to any sinking fund.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Certificate of Designations was filed with the Delaware Secretary of State and became effective on October 21, 2026. The foregoing description of the Series B Preferred Stock is qualified in its entirety by reference to the Certificate of Designations, which is filed as Exhibit 3.1(a) to this Current Report on Form 8-K (this “</w:t>
      </w:r>
      <w:r>
        <w:rPr>
          <w:rFonts w:ascii="Times New Roman;serif" w:hAnsi="Times New Roman;serif"/>
          <w:b/>
          <w:i/>
          <w:color w:val="000000"/>
          <w:sz w:val="20"/>
        </w:rPr>
        <w:t>Current Report</w:t>
      </w:r>
      <w:r>
        <w:rPr>
          <w:color w:val="000000"/>
        </w:rPr>
        <w:t>”</w:t>
      </w:r>
      <w:r>
        <w:rPr>
          <w:rFonts w:ascii="Times New Roman;serif" w:hAnsi="Times New Roman;serif"/>
          <w:b w:val="false"/>
          <w:color w:val="000000"/>
          <w:sz w:val="20"/>
        </w:rPr>
        <w:t>)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16, 2026, the Company issued a press release announcing the Series B Preferred Stock dividend. A copy of that press release is furnished as Exhibit 99.1 to this Current Report and incorporated herein by reference.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accordance with General Instruction B.2 of Form 8-K, the information in this Current Report on Form 8-K, including Exhibit 99.1, which is incorporated into this Item 7.01, is being furnished pursuant to Item 7.01 and shall not be deemed “filed” for the purposes of Section 18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Exchange Act or the Securities Act of 1933, as amended, except as shall be expressly set forth by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2"/>
        <w:gridCol w:w="274"/>
        <w:gridCol w:w="276"/>
        <w:gridCol w:w="109"/>
        <w:gridCol w:w="109"/>
        <w:gridCol w:w="109"/>
        <w:gridCol w:w="2870"/>
        <w:gridCol w:w="2870"/>
        <w:gridCol w:w="2899"/>
        <w:gridCol w:w="109"/>
        <w:gridCol w:w="109"/>
        <w:gridCol w:w="159"/>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Certificate of Designations of the Series B Preferred Stock of the Registrant (incorporated by reference to Exhibit 3.1(a) to the Registrant’s Registration Statement on Form 8-A, filed with the Securities and Exchange Commission on October </w:t>
              </w:r>
            </w:hyperlink>
            <w:hyperlink r:id="rId3">
              <w:r>
                <w:rPr>
                  <w:rStyle w:val="InternetLink"/>
                  <w:rFonts w:ascii="Times New Roman;serif" w:hAnsi="Times New Roman;serif"/>
                  <w:b w:val="false"/>
                  <w:color w:val="000080"/>
                  <w:sz w:val="20"/>
                  <w:u w:val="single"/>
                </w:rPr>
                <w:t>22</w:t>
              </w:r>
            </w:hyperlink>
            <w:hyperlink r:id="rId4">
              <w:r>
                <w:rPr>
                  <w:rStyle w:val="InternetLink"/>
                  <w:rFonts w:ascii="Times New Roman;serif" w:hAnsi="Times New Roman;serif"/>
                  <w:b w:val="false"/>
                  <w:color w:val="000080"/>
                  <w:sz w:val="20"/>
                  <w:u w:val="single"/>
                </w:rPr>
                <w:t>, 2026)</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aize-pressreleaseseriesb.htm">
              <w:r>
                <w:rPr>
                  <w:rStyle w:val="InternetLink"/>
                  <w:rFonts w:ascii="Times New Roman;serif" w:hAnsi="Times New Roman;serif"/>
                  <w:b w:val="false"/>
                  <w:color w:val="0000FF"/>
                  <w:sz w:val="20"/>
                  <w:u w:val="single"/>
                </w:rPr>
                <w:t>Press release, dated October 16, 2026 (furnished herewith)</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568"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09"/>
        <w:gridCol w:w="109"/>
        <w:gridCol w:w="109"/>
        <w:gridCol w:w="557"/>
        <w:gridCol w:w="557"/>
        <w:gridCol w:w="79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Kim Evans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Blaize Holdings, Inc. Announces Distribution of Series B Preferred Stock to Holders of its Common Stock Intended to Facilitate a Reverse Stock Split, if Necessary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San Jose, Calif. – October 16, 2026 – </w:t>
      </w:r>
      <w:r>
        <w:rPr>
          <w:rFonts w:ascii="Times New Roman;serif" w:hAnsi="Times New Roman;serif"/>
          <w:b/>
          <w:color w:val="000000"/>
          <w:sz w:val="22"/>
        </w:rPr>
        <w:t xml:space="preserve">Blaize Holdings, Inc. (NASDAQ: BZAI, NASDAQ: BZAIW) </w:t>
      </w:r>
      <w:r>
        <w:rPr>
          <w:rFonts w:ascii="Times New Roman;serif" w:hAnsi="Times New Roman;serif"/>
          <w:b w:val="false"/>
          <w:color w:val="000000"/>
          <w:sz w:val="22"/>
        </w:rPr>
        <w:t>(“Blaize,” the “Company,” “we,” “us,” and “our”) , a leader in programmable, energy-efficient AI computing, announced today that its Board of Directors declared a dividend of one one-thousandth of a share of newly designated Series B Preferred Stock, par value $0.0001 per share, for each outstanding share of Blaize common stock held of record on October 26, 2026. The outstanding shares of Series B Preferred Stock will vote together with the outstanding shares of the Company’s common stock as a single class exclusively with respect to any proposal to adopt an amendment to the Company’s certificate of incorporation to reclassify the outstanding shares of the Company’s common stock into a smaller number of shares of such common stock at a ratio specified in or determined in accordance with the terms of any such amendment (a “Reverse Stock Split Proposal”), as well as any proposal to adjourn any meeting of stockholders called for the purpose of voting on the foregoing matter (an “Adjournment Proposal”), and will not be entitled to vote on any other matter, except to the extent required under the Delaware General Corporation Law. Subject to certain limitations, each outstanding share of Series B Preferred Stock will have 1,000,000 votes per share (or 1,000 votes per one one-thousandth of a share of Series B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All shares of Series B Preferred Stock that are not present in person or by proxy at any meeting of stockholders held to vote on the above described amendment proposal as of immediately prior to the opening of the polls at such meeting will automatically be redeemed by the Company. Any outstanding shares of Series B Preferred Stock that have not been so redeemed will automatically be redeemed in whole, but not in part, at the close of business on the earlier of (i) the business day established by the Company’s Board of Directors in its sole discretion and (ii) the first business day following the date on which the Company’s stockholders approve an amendment to the Company’s certificate of incorporation to reclassify the outstanding shares of the Company’s common stock into a smaller number of shares of such common stock at a ratio specified in or determined in accordance with the terms of any such amendment.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Board of Directors has adopted resolutions providing that the Series B Preferred Stock will be uncertificated. The certificate of designation governing Series B Preferred Stock will provide that shares of Series B Preferred Stock may not be transferred except in connection with a transfer by such holder of any shares of the Company’s common stock held by such holder. In that case, a number of one one-thousandths of a share of Series B Preferred Stock equal to the number of shares of the Company’s common stock to be transferred by such holder will be transferred to the transferee of such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Further details regarding the Series B Preferred Stock will be contained in a report on Form 8-K to be filed by Blaize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Blaize Holdings, Inc.</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Blaize delivers a programmable AI platform, purpose-built for AI inference workloads in real-world environments. Its Hybrid AI architecture combines the Blaize GSP (Graph Streaming Processor) with GPU-based infrastructure, enabling AI inference workloads to run across edge, cloud, and data center. Blaize solutions support computer vision, multimodal AI, and sensor-driven applications across smart cities, industrial automation, telecommunications, retail, logistics, and mission-critical operations. Blaize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is headquartered in San Jose, California, with a presence across North America, Europe, the Middle East, and Asia. Visit www.blaize.com or follow us on LinkedIn @blaizeinc.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federal securities laws. All statements other than statements of historical fact contained in this press release are forward-looking statements, including statements regarding a Reverse Stock Split Proposal and an Adjournment Proposal, if 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Forward-looking statements are based on management’s current expectations and are subject to risks, uncertainties and changes in circumstances, many of which are outside the Company’s control. Actual results may differ materially from those expressed or implied by these forward-looking statements. Important factors that could cause actual results to differ materially are discussed in the Company’s filings with the Securities and Exchange Commission, including the risk factors described in the Company’s Annual Report on Form 10-K for the year ended December 31, 2025, filed with the SEC on March 24, 2026, as amended on April 30, 2026. Forward-looking statements speak only as of the date of this press release, and the Company assumes no obligation to update them except as required by law.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Investors Contact</w:t>
        <w:br/>
      </w:r>
      <w:r>
        <w:rPr>
          <w:rFonts w:ascii="Times New Roman;serif" w:hAnsi="Times New Roman;serif"/>
          <w:b w:val="false"/>
          <w:color w:val="000000"/>
          <w:sz w:val="22"/>
        </w:rPr>
        <w:t>IR@blaize.com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Media Contact</w:t>
        <w:br/>
      </w:r>
      <w:r>
        <w:rPr>
          <w:rFonts w:ascii="Times New Roman;serif" w:hAnsi="Times New Roman;serif"/>
          <w:b w:val="false"/>
          <w:color w:val="000000"/>
          <w:sz w:val="22"/>
        </w:rPr>
        <w:t>press@blaize.com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1638/000187163826000079/blaize-certificateofdesign.htm" TargetMode="External"/><Relationship Id="rId3" Type="http://schemas.openxmlformats.org/officeDocument/2006/relationships/hyperlink" Target="https://www.sec.gov/Archives/edgar/data/1871638/000187163826000079/blaize-certificateofdesign.htm" TargetMode="External"/><Relationship Id="rId4" Type="http://schemas.openxmlformats.org/officeDocument/2006/relationships/hyperlink" Target="https://www.sec.gov/Archives/edgar/data/1871638/000187163826000079/blaize-certificateofdesign.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2498</Words>
  <Characters>13112</Characters>
  <CharactersWithSpaces>15555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