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1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920" w:type="dxa"/>
            <w:vAlign w:val="bottom"/>
          </w:tcPr>
          <w:p>
            <w:pPr>
              <w:jc w:val="center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BurTech Acquisition Corp.</w:t>
            </w:r>
          </w:p>
        </w:tc>
        <w:tc>
          <w:tcPr>
            <w:tcW w:w="4140" w:type="dxa"/>
            <w:vAlign w:val="bottom"/>
          </w:tcPr>
          <w:p>
            <w:pPr>
              <w:jc w:val="center"/>
              <w:ind w:lef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Blaize, Inc.</w:t>
            </w:r>
          </w:p>
        </w:tc>
      </w:tr>
      <w:tr>
        <w:trPr>
          <w:trHeight w:val="216"/>
        </w:trPr>
        <w:tc>
          <w:tcPr>
            <w:tcW w:w="3920" w:type="dxa"/>
            <w:vAlign w:val="bottom"/>
          </w:tcPr>
          <w:p>
            <w:pPr>
              <w:jc w:val="center"/>
              <w:ind w:righ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1300 Pennsylvania Ave NW, Suite 700</w:t>
            </w:r>
          </w:p>
        </w:tc>
        <w:tc>
          <w:tcPr>
            <w:tcW w:w="4140" w:type="dxa"/>
            <w:vAlign w:val="bottom"/>
          </w:tcPr>
          <w:p>
            <w:pPr>
              <w:jc w:val="center"/>
              <w:ind w:lef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4659 Golden Foothill Parkway, Suite 206</w:t>
            </w:r>
          </w:p>
        </w:tc>
      </w:tr>
      <w:tr>
        <w:trPr>
          <w:trHeight w:val="238"/>
        </w:trPr>
        <w:tc>
          <w:tcPr>
            <w:tcW w:w="3920" w:type="dxa"/>
            <w:vAlign w:val="bottom"/>
          </w:tcPr>
          <w:p>
            <w:pPr>
              <w:jc w:val="center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DC 20004</w:t>
            </w:r>
          </w:p>
        </w:tc>
        <w:tc>
          <w:tcPr>
            <w:tcW w:w="4140" w:type="dxa"/>
            <w:vAlign w:val="bottom"/>
          </w:tcPr>
          <w:p>
            <w:pPr>
              <w:jc w:val="center"/>
              <w:ind w:lef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El Dorado Hills, CA 95762</w:t>
            </w: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2,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20549-3561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Sarah Sidwell, Geoffrey Kruczek</w:t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434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 for BurTech Acquisition Corp. and Blaize, Inc. Registration Statement on Form S-4 File No. 333-280889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240" w:space="380"/>
            <w:col w:w="9620"/>
          </w:cols>
          <w:pgMar w:left="320" w:top="468" w:right="3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Whom It May Concern: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BurTech Acquisition Corp. and Blaize, Inc. (together, 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 that the effective date of the Registrants’ Registration Statement on Form S-4, File Number 333-280889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it will become effective at 5:00 p.m., Eastern Time, on December 2, 2024,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Rajiv Khanna of Norton Rose Fulbright US LLP via telephone on (212) 318-3168 or via e-mail (Rajiv.Khanna@nortonrosefulbright.com) or Ryan J. Lynch of Latham &amp; Watkins LLP via telephone on (713) 546-7404 or via e-mail (Ryan.Lynch@lw.com), as soon as the Registration Statement has been declared effective, or if you have any other questions or concerns regarding this matter.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Thank you for your assistance with this matter.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5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BurTech Acquisition Corp.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Blaize, Inc.</w:t>
            </w:r>
          </w:p>
        </w:tc>
      </w:tr>
      <w:tr>
        <w:trPr>
          <w:trHeight w:val="445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Shahal Khan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Dinakar Munagala</w:t>
            </w:r>
          </w:p>
        </w:tc>
      </w:tr>
      <w:tr>
        <w:trPr>
          <w:trHeight w:val="191"/>
        </w:trPr>
        <w:tc>
          <w:tcPr>
            <w:tcW w:w="54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Shahal Khan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Dinakar Munagala</w:t>
            </w:r>
          </w:p>
        </w:tc>
      </w:tr>
      <w:tr>
        <w:trPr>
          <w:trHeight w:val="234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41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cc:</w:t>
            </w:r>
          </w:p>
        </w:tc>
        <w:tc>
          <w:tcPr>
            <w:tcW w:w="5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Sarah Sidwell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Geoffrey Kruczek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Securities and Exchange Commission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Rajiv Khanna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Norton Rose Fulbright US LLP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Ryan J. Lynch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Latham &amp; Watkins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2025-01-03T23:09:36Z</dcterms:created>
  <dcterms:modified xsi:type="dcterms:W3CDTF">2025-01-03T23:09:36Z</dcterms:modified>
</cp:coreProperties>
</file>