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4597ds1a.htm"/>
        <w:bookmarkStart w:id="1" w:name="ksd944597ds1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July 28,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333-288742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TextBody"/>
        <w:bidi w:val="0"/>
        <w:spacing w:before="6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60" w:after="0"/>
        <w:jc w:val="center"/>
        <w:rPr>
          <w:rFonts w:ascii="Times New Roman" w:hAnsi="Times New Roman"/>
          <w:b/>
          <w:sz w:val="24"/>
        </w:rPr>
      </w:pPr>
      <w:r>
        <w:rPr>
          <w:rFonts w:ascii="Times New Roman" w:hAnsi="Times New Roman"/>
          <w:b/>
          <w:sz w:val="24"/>
        </w:rPr>
        <w:t xml:space="preserve">Amendment No. 1 to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FORM </w:t>
      </w:r>
    </w:p>
    <w:p>
      <w:pPr>
        <w:pStyle w:val="TextBody"/>
        <w:bidi w:val="0"/>
        <w:spacing w:before="60" w:after="0"/>
        <w:jc w:val="center"/>
        <w:rPr>
          <w:rFonts w:ascii="Times New Roman" w:hAnsi="Times New Roman"/>
          <w:b/>
          <w:spacing w:val="0"/>
          <w:sz w:val="36"/>
        </w:rPr>
      </w:pPr>
      <w:r>
        <w:rPr>
          <w:rFonts w:ascii="Times New Roman" w:hAnsi="Times New Roman"/>
          <w:b/>
          <w:spacing w:val="0"/>
          <w:sz w:val="36"/>
        </w:rPr>
        <w:t>S-1</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REGISTRATION STATEMENT </w:t>
      </w:r>
    </w:p>
    <w:p>
      <w:pPr>
        <w:pStyle w:val="TextBody"/>
        <w:bidi w:val="0"/>
        <w:spacing w:before="6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UNDER</w:t>
      </w:r>
    </w:p>
    <w:p>
      <w:pPr>
        <w:pStyle w:val="TextBody"/>
        <w:bidi w:val="0"/>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jc w:val="center"/>
        <w:rPr>
          <w:rFonts w:ascii="Times New Roman" w:hAnsi="Times New Roman"/>
          <w:b/>
          <w:spacing w:val="0"/>
          <w:sz w:val="48"/>
        </w:rPr>
      </w:pPr>
      <w:r>
        <w:rPr>
          <w:rFonts w:ascii="Times New Roman" w:hAnsi="Times New Roman"/>
          <w:b/>
          <w:spacing w:val="0"/>
          <w:sz w:val="48"/>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jc w:val="left"/>
        <w:rPr>
          <w:spacing w:val="0"/>
        </w:rPr>
      </w:pPr>
      <w:r>
        <w:rPr>
          <w:spacing w:val="0"/>
        </w:rPr>
        <w:t> </w:t>
      </w:r>
    </w:p>
    <w:tbl>
      <w:tblPr>
        <w:tblW w:w="8160" w:type="dxa"/>
        <w:jc w:val="left"/>
        <w:tblInd w:w="0" w:type="dxa"/>
        <w:tblLayout w:type="fixed"/>
        <w:tblCellMar>
          <w:top w:w="0" w:type="dxa"/>
          <w:left w:w="0" w:type="dxa"/>
          <w:bottom w:w="0" w:type="dxa"/>
          <w:right w:w="0" w:type="dxa"/>
        </w:tblCellMar>
      </w:tblPr>
      <w:tblGrid>
        <w:gridCol w:w="3125"/>
        <w:gridCol w:w="60"/>
        <w:gridCol w:w="303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3674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86-2708752</w:t>
            </w:r>
          </w:p>
        </w:tc>
      </w:tr>
      <w:tr>
        <w:trPr/>
        <w:tc>
          <w:tcPr>
            <w:tcW w:w="3125" w:type="dxa"/>
            <w:tcBorders/>
            <w:vAlign w:val="center"/>
          </w:tcPr>
          <w:p>
            <w:pPr>
              <w:pStyle w:val="TableContents"/>
              <w:bidi w:val="0"/>
              <w:spacing w:before="0" w:after="0"/>
              <w:jc w:val="center"/>
              <w:rPr>
                <w:b/>
                <w:spacing w:val="0"/>
              </w:rPr>
            </w:pPr>
            <w:r>
              <w:rPr>
                <w:b/>
                <w:spacing w:val="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(Primary Standard Industrial</w:t>
              <w:br/>
              <w:t>Classification Code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60" w:after="0"/>
        <w:jc w:val="center"/>
        <w:rPr>
          <w:rFonts w:ascii="Times New Roman" w:hAnsi="Times New Roman"/>
          <w:b/>
          <w:spacing w:val="0"/>
          <w:sz w:val="20"/>
        </w:rPr>
      </w:pPr>
      <w:r>
        <w:rPr>
          <w:rFonts w:ascii="Times New Roman" w:hAnsi="Times New Roman"/>
          <w:b/>
          <w:spacing w:val="0"/>
          <w:sz w:val="20"/>
        </w:rPr>
        <w:t xml:space="preserve">4659 Golden Foothill Parkway, Suite 206El Dorado Hills, </w:t>
      </w:r>
    </w:p>
    <w:p>
      <w:pPr>
        <w:pStyle w:val="TextBody"/>
        <w:bidi w:val="0"/>
        <w:spacing w:before="60" w:after="0"/>
        <w:jc w:val="center"/>
        <w:rPr>
          <w:rFonts w:ascii="Times New Roman" w:hAnsi="Times New Roman"/>
          <w:b/>
          <w:spacing w:val="0"/>
          <w:sz w:val="20"/>
        </w:rPr>
      </w:pPr>
      <w:r>
        <w:rPr>
          <w:rFonts w:ascii="Times New Roman" w:hAnsi="Times New Roman"/>
          <w:b/>
          <w:spacing w:val="0"/>
          <w:sz w:val="20"/>
        </w:rPr>
        <w:t>CA</w:t>
      </w:r>
    </w:p>
    <w:p>
      <w:pPr>
        <w:pStyle w:val="TextBody"/>
        <w:bidi w:val="0"/>
        <w:spacing w:before="60" w:after="0"/>
        <w:jc w:val="center"/>
        <w:rPr>
          <w:rFonts w:ascii="Times New Roman" w:hAnsi="Times New Roman"/>
          <w:b/>
          <w:spacing w:val="0"/>
          <w:sz w:val="20"/>
        </w:rPr>
      </w:pPr>
      <w:r>
        <w:rPr>
          <w:rFonts w:ascii="Times New Roman" w:hAnsi="Times New Roman"/>
          <w:b/>
          <w:spacing w:val="0"/>
          <w:sz w:val="20"/>
        </w:rPr>
        <w:t xml:space="preserve">95762 </w:t>
      </w:r>
    </w:p>
    <w:p>
      <w:pPr>
        <w:pStyle w:val="TextBody"/>
        <w:bidi w:val="0"/>
        <w:spacing w:before="0" w:after="0"/>
        <w:jc w:val="center"/>
        <w:rPr>
          <w:rFonts w:ascii="Times New Roman" w:hAnsi="Times New Roman"/>
          <w:b/>
          <w:sz w:val="20"/>
        </w:rPr>
      </w:pPr>
      <w:r>
        <w:rPr>
          <w:rFonts w:ascii="Times New Roman" w:hAnsi="Times New Roman"/>
          <w:b/>
          <w:sz w:val="20"/>
        </w:rPr>
        <w:t xml:space="preserve">(916)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347-0050</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(Address, including zip code, and telephone number, including area code, of registrant’s principal executive offices)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jc w:val="center"/>
        <w:rPr>
          <w:rFonts w:ascii="Times New Roman" w:hAnsi="Times New Roman"/>
          <w:b/>
          <w:spacing w:val="0"/>
          <w:sz w:val="20"/>
        </w:rPr>
      </w:pPr>
      <w:r>
        <w:rPr>
          <w:rFonts w:ascii="Times New Roman" w:hAnsi="Times New Roman"/>
          <w:b/>
          <w:spacing w:val="0"/>
          <w:sz w:val="20"/>
        </w:rPr>
        <w:t xml:space="preserve">Harminder Sehmi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Chief Financial Officer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4659 Golden Foothill Parkway, Suite 206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El Dorado Hills,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CA</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95762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(916) 347-0050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(Name, address, including zip code, and telephone number, including area code, of agent for service)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Copies to: </w:t>
      </w:r>
    </w:p>
    <w:p>
      <w:pPr>
        <w:pStyle w:val="TextBody"/>
        <w:bidi w:val="0"/>
        <w:spacing w:before="60" w:after="0"/>
        <w:jc w:val="center"/>
        <w:rPr>
          <w:rFonts w:ascii="Times New Roman" w:hAnsi="Times New Roman"/>
          <w:b/>
          <w:spacing w:val="0"/>
          <w:sz w:val="20"/>
        </w:rPr>
      </w:pPr>
      <w:r>
        <w:rPr>
          <w:rFonts w:ascii="Times New Roman" w:hAnsi="Times New Roman"/>
          <w:b/>
          <w:spacing w:val="0"/>
          <w:sz w:val="20"/>
        </w:rPr>
        <w:t xml:space="preserve">Ryan J. Maierson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Ryan J. Lynch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Latham &amp; Watkins LLP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811 Main Street, Suite 3700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Houston, TX 77002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(713) 546-5400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jc w:val="left"/>
        <w:rPr>
          <w:rFonts w:ascii="Times New Roman" w:hAnsi="Times New Roman"/>
          <w:b/>
          <w:spacing w:val="0"/>
          <w:sz w:val="20"/>
        </w:rPr>
      </w:pPr>
      <w:r>
        <w:rPr>
          <w:rFonts w:ascii="Times New Roman" w:hAnsi="Times New Roman"/>
          <w:b/>
          <w:spacing w:val="0"/>
          <w:sz w:val="20"/>
        </w:rPr>
        <w:t>Approximate date of commencement of proposed sale to the public:</w:t>
      </w:r>
    </w:p>
    <w:p>
      <w:pPr>
        <w:pStyle w:val="TextBody"/>
        <w:bidi w:val="0"/>
        <w:spacing w:before="60" w:after="0"/>
        <w:jc w:val="left"/>
        <w:rPr>
          <w:rFonts w:ascii="Times New Roman" w:hAnsi="Times New Roman"/>
          <w:sz w:val="20"/>
        </w:rPr>
      </w:pPr>
      <w:r>
        <w:rPr>
          <w:rFonts w:ascii="Times New Roman" w:hAnsi="Times New Roman"/>
          <w:sz w:val="20"/>
        </w:rPr>
        <w:t xml:space="preserve">As soon as practicable after the effective </w:t>
      </w:r>
    </w:p>
    <w:p>
      <w:pPr>
        <w:pStyle w:val="TextBody"/>
        <w:bidi w:val="0"/>
        <w:spacing w:before="60" w:after="0"/>
        <w:jc w:val="left"/>
        <w:rPr>
          <w:rFonts w:ascii="Times New Roman" w:hAnsi="Times New Roman"/>
          <w:spacing w:val="0"/>
          <w:sz w:val="20"/>
        </w:rPr>
      </w:pPr>
      <w:r>
        <w:rPr>
          <w:rFonts w:ascii="Times New Roman" w:hAnsi="Times New Roman"/>
          <w:spacing w:val="0"/>
          <w:sz w:val="20"/>
        </w:rPr>
        <w:t>date</w:t>
      </w:r>
    </w:p>
    <w:p>
      <w:pPr>
        <w:pStyle w:val="TextBody"/>
        <w:bidi w:val="0"/>
        <w:spacing w:before="60" w:after="0"/>
        <w:jc w:val="left"/>
        <w:rPr>
          <w:rFonts w:ascii="Times New Roman" w:hAnsi="Times New Roman"/>
          <w:sz w:val="20"/>
        </w:rPr>
      </w:pPr>
      <w:r>
        <w:rPr>
          <w:rFonts w:ascii="Times New Roman" w:hAnsi="Times New Roman"/>
          <w:sz w:val="20"/>
        </w:rPr>
        <w:t xml:space="preserve">of this Registration Statement. </w:t>
      </w:r>
    </w:p>
    <w:p>
      <w:pPr>
        <w:pStyle w:val="TextBody"/>
        <w:bidi w:val="0"/>
        <w:spacing w:before="60" w:after="0"/>
        <w:jc w:val="left"/>
        <w:rPr>
          <w:rFonts w:ascii="Times New Roman" w:hAnsi="Times New Roman"/>
          <w:spacing w:val="0"/>
          <w:sz w:val="20"/>
        </w:rPr>
      </w:pPr>
      <w:r>
        <w:rPr>
          <w:rFonts w:ascii="Times New Roman" w:hAnsi="Times New Roman"/>
          <w:spacing w:val="0"/>
          <w:sz w:val="20"/>
        </w:rPr>
        <w:t xml:space="preserve">If any 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Times New Roman" w:hAnsi="Times New Roman"/>
          <w:spacing w:val="0"/>
          <w:sz w:val="20"/>
        </w:rPr>
      </w:pPr>
      <w:r>
        <w:rPr>
          <w:rFonts w:ascii="Times New Roman" w:hAnsi="Times New Roman"/>
          <w:spacing w:val="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pacing w:val="0"/>
          <w:sz w:val="20"/>
        </w:rPr>
      </w:pPr>
      <w:r>
        <w:rPr>
          <w:rFonts w:ascii="Times New Roman" w:hAnsi="Times New Roman"/>
          <w:spacing w:val="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pacing w:val="0"/>
          <w:sz w:val="20"/>
        </w:rPr>
      </w:pPr>
      <w:r>
        <w:rPr>
          <w:rFonts w:ascii="Times New Roman" w:hAnsi="Times New Roman"/>
          <w:spacing w:val="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6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6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60" w:after="0"/>
        <w:jc w:val="left"/>
        <w:rPr>
          <w:rFonts w:ascii="Times New Roman" w:hAnsi="Times New Roman"/>
          <w:spacing w:val="0"/>
          <w:sz w:val="20"/>
        </w:rPr>
      </w:pPr>
      <w:r>
        <w:rPr>
          <w:rFonts w:ascii="Times New Roman" w:hAnsi="Times New Roman"/>
          <w:spacing w:val="0"/>
          <w:sz w:val="20"/>
        </w:rPr>
        <w:t>12b-2</w:t>
      </w:r>
    </w:p>
    <w:p>
      <w:pPr>
        <w:pStyle w:val="TextBody"/>
        <w:bidi w:val="0"/>
        <w:spacing w:before="6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60" w:after="0"/>
        <w:jc w:val="left"/>
        <w:rPr>
          <w:rFonts w:ascii="Times New Roman" w:hAnsi="Times New Roman"/>
          <w:b/>
          <w:spacing w:val="0"/>
          <w:sz w:val="20"/>
        </w:rPr>
      </w:pPr>
      <w:r>
        <w:rPr>
          <w:rFonts w:ascii="Times New Roman" w:hAnsi="Times New Roman"/>
          <w:b/>
          <w:spacing w:val="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0"/>
        <w:jc w:val="left"/>
        <w:rPr/>
      </w:pPr>
      <w:r>
        <w:rPr/>
        <w:t>☐</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jc w:val="left"/>
        <w:rPr>
          <w:rFonts w:ascii="Times New Roman" w:hAnsi="Times New Roman"/>
          <w:b/>
          <w:spacing w:val="0"/>
          <w:sz w:val="20"/>
        </w:rPr>
      </w:pPr>
      <w:r>
        <w:rPr>
          <w:rFonts w:ascii="Times New Roman" w:hAnsi="Times New Roman"/>
          <w:b/>
          <w:spacing w:val="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These securities may not be sold until the registration statement filed with the U.S.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8"/>
        </w:rPr>
      </w:pPr>
      <w:r>
        <w:rPr>
          <w:rFonts w:ascii="Times New Roman" w:hAnsi="Times New Roman"/>
          <w:b/>
          <w:color w:val="FF4338"/>
          <w:sz w:val="18"/>
        </w:rPr>
        <w:t xml:space="preserve">Subject to Completion </w:t>
      </w:r>
    </w:p>
    <w:p>
      <w:pPr>
        <w:pStyle w:val="TextBody"/>
        <w:bidi w:val="0"/>
        <w:spacing w:before="0" w:after="0"/>
        <w:ind w:left="960" w:right="960" w:hanging="0"/>
        <w:jc w:val="center"/>
        <w:rPr>
          <w:rFonts w:ascii="Times New Roman" w:hAnsi="Times New Roman"/>
          <w:b/>
          <w:color w:val="FF4338"/>
          <w:sz w:val="18"/>
        </w:rPr>
      </w:pPr>
      <w:r>
        <w:rPr>
          <w:rFonts w:ascii="Times New Roman" w:hAnsi="Times New Roman"/>
          <w:b/>
          <w:color w:val="FF4338"/>
          <w:sz w:val="18"/>
        </w:rPr>
        <w:t xml:space="preserve">Preliminary Prospectus dated July 28, 2025. </w:t>
      </w:r>
    </w:p>
    <w:p>
      <w:pPr>
        <w:pStyle w:val="TextBody"/>
        <w:bidi w:val="0"/>
        <w:spacing w:before="60" w:after="0"/>
        <w:ind w:left="960" w:right="960" w:hanging="0"/>
        <w:jc w:val="left"/>
        <w:rPr>
          <w:rFonts w:ascii="Times New Roman" w:hAnsi="Times New Roman"/>
          <w:b/>
          <w:sz w:val="18"/>
        </w:rPr>
      </w:pPr>
      <w:r>
        <w:rPr>
          <w:rFonts w:ascii="Times New Roman" w:hAnsi="Times New Roman"/>
          <w:b/>
          <w:sz w:val="18"/>
        </w:rPr>
        <w:t xml:space="preserve">PRELIMINARY PROSPECTUS </w:t>
      </w:r>
    </w:p>
    <w:p>
      <w:pPr>
        <w:pStyle w:val="TextBody"/>
        <w:bidi w:val="0"/>
        <w:spacing w:before="60" w:after="0"/>
        <w:ind w:left="960" w:right="960" w:hanging="0"/>
        <w:jc w:val="center"/>
        <w:rPr>
          <w:rFonts w:ascii="Times New Roman" w:hAnsi="Times New Roman"/>
          <w:b/>
          <w:sz w:val="48"/>
        </w:rPr>
      </w:pPr>
      <w:r>
        <w:rPr>
          <w:rFonts w:ascii="Times New Roman" w:hAnsi="Times New Roman"/>
          <w:b/>
          <w:sz w:val="48"/>
        </w:rPr>
        <w:t xml:space="preserve">Blaize Holdings, Inc. </w:t>
      </w:r>
    </w:p>
    <w:p>
      <w:pPr>
        <w:pStyle w:val="TextBody"/>
        <w:bidi w:val="0"/>
        <w:spacing w:before="60" w:after="0"/>
        <w:ind w:left="960" w:right="960" w:hanging="0"/>
        <w:jc w:val="center"/>
        <w:rPr>
          <w:rFonts w:ascii="Times New Roman" w:hAnsi="Times New Roman"/>
          <w:b/>
          <w:sz w:val="28"/>
        </w:rPr>
      </w:pPr>
      <w:r>
        <w:rPr>
          <w:rFonts w:ascii="Times New Roman" w:hAnsi="Times New Roman"/>
          <w:b/>
          <w:sz w:val="28"/>
        </w:rPr>
        <w:t xml:space="preserve">20,326,158 Shares of Common Stock by the Selling Stockholder </w:t>
      </w:r>
    </w:p>
    <w:p>
      <w:pPr>
        <w:pStyle w:val="TextBody"/>
        <w:bidi w:val="0"/>
        <w:spacing w:before="60" w:after="0"/>
        <w:ind w:left="960" w:right="960" w:hanging="0"/>
        <w:jc w:val="center"/>
        <w:rPr>
          <w:rFonts w:ascii="Times New Roman" w:hAnsi="Times New Roman"/>
          <w:b/>
          <w:sz w:val="28"/>
        </w:rPr>
      </w:pPr>
      <w:r>
        <w:rPr>
          <w:rFonts w:ascii="Times New Roman" w:hAnsi="Times New Roman"/>
          <w:b/>
          <w:sz w:val="28"/>
        </w:rPr>
        <w:t xml:space="preserve">769,231 Shares of Common Stock by Cantor Fitzgerald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This prospectus relates to the offer and sale of up to 20,326,158 shares of our Common Stock, par value $0.0001 per share (“the Common Stock”), by B. Riley Principal Capital II, LLC, whom we refer to in this prospectus as “B. Riley Principal Capital II” or the “Selling Stockholder.”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The shares of Common Stock to which this prospectus relates have been or may be issued by us to B. Riley Principal Capital II pursuant to a common stock purchase agreement, dated as of July 14, 2025, we entered into with B. Riley Principal Capital II, which we refer to in this prospectus as the Purchase Agreement. Such shares of Common Stock include up to 20,326,158 shares of Common Stock,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and, together with the Purchase Shares, “BRPC Shares”) we issued to B. Riley Principal Capital II, together with our cash payment of $200,000 to B. Riley Principal Capital II, upon our execution of the Purchase Agreement on July 14, 2025, as consideration for its commitment to purchase shares of our Common Stock that we may, in our sole discretion, direct B. Riley Principal Capital II to purchase from us pursuant to the Purchase Agreement. We are not selling any securities under this prospectus and will not receive any of the proceeds from the sale of our Common Stock by the Selling Stockholder. However, we may receive up to $50,000,000 aggregate gross proceeds under the Purchase Agreement from sales of Common Stock we may elect to make to B. Riley Principal Capital II pursuant to the Purchase Agreement after the date of this prospectus. See “</w:t>
      </w:r>
      <w:r>
        <w:rPr>
          <w:rFonts w:ascii="Times New Roman" w:hAnsi="Times New Roman"/>
          <w:i/>
          <w:sz w:val="18"/>
        </w:rPr>
        <w:t>The Committed Equity Facility</w:t>
      </w:r>
      <w:r>
        <w:rPr>
          <w:rFonts w:ascii="Times New Roman" w:hAnsi="Times New Roman"/>
          <w:sz w:val="18"/>
        </w:rPr>
        <w:t>” for a description of the Purchase Agreement and “</w:t>
      </w:r>
      <w:r>
        <w:rPr>
          <w:rFonts w:ascii="Times New Roman" w:hAnsi="Times New Roman"/>
          <w:i/>
          <w:sz w:val="18"/>
        </w:rPr>
        <w:t>Selling Securityholders – Selling Stockholder</w:t>
      </w:r>
      <w:r>
        <w:rPr>
          <w:rFonts w:ascii="Times New Roman" w:hAnsi="Times New Roman"/>
          <w:sz w:val="18"/>
        </w:rPr>
        <w:t xml:space="preserve">” for additional information regarding B. Riley Principal Capital II.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B. Riley Principal Capital II may sell or otherwise dispose of BRPC Shares described in this prospectus in a number of different ways and at varying prices. See “</w:t>
      </w:r>
      <w:r>
        <w:rPr>
          <w:rFonts w:ascii="Times New Roman" w:hAnsi="Times New Roman"/>
          <w:i/>
          <w:sz w:val="18"/>
        </w:rPr>
        <w:t>Plan of Distribution (Conflict of Interest) – Offer and Resale of Common Stock by the Selling Stockholder</w:t>
      </w:r>
      <w:r>
        <w:rPr>
          <w:rFonts w:ascii="Times New Roman" w:hAnsi="Times New Roman"/>
          <w:sz w:val="18"/>
        </w:rPr>
        <w:t xml:space="preserve">” for more information about how B. Riley Principal Capital II may sell or otherwise dispose of BRPC Shares pursuant to this prospectus. B. Riley Principal Capital II is an “underwriter” within the meaning of Section 2(a)(11) of the Securities Act of 1933, as amended, or the Securities Act.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This prospectus also relates in part to the offer and sale of up to 769,231 shares of our Common Stock by Cantor Fitzgerald &amp; Co. (“Cantor Fitzgerald”) (including its donees, pledgees, transferees and other successors-in-interest). References herein to the “Selling Securityholders” are to B. Riley Principal Capital II and Cantor Fitzgerald, collectively.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On April 11, 2025, we entered into an Engagement Letter with Cantor Fitzgerald (the “Engagement Letter”), pursuant to which, among other things, we issued 769,231 shares of our Common Stock in consideration of Cantor Fitzgerald entering into the Engagement Letter.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We are not selling any securities under this prospectus and will not receive any of the proceeds from the sale of our Common Stock by Cantor Fitzgerald. See “</w:t>
      </w:r>
      <w:r>
        <w:rPr>
          <w:rFonts w:ascii="Times New Roman" w:hAnsi="Times New Roman"/>
          <w:i/>
          <w:sz w:val="18"/>
        </w:rPr>
        <w:t>Selling Securityholders – Cantor Fitzgerald</w:t>
      </w:r>
      <w:r>
        <w:rPr>
          <w:rFonts w:ascii="Times New Roman" w:hAnsi="Times New Roman"/>
          <w:sz w:val="18"/>
        </w:rPr>
        <w:t xml:space="preserve">” for additional information regarding Cantor Fitzgerald.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Cantor Fitzgerald may sell or otherwise dispose of the Common Stock described in this prospectus in a number of different ways and at varying prices. See “</w:t>
      </w:r>
      <w:r>
        <w:rPr>
          <w:rFonts w:ascii="Times New Roman" w:hAnsi="Times New Roman"/>
          <w:i/>
          <w:sz w:val="18"/>
        </w:rPr>
        <w:t>Plan of Distribution (Conflict of Interest) – Offer and Resale of Common Stock by Cantor Fitzgerald</w:t>
      </w:r>
      <w:r>
        <w:rPr>
          <w:rFonts w:ascii="Times New Roman" w:hAnsi="Times New Roman"/>
          <w:sz w:val="18"/>
        </w:rPr>
        <w:t xml:space="preserve">” for more information about how Cantor Fitzgerald may sell or otherwise dispose of the shares of Common Stock acquired pursuant to the Engagement Letter.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For the avoidance of doubt, B. Riley Principal Capital II is not involved in the offer and sale of the Common Stock by Cantor Fitzgerald, and is not an “underwriter” within the meaning of Section 2(a)(11) of the Securities Act with respect to such offering.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We will pay the expenses incurred in registering under the Securities Act the offer and sale of the shares of Common Stock to which this prospectus relates by the Selling Securityholders, including legal and accounting fees. See “</w:t>
      </w:r>
      <w:r>
        <w:rPr>
          <w:rFonts w:ascii="Times New Roman" w:hAnsi="Times New Roman"/>
          <w:i/>
          <w:sz w:val="18"/>
        </w:rPr>
        <w:t>Plan of Distribution (Conflict of Interest) – Offer and Resale of Common Stock by the Selling Stockholder</w:t>
      </w:r>
      <w:r>
        <w:rPr>
          <w:rFonts w:ascii="Times New Roman" w:hAnsi="Times New Roman"/>
          <w:sz w:val="18"/>
        </w:rPr>
        <w:t xml:space="preserve">” beginning on page 131.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Our Common Stock is listed on the Nasdaq Global Market (“Nasdaq”) under the symbol “BZAI.” On July 25, 2025, the closing price of our Common Stock was $4.33 per share.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We are an “emerging growth company” and a “smaller reporting company” under the federal securities laws and will be subject to reduced disclosure and public reporting requirements. See “</w:t>
      </w:r>
      <w:r>
        <w:rPr>
          <w:rFonts w:ascii="Times New Roman" w:hAnsi="Times New Roman"/>
          <w:i/>
          <w:sz w:val="18"/>
        </w:rPr>
        <w:t>Prospectus Summary – Implications of Being an Emerging Growth Company</w:t>
      </w:r>
      <w:r>
        <w:rPr>
          <w:rFonts w:ascii="Times New Roman" w:hAnsi="Times New Roman"/>
          <w:sz w:val="18"/>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pPr>
      <w:r>
        <w:rPr>
          <w:rFonts w:ascii="Times New Roman" w:hAnsi="Times New Roman"/>
          <w:b/>
          <w:sz w:val="24"/>
        </w:rPr>
        <w:t>Our business and investment in our securities involve significant risks. These risks are described in the section titled “</w:t>
      </w:r>
      <w:hyperlink w:anchor="toc944597_5">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12 of this prospectus.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Neither the U.S. Securities and Exchange Commission (the “SEC”)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center"/>
        <w:rPr>
          <w:rFonts w:ascii="Times New Roman" w:hAnsi="Times New Roman"/>
          <w:b/>
          <w:sz w:val="18"/>
        </w:rPr>
      </w:pPr>
      <w:r>
        <w:rPr>
          <w:rFonts w:ascii="Times New Roman" w:hAnsi="Times New Roman"/>
          <w:b/>
          <w:sz w:val="18"/>
        </w:rPr>
        <w:t xml:space="preserve">The date of this prospectus is     , 2025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9470"/>
        <w:gridCol w:w="120"/>
        <w:gridCol w:w="60"/>
        <w:gridCol w:w="470"/>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ii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
              <w:r>
                <w:rPr>
                  <w:rStyle w:val="InternetLink"/>
                  <w:rFonts w:ascii="Times New Roman" w:hAnsi="Times New Roman"/>
                  <w:sz w:val="20"/>
                </w:rPr>
                <w:t>MARKET AND INDUSTRY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iii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3">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iii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4">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6">
              <w:r>
                <w:rPr>
                  <w:rStyle w:val="InternetLink"/>
                  <w:rFonts w:ascii="Times New Roman" w:hAnsi="Times New Roman"/>
                  <w:sz w:val="20"/>
                </w:rPr>
                <w:t>THE COMMITTED EQUITY FACILITY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7">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8">
              <w:r>
                <w:rPr>
                  <w:rStyle w:val="InternetLink"/>
                  <w:rFonts w:ascii="Times New Roman" w:hAnsi="Times New Roman"/>
                  <w:sz w:val="20"/>
                </w:rPr>
                <w:t>DETERMINATION OF OFFERING PRICE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9">
              <w:r>
                <w:rPr>
                  <w:rStyle w:val="InternetLink"/>
                  <w:rFonts w:ascii="Times New Roman" w:hAnsi="Times New Roman"/>
                  <w:sz w:val="20"/>
                </w:rPr>
                <w:t xml:space="preserve">DIVIDEND POLICY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0">
              <w:r>
                <w:rPr>
                  <w:rStyle w:val="InternetLink"/>
                  <w:rFonts w:ascii="Times New Roman" w:hAnsi="Times New Roman"/>
                  <w:sz w:val="20"/>
                </w:rPr>
                <w:t>MARKET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1">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2">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3">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99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4">
              <w:r>
                <w:rPr>
                  <w:rStyle w:val="InternetLink"/>
                  <w:rFonts w:ascii="Times New Roman" w:hAnsi="Times New Roman"/>
                  <w:sz w:val="20"/>
                </w:rPr>
                <w:t>BLAIZE’S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108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5">
              <w:r>
                <w:rPr>
                  <w:rStyle w:val="InternetLink"/>
                  <w:rFonts w:ascii="Times New Roman" w:hAnsi="Times New Roman"/>
                  <w:sz w:val="20"/>
                </w:rPr>
                <w:t>BLAIZE’S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6">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113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7">
              <w:r>
                <w:rPr>
                  <w:rStyle w:val="InternetLink"/>
                  <w:rFonts w:ascii="Times New Roman" w:hAnsi="Times New Roman"/>
                  <w:sz w:val="20"/>
                </w:rPr>
                <w:t>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117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8">
              <w:r>
                <w:rPr>
                  <w:rStyle w:val="InternetLink"/>
                  <w:rFonts w:ascii="Times New Roman" w:hAnsi="Times New Roman"/>
                  <w:sz w:val="20"/>
                </w:rPr>
                <w:t>SELLING SECURITYHOLDERS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120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19">
              <w:r>
                <w:rPr>
                  <w:rStyle w:val="InternetLink"/>
                  <w:rFonts w:ascii="Times New Roman" w:hAnsi="Times New Roman"/>
                  <w:sz w:val="20"/>
                </w:rPr>
                <w:t>DESCRIPTION OF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124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0">
              <w:r>
                <w:rPr>
                  <w:rStyle w:val="InternetLink"/>
                  <w:rFonts w:ascii="Times New Roman" w:hAnsi="Times New Roman"/>
                  <w:sz w:val="20"/>
                </w:rPr>
                <w:t>SECURITIES ACT RESTRICTIONS ON RESALE OF OUR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1">
              <w:r>
                <w:rPr>
                  <w:rStyle w:val="InternetLink"/>
                  <w:rFonts w:ascii="Times New Roman" w:hAnsi="Times New Roman"/>
                  <w:sz w:val="20"/>
                </w:rPr>
                <w:t>PLAN OF DISTRIBUTION (CONFLICT OF INTEREST)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2">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139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3">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140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4">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141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944597_25">
              <w:r>
                <w:rPr>
                  <w:rStyle w:val="InternetLink"/>
                  <w:rFonts w:ascii="Times New Roman" w:hAnsi="Times New Roman"/>
                  <w:sz w:val="20"/>
                </w:rPr>
                <w:t>INDEX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fin944597_6">
              <w:r>
                <w:rPr>
                  <w:rStyle w:val="InternetLink"/>
                  <w:rFonts w:ascii="Times New Roman" w:hAnsi="Times New Roman"/>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 </w:t>
      </w:r>
    </w:p>
    <w:p>
      <w:pPr>
        <w:pStyle w:val="TextBody"/>
        <w:bidi w:val="0"/>
        <w:spacing w:before="480" w:after="0"/>
        <w:jc w:val="center"/>
        <w:rPr>
          <w:rFonts w:ascii="Times New Roman" w:hAnsi="Times New Roman"/>
          <w:b/>
          <w:sz w:val="20"/>
        </w:rPr>
      </w:pPr>
      <w:bookmarkStart w:id="3" w:name="toc94459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SEC using a “shelf” registration process. By using a shelf registration statement, the Selling Stockholders may, from time to time, sell the securities offered by it described in this prospectus through any means described in the section titled “</w:t>
      </w:r>
      <w:r>
        <w:rPr>
          <w:rFonts w:ascii="Times New Roman" w:hAnsi="Times New Roman"/>
          <w:i/>
          <w:sz w:val="20"/>
        </w:rPr>
        <w:t>Plan of Distribution (Conflict of Interest</w:t>
      </w:r>
      <w:r>
        <w:rPr>
          <w:rFonts w:ascii="Times New Roman" w:hAnsi="Times New Roman"/>
          <w:sz w:val="20"/>
        </w:rPr>
        <w:t xml:space="preserve">).” We will not receive any proceeds from the sale by the Selling Stockholder of the securities offered by them described in this prospectus. However, we may receive up to $50,000,000 in aggregate gross proceeds from the Selling Stockholder under the Purchase Agreement in connection with sales of our shares of Common Stock to the Selling Stockholder pursuant to the Purchase Agreement after the date of this prospectus. We will not receive any proceeds from the sale by Cantor Fitzgerald of the securities offered by them described in this prospectus. </w:t>
      </w:r>
    </w:p>
    <w:p>
      <w:pPr>
        <w:pStyle w:val="TextBody"/>
        <w:bidi w:val="0"/>
        <w:spacing w:before="240" w:after="0"/>
        <w:jc w:val="left"/>
        <w:rPr>
          <w:rFonts w:ascii="Times New Roman" w:hAnsi="Times New Roman"/>
          <w:sz w:val="20"/>
        </w:rPr>
      </w:pPr>
      <w:r>
        <w:rPr>
          <w:rFonts w:ascii="Times New Roman" w:hAnsi="Times New Roman"/>
          <w:sz w:val="20"/>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Any statement so modified will be deemed to constitute a part of this prospectus only as so modified, and any statement so superseded will be deemed not to constitute a part of this prospectus. Before purchasing any securities, you should carefully read this prospectus, any post-effective amendment,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trade names and service marks that we use in connection with the operation of our business (including, but not limited to, our Blaize technology and units). Our name, logos and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name and address are our trademarks or service marks. Solely for convenience, in some cases, the trademarks, trade names and service marks referred to in this prospectus are listed without the applicable®,™ and SM symbols, but we will assert, to the fullest extent under applicable law, our rights to these trademarks, trade names and service marks. Other trademarks, trade names and service marks appearing in this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All references herein to the “Board” refer to the board of directors of the Company. </w:t>
      </w:r>
    </w:p>
    <w:p>
      <w:pPr>
        <w:pStyle w:val="TextBody"/>
        <w:bidi w:val="0"/>
        <w:spacing w:before="480" w:after="0"/>
        <w:jc w:val="center"/>
        <w:rPr>
          <w:rFonts w:ascii="Times New Roman" w:hAnsi="Times New Roman"/>
          <w:b/>
          <w:sz w:val="20"/>
        </w:rPr>
      </w:pPr>
      <w:bookmarkStart w:id="4" w:name="toc944597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 </w:t>
      </w:r>
    </w:p>
    <w:p>
      <w:pPr>
        <w:pStyle w:val="TextBody"/>
        <w:bidi w:val="0"/>
        <w:spacing w:before="480" w:after="0"/>
        <w:jc w:val="center"/>
        <w:rPr>
          <w:rFonts w:ascii="Times New Roman" w:hAnsi="Times New Roman"/>
          <w:b/>
          <w:sz w:val="20"/>
        </w:rPr>
      </w:pPr>
      <w:bookmarkStart w:id="5" w:name="toc944597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achieve or sustain profitability;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Business Combination;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the listing of the shares of Common Stock and Warrants on Nasdaq;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loss of one or more key employees or failure to attract and retain highly skilled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software or hardware containing serious errors or defects, which may result in lost revenue and market acceptance and costs to defend or settle claims with customers;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 interruptions in service, latency or poor service from third-party data center providers;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global nature of our business, including the various laws and regulations applicable to us and fluctuations between foreign currencies and the U.S. dollar, including the imposition of new or increased tariffs or export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failure to acquire new customer, retain existing customers, terminate existing customer or partnership contracts or expand sales to existing customers;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risks and uncertainties described in this registration statement, including those under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944597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Note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Background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Committed Equity Facility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14, 2025, we entered into the Purchase Agreement and a related registration rights agreement, dated as of July 14, 2025 (the “Registration Rights Agreement”), with B. Riley Principal Capital II. Upon the terms and subject to the satisfaction of the conditions contained in the Purchase Agreement, we have the right, in our sole discretion, to sell to B. Riley Principal Capital II up to $50,000,000 of shares of our Common Stock (subject to certain limitations contained in the Purchase Agreement), from time to time over a period of up to 36 months from and after the date of this prospectus, through an Market Open Purchase or one or more Intraday Purchases on any Purchase Date (each term as defined below). Sales of Common Stock pursuant to the Purchase Agreement, and the timing of any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offer and resale by B. Riley Principal Capital II of up to 20,326,158 BRPC Shares,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we issued to B. Riley Principal Capital II, upon our execution of the Purchase Agreement on July 14, 2025, as consideration for its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 purchase shares of our Common Stock that we may, in our sole discretion, direct B. Riley Principal Capital II to purchase from us pursuant to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initial satisfaction of each of the conditions to B. Riley Principal Capital II’s purchase obligations set forth in the Purchase Agreement (the initial satisfaction of all of such conditions, the “Commencement”), none of which are within B. Riley Principal Capital II’s control, including that the registration statement that includes this prospectus shall have been declared effective by the SEC, we have the right, but not the obligation, from time to time at our sole discretion for a period of up to 36 months (unless the Purchase Agreement is earlier terminated), beginning on the date on which the Commencement occurs (such date, the “Commencement Date”), to direct B. Riley Principal Capital II to purchase a specified number of shares of Common Stock (each, an “Market Open Purchase”), not to exceed the lesser of (such lesser number of shares, the “Market Open Purchase Maximum Amount”): (i) 1,000,000 shares of Common Stock and (ii) up to a certain percentage (not to exceed 25.0%), which we will specify in the applicable Market Open Purchase Notice (as defined below) for such Market Open Purchase (such specified percentage,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B. Riley Principal Capital II, adjusted as necessary to give effect to the applicable Market Open Purchase Maximum Amount as set forth in the Purchase Agreement, the “Market Open Purchase Share Amount”), by timely delivering written notice of such Market Open Purchase to B. Riley Principal Capital II (each, a “Market Open Purchase Notice”) prior to 9:00 a.m., New York City time, on any trading day (each, a “Purchase Date”), so long as (a) the closing sale price of our Common Stock on Nasdaq on the trading day immediately prior to such Purchase Date is not less than $1.00 (the “Threshold Price”), and (b) all shares of Common Stock subject to all prior Market Open Purchases and all prior Intraday Purchases (defined below) effected by us under the Purchase Agreement (as applicable) have been received by B. Riley Principal Capital II at such time and in the manner set forth in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 share purchase price that B. Riley Principal Capital II is required to pay for shares of Common Stock in a Market Open Purchase effected by us pursuant to the Purchase Agreement, if any, will be determined by reference to the volume weighted average price of the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New York City time, on such Purchase Date or such earlier time publicly announced by the trading market as the official close of the regular trading session on such Purchase Date, (ii) such time that the total aggregate number (or volume) of shares of Common Stock traded on Nasdaq during such Market Open Purchase Valuation Period (calculated in accordance with the Purchase Agreement) reaches the applicable share volume maximum amount for such Market Open Purchase (the “Market Open Purchase Share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the Common Stock on the trading day immediately prior to the applicable Purchase Date for such purchase (the “Minimum Price Threshold”), less a fixed 3.0% discount to the VWAP for such Market Open Purchase Valuation Period (calculated in accordance with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and after the Commencement Date, in addition to Market Open Purchases described above, we will also have the right, but not the obligation, subject to the continued satisfaction of the conditions set forth in the Purchase Agreement, to direct B. Riley Principal Capital II to purchase, on any trading day that would qualify as a Purchase Date, whether or not a Market Open Purchase is effected on such Purchase Date, a specified number of shares of Common Stock (each, an “Intraday Purchase”), not to exceed the lesser of (such lesser number of shares, the “Intraday Purchase Maximum Amount”): (i) 1,000,000 shares of Common Stock and (ii) up to a certain percentage (not to exceed 25.0%), which we will specify in the applicable Intraday Purchase Notice (as defined below) for such Intraday Purchase (such specified percentage,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to be purchased by B. Riley Principal Capital II, adjusted to the extent necessary to give effect to the applicable Intraday Purchase Maximum Amount as set forth in the Purchase Agreement, the “Intraday Purchase Share Amount”), by the delivery to B. Riley Principal Capital II of an irrevocable written purchase notice for such Intraday Purchase, after 10:00 a.m., New York City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3:30 p.m., New York City time, on such Purchase Date (each, an “Intraday Purchase Notice”), so long as (i) the closing sale price of the Common Stock on Nasdaq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at such time and in the manner set forth in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 share purchase price for the shares of Common Stock that we elect to sell to B. Riley Principal Capital II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is no upper limit on the price per share that B. Riley Principal Capital II could be obligated to pay for the Common Stock we may elect to sell to it in any Market Open Purchase or any Intraday Purchase under the Purchase Agreement. 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volume or price threshold amounts in connection with any such Market Open Purchase or Intraday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minimum price thresholds.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control the timing and amount of any sales of Common Stock to B. Riley Principal Capital II that we may elect, in our sole discretion, to effect from time to time from and after the Commencement Date and during the term of the Purchase Agreement. Actual sales of shares of Common Stock to B. Riley Principal Capital II under the Purchase Agreement will depend on a variety of factors to be determined by us from time to time, including, among other things, market conditions, the trading price of the Common Stock and determinations by us as to the appropriate sources of funding for our company’s business and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applicable Nasdaq rules, in no event may we issue to B. Riley Principal Capital II under the Purchase Agreement more than 20,326,158 shares of Common Stock, which number of shares is equal to 19.99% of the number of shares of Common Stock issued and outstanding immediately prior to the execution of the Purchase Agreement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 of the Purchase Agreement, adjusted as required by Nasdaq), so that the Exchange Cap limitation will not apply to issuances and sales of Common Stock pursuant to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Securities Exchange Act of 1934, as amended (the “Exchange Act”), and Rule 13d-3 thereunder), would result in B. Riley Principal Capital II beneficially owning more than 4.99% of the outstanding shares of Common Stock (the “Beneficial Ownership Limitation”).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of Common Stock to B. Riley Principal Capital II will be used to accelerate commercialization of the South Asia smart infrastructure contract previously announced on June 30, 2025 and investment in its next-generation chip, as well as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working capital and general corporate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 Riley Principal Capital II has agreed that, during the term of the Purchase Agreement, none of B. Riley Principal Capital II, any of its officers, or any entity managed or controlled by B. Riley Principal Capital II will engage in or effect, directly or indirectly, for its own principal account or for the principal account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entity managed or controlled by B. Riley Principal Capital II, any short sales (as such term is defined in Rule 200 of Regulation SHO of the Exchange Act) of the Common Stock or hedging transaction that establishes a net short position in the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will automatically terminate on the earliest to occur of (i) the first day of the month next following the 36-month anniversary of the Commencement Date, (ii) the date on which B. Riley Principal Capital II shall have purchased from us under the Purchase Agreement shares of Common Stock for an aggregate gross purchase price of $50,000,000, (iii) the date on which the Common Stock shall have failed to be listed or quoted on Nasdaq or another U.S. national securities exchange identified as an “eligible market” in the Purchase Agreement for a period of one trading day, (iv) the 30th trading day after the date on which a voluntary or involuntary bankruptcy proceeding involving our company has been commenced that is not discharged or dismissed prior to such 30th trading day, and (v) the date on which a bankruptcy custodian is appointed for all or substantially all of our property or we make a general assignment for the benefit of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the right to terminate the Purchase Agreement at any time after Commencement, at no cost or penalty, upon 10 trading days’ prior written notice to B. Riley Principal Capital II. We and B. Riley Principal Capital II may also agree to terminate the Purchase Agreement by mutual written consent, provided that no termination of the Purchase Agreement will be effective during the pendency of any Market Open Purchase or any Intraday Purchase that has not then fully settled in accordance with the Purchase Agreement. Neither we nor B. Riley Principal Capital II may assign or transfer any of our respective rights or obligations under the Purchase Agreement or the Registration Rights Agreement, and no provision of the Purchase Agreement or the Registration Rights Agreement may be modified or waived by us or B. Riley Principal Capital II.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consideration for B. Riley Principal Capital II’s commitment to purchase shares of Common Stock at our direction upon the terms and subject to the conditions set forth in the Purchase Agreement, upon our execution of the Purchase Agreement, we (i) paid B. Riley Principal Capital II a cash commitment fee in the amount of $200,000 (the “Cash Commitment Fee”), which represents 0.4% of B. Riley Principal Capital II’s $50,000,000 total aggregate purchase commitment under the Purchase Agreement and (ii) delivered irrevocable instructions to the transfer agent to issue 83,353 shares of Common Stock (the “Commitment Shares”), which Commitment Shares have a total aggregate value equal to 0.5% of B. Riley Principal Capital II’s $50,000,000 total aggregate purchase commitment under the Purchase Agreement (assuming a value per Commitment Share of $2.9993, representing the VWAP for the five consecutive days immediately prior to signing of the Purchase Agreement, rounded to the nearest whole, to B. Riley Principal Capital II no later than 4:00 p.m. (New York City time) on the trading day immediately following the closing of the Purchase Agreement. The Cash Commitment Fee will be paid by wire transfer of immediately available funds to an account designated by B. Riley Principal Capital II on or prior to the date of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we have agreed to reimburse B. Riley Principal Capital II for the reasonable legal fees and disbursements of B. Riley Principal Capital II’s legal counsel in connection with the transactions contemplated by the Purchase Agreement and the Registration Rights Agreement in an amount not to exceed (i) $125,000 upon our execution of the Purchase Agreement and Registration Rights Agreement (the “Initial Investor Legal Fee Reimbursement Amount”) and (ii) $5,000 per fiscal quarter (the “Additional Investor Legal Fee Reimbursement Amount”) for the reasonable legal fees and disbursements of B. Riley Principal Capital II’s legal counsel in connection with quarterly and annual bring-down due diligence investigations and related matters as contemplated by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hAnsi="Times New Roman"/>
          <w:i/>
          <w:sz w:val="20"/>
          <w:bdr w:val="single" w:sz="8" w:space="1" w:color="000000"/>
        </w:rPr>
        <w:t>www.sec.gov.</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the Purchase Agreement provides that we may sell up to $50,000,000 of our Common Stock to B. Riley Principal Capital II, only 20,242,805 Purchase Shares (in addition to the 83,353 Commitment Shares, for which we 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together with our payment of the Cash Commitment Fee, to B. Riley Principal Capital II upon execution of the Purchase Agreement on July 14,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BRPC Shares ultimately offered for resale by B. Riley Principal Capital II through this prospectus is dependent upon the number of shares of Common Stock, if any, we elect to issue and/or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Sales Partner Referral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30, 2025, Legacy Blaize entered into a Sales Partner Referral Agreement (the “Referral Agreement”) with Burkhan LLC (the “Sales Partner”), an affiliate of Burkhan Capital LLC (“Burkhan”).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Referral Agreement, the Sales Partner will, on a non-exclusive basis, promote certain Company products and refer potential customers to Legacy Blaize. Legacy Blaize may approve or reject any customer opportunity presented by the Sales Partner in its sole discretion. For any approved customer opportunity, Legacy Blaize and Sales Partner will negotiate in good faith on commissions payable to the Sales Partner.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Referral Agreement has an initial approved customer of BurTech Systems Tech LLC (“BST”), an affiliate of Burkan, as described in the referral exhibit thereto (the “Referral Exhibit”). Under the Referral Exhibit, BST will purchase up to approximately $56.5 million of products from Legacy Blaize on behalf of an unaffiliated end user, beginning in the second quarter of 2025 through 2026. BST will receive a financing fee of 2.5% of the total purchase price from the end user and Sales Partner will receive a commission payable by Legacy Blaize of up to 10%, depending on Legacy Blaize’s gross margins under the purchase order, payable in cash and, in Legacy Blaize’s discretion, partially in Common Stock, as described in the Referral Exhibit.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terms of the Referral Agreement were reviewed and approved by the Audit Committee of the Board of Directors in accordance with the Company’s related-party transaction policy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summary of the Referral Agreement does not purport to be complete and is qualified in its entirety by reference to the full text of the Referral Agreement, a copy of which is attached as Exhibit 10.25 hereto and incorporated herein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Capital Market Advisory Engagement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11, 2025, we entered into that certain Engagement Letter, by and between the Company and Cantor Fitzgerald &amp; Co. (“Cantor Fitzgerald”), pursuant to which, among other things, the Company issued approximately 769,231 shares of Common Stock to Cantor Fitzgerald on July 15, 2025, in consideration for acting as the Company’s capital markets advisor. The Engagement Letter entitled Cantor Fitzgerald to shelf registration rights with respect to such shares of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business is subject to a number of risks of which you should be aware before making an investment decision. In particular, you should consider the risk factors described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15. Such risks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we may not be able to generate sufficient revenue to achieve and sustain profitability.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automotive OEMs (as defined below) and Tier-1 suppliers are long-term in nature and we will not receive legally binding purchase order commitments until we deliver our auto-grade chip.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revenue and operating results will be harmed if we are unable to acquire new customers, retain existing customers or expand sales to our existing customers. </w:t>
            </w:r>
          </w:p>
        </w:tc>
      </w:tr>
    </w:tbl>
    <w:p>
      <w:pPr>
        <w:pStyle w:val="TextBody"/>
        <w:bidi w:val="0"/>
        <w:spacing w:before="0" w:after="0"/>
        <w:jc w:val="left"/>
        <w:rPr>
          <w:bdr w:val="single" w:sz="8" w:space="1" w:color="000000"/>
        </w:rPr>
      </w:pPr>
      <w:r>
        <w:rPr>
          <w:bdr w:val="single" w:sz="8" w:space="1" w:color="000000"/>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implement our growth strategy on a timely basis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effectively develop and expand our marketing and sales capabilities could harm our ability to increase our customer base and achieve broader market acceptance of our platform and products.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timely supply of materials sourced from a limited number of suppliers, and are directly impacted by unexpected delays or problems from our third-party manufacturers.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we may be unable to execute our business plan, maintain high levels of service and customer satisfaction or adequately address competitive challenges.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tc>
      </w:tr>
    </w:tbl>
    <w:p>
      <w:pPr>
        <w:pStyle w:val="TextBody"/>
        <w:bidi w:val="0"/>
        <w:spacing w:before="0" w:after="0"/>
        <w:jc w:val="left"/>
        <w:rPr>
          <w:bdr w:val="single" w:sz="8" w:space="1" w:color="000000"/>
        </w:rPr>
      </w:pPr>
      <w:r>
        <w:rPr>
          <w:bdr w:val="single" w:sz="8" w:space="1" w:color="000000"/>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reduce or change our pricing model to remain competitive.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adapt and respond effectively to rapidly changing technology, evolving industry standards, and changing customer needs or preferences, our platform and products may become less competitive.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our senior management team and the loss of one or more key employees or an inability to attract and retain highly skilled employees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software or hardware contains serious errors or defects, we may lose revenue and market acceptance and may incur costs to defend or settle claims with our customers. </w:t>
            </w:r>
          </w:p>
        </w:tc>
      </w:tr>
    </w:tbl>
    <w:p>
      <w:pPr>
        <w:pStyle w:val="TextBody"/>
        <w:bidi w:val="0"/>
        <w:spacing w:before="0" w:after="0"/>
        <w:jc w:val="left"/>
        <w:rPr>
          <w:bdr w:val="single" w:sz="8" w:space="1" w:color="000000"/>
        </w:rPr>
      </w:pPr>
      <w:r>
        <w:rPr>
          <w:bdr w:val="single" w:sz="8" w:space="1" w:color="000000"/>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growth depends in part on the success of our strategic relationships with third parties.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option to present only two years of audited financial statements and only two years of related “</w:t>
            </w:r>
            <w:r>
              <w:rPr>
                <w:rFonts w:ascii="Times New Roman" w:hAnsi="Times New Roman"/>
                <w:i/>
                <w:sz w:val="20"/>
              </w:rPr>
              <w:t>Management’s Discussion and Analysis of Financial Condition and Results of Operations</w:t>
            </w:r>
            <w:r>
              <w:rPr>
                <w:rFonts w:ascii="Times New Roman" w:hAnsi="Times New Roman"/>
                <w:sz w:val="20"/>
              </w:rPr>
              <w:t xml:space="preserve">” in this 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Nasdaq under the symbol “BZAI.” Our principal executive offices are located at 4659 Golden Foothill Parkway in El Dorado Hills, California, 95762, and our telephone number is (916) 347-0050. Our website address is </w:t>
      </w:r>
      <w:r>
        <w:rPr>
          <w:rFonts w:ascii="Times New Roman" w:hAnsi="Times New Roman"/>
          <w:i/>
          <w:sz w:val="20"/>
          <w:bdr w:val="single" w:sz="8" w:space="1" w:color="000000"/>
        </w:rPr>
        <w:t>www.blaize.com</w:t>
      </w:r>
      <w:r>
        <w:rPr>
          <w:rFonts w:ascii="Times New Roman" w:hAnsi="Times New Roman"/>
          <w:sz w:val="20"/>
          <w:bdr w:val="single" w:sz="8" w:space="1" w:color="000000"/>
        </w:rPr>
        <w:t xml:space="preserve">. The information contained in, or accessible through, our website does not constitute a part of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2650" w:type="dxa"/>
        <w:jc w:val="left"/>
        <w:tblInd w:w="0" w:type="dxa"/>
        <w:tblLayout w:type="fixed"/>
        <w:tblCellMar>
          <w:top w:w="0" w:type="dxa"/>
          <w:left w:w="0" w:type="dxa"/>
          <w:bottom w:w="0" w:type="dxa"/>
          <w:right w:w="0" w:type="dxa"/>
        </w:tblCellMar>
      </w:tblPr>
      <w:tblGrid>
        <w:gridCol w:w="545"/>
        <w:gridCol w:w="2105"/>
      </w:tblGrid>
      <w:tr>
        <w:trPr/>
        <w:tc>
          <w:tcPr>
            <w:tcW w:w="54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2105" w:type="dxa"/>
            <w:tcBorders/>
            <w:vAlign w:val="center"/>
          </w:tcPr>
          <w:p>
            <w:pPr>
              <w:pStyle w:val="TableContents"/>
              <w:bidi w:val="0"/>
              <w:spacing w:before="0" w:after="283"/>
              <w:jc w:val="left"/>
              <w:rPr/>
            </w:pPr>
            <w:r>
              <w:rPr/>
              <w:t xml:space="preserve">Blaize Holdings, Inc.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77"/>
        <w:gridCol w:w="8128"/>
      </w:tblGrid>
      <w:tr>
        <w:trPr/>
        <w:tc>
          <w:tcPr>
            <w:tcW w:w="2077"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 </w:t>
            </w:r>
          </w:p>
        </w:tc>
        <w:tc>
          <w:tcPr>
            <w:tcW w:w="8128" w:type="dxa"/>
            <w:tcBorders/>
            <w:vAlign w:val="center"/>
          </w:tcPr>
          <w:p>
            <w:pPr>
              <w:pStyle w:val="TableContents"/>
              <w:bidi w:val="0"/>
              <w:spacing w:before="0" w:after="283"/>
              <w:jc w:val="left"/>
              <w:rPr/>
            </w:pPr>
            <w:r>
              <w:rPr/>
              <w:t xml:space="preserve">Up to 20,326,158 shares of Common Stock that we may elect, in our sole discretion, to issue and sell to B. Riley Principal Capital II, from time to time from and after the Commencement Date under the Purchase Agreement. </w:t>
            </w:r>
          </w:p>
        </w:tc>
      </w:tr>
    </w:tbl>
    <w:p>
      <w:pPr>
        <w:pStyle w:val="TextBody"/>
        <w:bidi w:val="0"/>
        <w:spacing w:before="0" w:after="0"/>
        <w:jc w:val="left"/>
        <w:rPr>
          <w:bdr w:val="single" w:sz="8" w:space="1" w:color="000000"/>
        </w:rPr>
      </w:pPr>
      <w:r>
        <w:rPr>
          <w:bdr w:val="single" w:sz="8" w:space="1" w:color="000000"/>
        </w:rPr>
        <w:t> </w:t>
      </w:r>
    </w:p>
    <w:tbl>
      <w:tblPr>
        <w:tblW w:w="9655" w:type="dxa"/>
        <w:jc w:val="left"/>
        <w:tblInd w:w="0" w:type="dxa"/>
        <w:tblLayout w:type="fixed"/>
        <w:tblCellMar>
          <w:top w:w="0" w:type="dxa"/>
          <w:left w:w="0" w:type="dxa"/>
          <w:bottom w:w="0" w:type="dxa"/>
          <w:right w:w="0" w:type="dxa"/>
        </w:tblCellMar>
      </w:tblPr>
      <w:tblGrid>
        <w:gridCol w:w="3680"/>
        <w:gridCol w:w="5975"/>
      </w:tblGrid>
      <w:tr>
        <w:trPr/>
        <w:tc>
          <w:tcPr>
            <w:tcW w:w="368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Cantor Fitzgerald </w:t>
            </w:r>
          </w:p>
        </w:tc>
        <w:tc>
          <w:tcPr>
            <w:tcW w:w="5975" w:type="dxa"/>
            <w:tcBorders/>
            <w:vAlign w:val="center"/>
          </w:tcPr>
          <w:p>
            <w:pPr>
              <w:pStyle w:val="TableContents"/>
              <w:bidi w:val="0"/>
              <w:spacing w:before="0" w:after="283"/>
              <w:jc w:val="left"/>
              <w:rPr/>
            </w:pPr>
            <w:r>
              <w:rPr/>
              <w:t xml:space="preserve">769,231 shares of Common Stock issued to Cantor Fitzgerald.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90"/>
        <w:gridCol w:w="8915"/>
      </w:tblGrid>
      <w:tr>
        <w:trPr/>
        <w:tc>
          <w:tcPr>
            <w:tcW w:w="129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Terms of the Offering </w:t>
            </w:r>
          </w:p>
        </w:tc>
        <w:tc>
          <w:tcPr>
            <w:tcW w:w="8915" w:type="dxa"/>
            <w:tcBorders/>
            <w:vAlign w:val="center"/>
          </w:tcPr>
          <w:p>
            <w:pPr>
              <w:pStyle w:val="TableContents"/>
              <w:bidi w:val="0"/>
              <w:spacing w:before="0" w:after="283"/>
              <w:jc w:val="left"/>
              <w:rPr/>
            </w:pPr>
            <w:r>
              <w:rPr/>
              <w:t xml:space="preserve">Each Selling Securityholder, as applicable, will determine when and how it will dispose of any shares of Common Stock registered under this prospectus for resale.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04"/>
        <w:gridCol w:w="9401"/>
      </w:tblGrid>
      <w:tr>
        <w:trPr/>
        <w:tc>
          <w:tcPr>
            <w:tcW w:w="80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401" w:type="dxa"/>
            <w:tcBorders/>
            <w:vAlign w:val="center"/>
          </w:tcPr>
          <w:p>
            <w:pPr>
              <w:pStyle w:val="TableContents"/>
              <w:bidi w:val="0"/>
              <w:spacing w:before="0" w:after="283"/>
              <w:jc w:val="left"/>
              <w:rPr/>
            </w:pPr>
            <w:r>
              <w:rPr/>
              <w:t>We will not receive any proceeds from any sale of Common Stock by the Selling Stockholder. However, we may receive up to $50,000,000 in aggregate gross proceeds from the Selling Stockholder under the Purchase Agreement in connection with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Common Stock are sold. We intend to use any proceeds from the committed equity facility (the “Facility”) to accelerate commercialization of the South Asia smart infrastructure contract previously announced on June 30, 2025 and investment in its next-generation chip, as well as for working capital and general corporate purposes. We will not receive any proceeds from the sale of any Common Stock by Cantor Fitzgerald.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31"/>
        <w:gridCol w:w="9274"/>
      </w:tblGrid>
      <w:tr>
        <w:trPr/>
        <w:tc>
          <w:tcPr>
            <w:tcW w:w="93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Conflict of Interest </w:t>
            </w:r>
          </w:p>
        </w:tc>
        <w:tc>
          <w:tcPr>
            <w:tcW w:w="9274" w:type="dxa"/>
            <w:tcBorders/>
            <w:vAlign w:val="center"/>
          </w:tcPr>
          <w:p>
            <w:pPr>
              <w:pStyle w:val="TableContents"/>
              <w:bidi w:val="0"/>
              <w:spacing w:before="0" w:after="283"/>
              <w:jc w:val="left"/>
              <w:rPr/>
            </w:pPr>
            <w:r>
              <w:rPr/>
              <w:t xml:space="preserve">B. Riley Principal Capital II, LLC is an affiliate of B. Riley Securities, Inc. (“BRS”), a registered broker-dealer and FINRA member. BRS will act as an executing broker that will effectuate resales of BRPC Shares that have been and may be acquired by B. Riley Principal Capital II from us pursuant to the Purchase Agreement to the public in this offering.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Because B. Riley Principal Capital II will receive all the net proceeds from such resales of BRPC Shares made to the public through BRS, BRS is deemed to have a “conflict of interest” within the meaning of Financial Industry Regulatory Authority, Inc. (“FINRA”) Rule 5121.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In accordance with FINRA Rule 5121, BRS is not permitted to sell shares of our Common Stock in this offering to an account over which it exercises discretionary authority without the prior specific written approval of the account holder. See “</w:t>
            </w:r>
            <w:r>
              <w:rPr>
                <w:i/>
              </w:rPr>
              <w:t>Plan of Distribution (Conflict of Interest) – Offer and Resale of Common Stock by the Selling Stockholder</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9393" w:type="dxa"/>
            <w:tcBorders/>
            <w:vAlign w:val="center"/>
          </w:tcPr>
          <w:p>
            <w:pPr>
              <w:pStyle w:val="TableContents"/>
              <w:bidi w:val="0"/>
              <w:spacing w:before="0" w:after="283"/>
              <w:jc w:val="left"/>
              <w:rPr/>
            </w:pPr>
            <w:r>
              <w:rPr/>
              <w:t>See “</w:t>
            </w:r>
            <w:r>
              <w:rPr>
                <w:i/>
              </w:rPr>
              <w:t>Risk Factors</w:t>
            </w:r>
            <w:r>
              <w:rPr/>
              <w:t xml:space="preserve">” beginning on page 15 and other information included in this prospectus for a discussion of factors you should carefully consider before deciding to invest in the securities being offered by this prospectus. </w:t>
            </w:r>
          </w:p>
        </w:tc>
      </w:tr>
    </w:tbl>
    <w:p>
      <w:pPr>
        <w:pStyle w:val="TextBody"/>
        <w:bidi w:val="0"/>
        <w:spacing w:before="0" w:after="0"/>
        <w:jc w:val="left"/>
        <w:rPr>
          <w:bdr w:val="single" w:sz="8" w:space="1" w:color="000000"/>
        </w:rPr>
      </w:pPr>
      <w:r>
        <w:rPr>
          <w:bdr w:val="single" w:sz="8" w:space="1" w:color="000000"/>
        </w:rPr>
        <w:t> </w:t>
      </w:r>
    </w:p>
    <w:tbl>
      <w:tblPr>
        <w:tblW w:w="8905" w:type="dxa"/>
        <w:jc w:val="left"/>
        <w:tblInd w:w="0" w:type="dxa"/>
        <w:tblLayout w:type="fixed"/>
        <w:tblCellMar>
          <w:top w:w="0" w:type="dxa"/>
          <w:left w:w="0" w:type="dxa"/>
          <w:bottom w:w="0" w:type="dxa"/>
          <w:right w:w="0" w:type="dxa"/>
        </w:tblCellMar>
      </w:tblPr>
      <w:tblGrid>
        <w:gridCol w:w="1400"/>
        <w:gridCol w:w="7505"/>
      </w:tblGrid>
      <w:tr>
        <w:trPr/>
        <w:tc>
          <w:tcPr>
            <w:tcW w:w="140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Trading Symbol </w:t>
            </w:r>
          </w:p>
        </w:tc>
        <w:tc>
          <w:tcPr>
            <w:tcW w:w="7505" w:type="dxa"/>
            <w:tcBorders/>
            <w:vAlign w:val="center"/>
          </w:tcPr>
          <w:p>
            <w:pPr>
              <w:pStyle w:val="TableContents"/>
              <w:bidi w:val="0"/>
              <w:spacing w:before="0" w:after="283"/>
              <w:jc w:val="left"/>
              <w:rPr/>
            </w:pPr>
            <w:r>
              <w:rPr/>
              <w:t xml:space="preserve">Our Common Stock is listed and traded on Nasdaq under the symbol “BZAI.”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concerning the offering, see “</w:t>
      </w:r>
      <w:r>
        <w:rPr>
          <w:rFonts w:ascii="Times New Roman" w:hAnsi="Times New Roman"/>
          <w:i/>
          <w:sz w:val="20"/>
          <w:bdr w:val="single" w:sz="8" w:space="1" w:color="000000"/>
        </w:rPr>
        <w:t>Plan of Distribution (Conflict of Interest</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94459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prospectus also contains forward-looking statements that are subject to risks and uncertainties. See “Cautionary Note Regarding Forward-Looking Statements.” Our actual results could differ materially and adversely from those anticipated in these forward-looking statements as a result of certain factors, including those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Committed Equity Facility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Common Stock, if any, we will sell under the Purchase Agreement to B. Riley Principal Capital II, or the actual gross proceeds resulting from those sales. </w:t>
      </w:r>
    </w:p>
    <w:p>
      <w:pPr>
        <w:pStyle w:val="TextBody"/>
        <w:bidi w:val="0"/>
        <w:spacing w:before="120" w:after="0"/>
        <w:jc w:val="left"/>
        <w:rPr>
          <w:rFonts w:ascii="Times New Roman" w:hAnsi="Times New Roman"/>
          <w:sz w:val="20"/>
        </w:rPr>
      </w:pPr>
      <w:r>
        <w:rPr>
          <w:rFonts w:ascii="Times New Roman" w:hAnsi="Times New Roman"/>
          <w:sz w:val="20"/>
        </w:rPr>
        <w:t xml:space="preserve">On July 14, 2025, we entered into the Purchase Agreement with B. Riley Principal Capital II, pursuant to which B. Riley Principal Capital II has committed to purchase up to $50,000,000 of shares of our Common Stock, subject to certain limitations and conditions set forth in the Purchase Agreement. The shares of our Common Stock that may be issued under the Purchase Agreement may be sold by us to B. Riley Principal Capital II at our discretion from time to time for a period of up to 36 months (unless the Purchase Agreement is earlier terminated) beginning on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control the timing and amount of any sales of our shares of Common Stock to B. Riley Principal Capital II under the Purchase Agreement.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it is not possible for us to predict the number of shares of Common Stock that we will sell to B. Riley Principal Capital II as Purchase Shares under the Purchase Agreement, the purchase price per share that B. Riley Principal Capital II will pay for Purchase Shares purchased from us under the Purchase Agreement, or the aggregate gross proceeds that we will receive from those purchases by B. Riley Principal Capital II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Although the Purchase Agreement provides that we may sell up to an aggregate of $50,000,000 of our Common Stock to B. Riley Principal Capital II, only 20,326,158 BRPC Shares are being registered under the Securities Act for resale by B. Riley Principal Capital II under the registration statement that includes this prospectus, which include the 83,353 Commitment Shares that we issued, together with our payment of the Cash Commitment Fee, to B. Riley Principal Capital II upon our execution of the Purchase Agreement on July 14, 2025, as consideration for its commitment to purchase shares of our Common Stock at our direction from time to time under the Purchase Agreement. If it becomes necessary for us to issue and sell to B. Riley Principal Capital II under the Purchase Agreement more than the 20,242,805 Purchase Shares being registered under the Securities Act for resale by B. Riley Principal Capital II under the registration statement that includes this prospectus in order to receive aggregate gross proceeds equal to $50,000,000 under the Purchase Agreement, we must first (i) obtain stockholder approval to issue shares of Common Stock in excess of the Exchange Cap under the Purchase Agreement in accordance with applicable Nasdaq rules, unless the average price for all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the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 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and issuance of our Common Stock to the Selling Stockholder will cause dilution to our existing stockholders, and the sale of BRPC Shares acquired by the Selling Stockholder, or the perception that such sales may occur, could cause the price of our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for the shares that we may sell to the Selling Stockholder under the Purchase Agreement will fluctuate based on the price of our Common Stock. Depending on a number of factors, including market liquidity, sales of such shares may cause the trading price of our Common Stock to fall.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resell all, some, or none of shares that we sell to the Selling Stockholder subsequent to the date of this prospectus at its discretion, subject to the terms of the Purchase Agreement. Therefore, sales to the Selling Stockholder by us could result in dilution to the interests of other holders of our Common Stock. Additionally, the sale of a substantial number of shares of our Common Stock to the Selling Stockholder, or the anticipation of such sales, could make it more difficult for us to sell equity or equity-related securities in the future at a desirable time and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BRPC Shares from the Selling Stockholder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will have discretion, subject to market demand, to vary the timing, price and number of shares of Common Stock sold to B. Riley Principal Capital II. If and when we elect to sell Common Stock to B. Riley Principal Capital II pursuant to the Purchase Agreement, after B. Riley Principal Capital II has acquired BRPC Shares, B. Riley Principal Capital II may resell all, some or none of such shares at any time or from time to time in its sole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the net proceeds from sales of shares of our Common Stock made pursuant to the Purchase Agreement, if any, in ways with which you may not agree or in ways which may not yield a significant return. </w:t>
      </w:r>
    </w:p>
    <w:p>
      <w:pPr>
        <w:pStyle w:val="TextBody"/>
        <w:bidi w:val="0"/>
        <w:spacing w:before="120" w:after="0"/>
        <w:jc w:val="left"/>
        <w:rPr>
          <w:rFonts w:ascii="Times New Roman" w:hAnsi="Times New Roman"/>
          <w:sz w:val="20"/>
        </w:rPr>
      </w:pPr>
      <w:r>
        <w:rPr>
          <w:rFonts w:ascii="Times New Roman" w:hAnsi="Times New Roman"/>
          <w:sz w:val="20"/>
        </w:rPr>
        <w:t>We will have broad discretion over the use of the net proceeds from sales of shares of our Common Stock made pursuant to the Purchase Agreement, if any, including for any of the purposes described in the section entitled “</w:t>
      </w:r>
      <w:r>
        <w:rPr>
          <w:rFonts w:ascii="Times New Roman" w:hAnsi="Times New Roman"/>
          <w:i/>
          <w:sz w:val="20"/>
        </w:rPr>
        <w:t>Use of Proceeds</w:t>
      </w:r>
      <w:r>
        <w:rPr>
          <w:rFonts w:ascii="Times New Roman" w:hAnsi="Times New Roman"/>
          <w:sz w:val="20"/>
        </w:rPr>
        <w:t xml:space="preserve">,” and you will not have the opportunity, as part of your investment decision, to assess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proceeds are being used appropriately. However, we have not determined the specific allocation of any net proceeds among these potential uses, and the ultimate use of the net proceeds may vary from the currently intended uses. The net proceeds may be used for corporate purposes that do not increase our operating results or enhance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operating losses, and we may not be able to generate sufficient revenue to achieve and sustain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not yet achieved profitability. During the years ended December 31, 2024 and 2023, we incurred operating losses of $47.6 million and $38.5 million, respectively, and used cash in operating activities of $53.5 million and $28.0 million, respectively. As of December 31, 2024, we had an accumulated deficit of $429.3 million. In recent periods, our revenue growth has been attributed to engineering services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recent growth rates may not be indicative of our future growth. </w:t>
      </w:r>
    </w:p>
    <w:p>
      <w:pPr>
        <w:pStyle w:val="TextBody"/>
        <w:bidi w:val="0"/>
        <w:spacing w:before="120" w:after="0"/>
        <w:jc w:val="left"/>
        <w:rPr>
          <w:rFonts w:ascii="Times New Roman" w:hAnsi="Times New Roman"/>
          <w:sz w:val="20"/>
        </w:rPr>
      </w:pPr>
      <w:r>
        <w:rPr>
          <w:rFonts w:ascii="Times New Roman" w:hAnsi="Times New Roman"/>
          <w:sz w:val="20"/>
        </w:rPr>
        <w:t xml:space="preserve">Our prior years revenue has largely consisted of engineering services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2025/2026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eco-system of partners for hardware and software solutions;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new customers and retain and increase sales to existing customers;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and expand our relationships with our customers;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 our existing platform and products, introduce new functionality to our platform and develop new products;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into new market segments and internationally;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secure long-term revenue commitments from automotive Original Equipment Manufacturers (“OEMs”) and Tier-1 suppliers.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accomplish any of these objectives and, as a result, it is difficult for us to forecast our future revenue or revenue growth. If our assumptions are incorrect or change in reaction to changes in our market, or if we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unable to maintain consistent revenue or revenue growth, our stock price could be volatile, and it may be difficult to achieve and maintain profitability. You should not rely on our revenue for any prior periods as any indication of our future revenue or revenue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independent registered public accounting firm’s report contains an explanatory paragraph that expresses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has included in its report for the year ended December 31, 2024 an explanatory paragraph expressing substantial doubt about our ability to continue as a going concern. Our consolidated financial statements have been prepared on a going concern basis as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These factors raise substantial doubt about our ability to continue as a going concern. If we cannot continue as a viable entity, this could materially adversely affect the value of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partnerships with certain automotive OEMs and Tier-1 suppliers are long-term in nature and we will not receive firm purchase order commitments until we deliver our auto-grade chip. </w:t>
      </w:r>
    </w:p>
    <w:p>
      <w:pPr>
        <w:pStyle w:val="TextBody"/>
        <w:bidi w:val="0"/>
        <w:spacing w:before="120" w:after="0"/>
        <w:jc w:val="left"/>
        <w:rPr>
          <w:rFonts w:ascii="Times New Roman" w:hAnsi="Times New Roman"/>
          <w:sz w:val="20"/>
        </w:rPr>
      </w:pPr>
      <w:r>
        <w:rPr>
          <w:rFonts w:ascii="Times New Roman" w:hAnsi="Times New Roman"/>
          <w:sz w:val="20"/>
        </w:rPr>
        <w:t xml:space="preserve">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Mercedes-Benz North America Corporation (“Mercedes-Benz”), and their partner vendors to evaluate their requirements for an advanced L4 platform for which we have concluded a phase 1 evaluation.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near the end of the decade. Our partnership with our main Tier-1 supplier, DENSO Corporation (“DENSO”) continues with projects centered around Blaize’s software and hardware offerings.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near the end of the decade and we anticipate recognizing revenues from these potential future partnerships with automotive OEMs and Tier-1 and Tier-2 partners.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including Mercedes-Benz and DENSO,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choose to adopt competing technologies. If this occurs, it will be extremely difficult to retain our specialist automotive skills and there is a high risk of losing that expertise altogether.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revenue and operating results will be harmed if we are unable to acquire new customers, retain existing customers, expand sales to our existing customers, terminate existing customer or partnership contracts or expand sales to our existing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implement our growth strategy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profitability and cash flows depend upon our ability to successfully implement our growth strategy, which, in turn, is dependent upon a number of factors, including our ability to: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 our current customer base;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110"/>
        <w:gridCol w:w="60"/>
        <w:gridCol w:w="1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new customers;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scale our business model;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customer location footprint;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ensure a consistent and timely supply chain;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presence within verticals;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innovate our product offerings; and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selectively pursue strategic and value-enhancing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increase our customer base and achieve broader market acceptance of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sales cycle with large enterprise customers can be long and unpredictable, and our sales efforts require considerable time and expense. </w:t>
      </w:r>
    </w:p>
    <w:p>
      <w:pPr>
        <w:pStyle w:val="TextBody"/>
        <w:bidi w:val="0"/>
        <w:spacing w:before="120" w:after="0"/>
        <w:jc w:val="left"/>
        <w:rPr>
          <w:rFonts w:ascii="Times New Roman" w:hAnsi="Times New Roman"/>
          <w:sz w:val="20"/>
        </w:rPr>
      </w:pPr>
      <w:r>
        <w:rPr>
          <w:rFonts w:ascii="Times New Roman" w:hAnsi="Times New Roman"/>
          <w:sz w:val="20"/>
        </w:rPr>
        <w:t xml:space="preserve">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 </w:t>
      </w:r>
    </w:p>
    <w:p>
      <w:pPr>
        <w:pStyle w:val="TextBody"/>
        <w:bidi w:val="0"/>
        <w:spacing w:before="240" w:after="0"/>
        <w:jc w:val="left"/>
        <w:rPr>
          <w:rFonts w:ascii="Times New Roman" w:hAnsi="Times New Roman"/>
          <w:sz w:val="20"/>
        </w:rPr>
      </w:pPr>
      <w:r>
        <w:rPr>
          <w:rFonts w:ascii="Times New Roman" w:hAnsi="Times New Roman"/>
          <w:sz w:val="20"/>
        </w:rPr>
        <w:t xml:space="preserve">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force as we hire and train our new salespeople to sell to large enterprise customers;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discretionary nature of purchasing and budget cycles and decisions;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obstacles placed by customers’ procurement process;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other factors impacting customer budgets;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integration complexity;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familiarity with edge computing solutions;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evaluation of competing products during the purchasing process;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evolving customer demands;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adoption and implementation of regulations that affect our ability to obtain customers in certain regions of the world outside of the United States;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adoption and implementation of regulations within the United States that impose supply chain and manufacturing location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or grow our brand recognition, our ability to expand our customer base will be impaired and our financial condition may suffer. </w:t>
      </w:r>
    </w:p>
    <w:p>
      <w:pPr>
        <w:pStyle w:val="TextBody"/>
        <w:bidi w:val="0"/>
        <w:spacing w:before="120" w:after="0"/>
        <w:jc w:val="left"/>
        <w:rPr>
          <w:rFonts w:ascii="Times New Roman" w:hAnsi="Times New Roman"/>
          <w:sz w:val="20"/>
        </w:rPr>
      </w:pPr>
      <w:r>
        <w:rPr>
          <w:rFonts w:ascii="Times New Roman" w:hAnsi="Times New Roman"/>
          <w:sz w:val="20"/>
        </w:rPr>
        <w:t xml:space="preserve">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offer high quality support, our business and reputation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hire technical support staff in a timely manner, whether due to market conditions or our own budget constraints, would also affect the quality of support for our customers and partners and could potentially result in business and reputational harms.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timely supply of materials sourced from a limited number of suppliers, and are directly impacted by unexpected delays or problems from our third-party manufacturers. </w:t>
      </w:r>
    </w:p>
    <w:p>
      <w:pPr>
        <w:pStyle w:val="TextBody"/>
        <w:bidi w:val="0"/>
        <w:spacing w:before="120" w:after="0"/>
        <w:jc w:val="left"/>
        <w:rPr>
          <w:rFonts w:ascii="Times New Roman" w:hAnsi="Times New Roman"/>
          <w:sz w:val="20"/>
        </w:rPr>
      </w:pPr>
      <w:r>
        <w:rPr>
          <w:rFonts w:ascii="Times New Roman" w:hAnsi="Times New Roman"/>
          <w:sz w:val="20"/>
        </w:rPr>
        <w:t xml:space="preserve">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retain our key personnel or if we fail to attract additional qualified personnel, we may not be able to achieve our anticipated level of growth and our business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conditions could materially adversely affect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Macroeconomic conditions, such as persistent inflation, changes to monetary policy, high interest rates, volatile currency exchange rates, credit and debt concerns, decreasing consumer confidence and spending,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 </w:t>
      </w:r>
    </w:p>
    <w:p>
      <w:pPr>
        <w:pStyle w:val="TextBody"/>
        <w:bidi w:val="0"/>
        <w:spacing w:before="240" w:after="0"/>
        <w:jc w:val="left"/>
        <w:rPr>
          <w:rFonts w:ascii="Times New Roman" w:hAnsi="Times New Roman"/>
          <w:sz w:val="20"/>
        </w:rPr>
      </w:pPr>
      <w:r>
        <w:rPr>
          <w:rFonts w:ascii="Times New Roman" w:hAnsi="Times New Roman"/>
          <w:sz w:val="20"/>
        </w:rPr>
        <w:t xml:space="preserve">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manufacturers, including Samsung Foundry and Plexus, for producing our products, and in the event of a disruption in our supply chain, any efforts to develop alternative supply sources may not be successful or may take longer to take effect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manufacturer’s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manufacturer’s variation in a component;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with our manufacturers;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its suppliers’ prioritizing other customer orders over ours;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damage to our reputation caused by defective products produced by our suppliers;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our suppliers due to changes in demand from our or their other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interruptions, shortages, delivery delays and potential discontinuation of supply as a result of any recurrence of pandemics such as COVID-19, or other reasons outside our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political, legal and economic changes, crises or instability and civil unrest in the jurisdictions where our manufacturers’ plants are located, such as changes in China-Taiwan relations that may adversely affect our manufacturers’ and suppliers’ operations;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currency conversion risks and exchange rate fluctuations; and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requirements of U.S. customs and international trade regulations.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successful in driving the global deployment and customer adoption of digital offerings characterized by digital applications and solutions.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the utility, compatibility, and performance of our cloud, edge, AI and software solutions (including the reliability of our third-party software vendors, network and cloud providers) on a growing array of medical devices, software and equipment;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attractiveness of our solutions to our customers in the face of increasing competition from a significant number of existing and new entrants in the market, while ensuring these solutions meet their reliability and security expectations;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lasting relationships with key server and edge-AI box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ensuring these solutions meet regulatory requirements in a fast-moving space disrupted by changing regulations around data privacy and the need for innovation, including obtaining marketing authorizations when required; and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adapting to ever-changing geopolitical regulations on advanced technologies, including AI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manage our growth effectively, we may be unable to execute our business plan, maintain high levels of service and customer satisfaction or adequately address competitive challenges. </w:t>
      </w:r>
    </w:p>
    <w:p>
      <w:pPr>
        <w:pStyle w:val="TextBody"/>
        <w:bidi w:val="0"/>
        <w:spacing w:before="120" w:after="0"/>
        <w:jc w:val="left"/>
        <w:rPr>
          <w:rFonts w:ascii="Times New Roman" w:hAnsi="Times New Roman"/>
          <w:sz w:val="20"/>
        </w:rPr>
      </w:pPr>
      <w:r>
        <w:rPr>
          <w:rFonts w:ascii="Times New Roman" w:hAnsi="Times New Roman"/>
          <w:sz w:val="20"/>
        </w:rPr>
        <w:t xml:space="preserve">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or invest in companies, which may divert our management’s attention and result in additional dilution to our stockholders. We may be unable to integrate acquired businesses and technologies successfully or achieve the expected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 </w:t>
      </w:r>
    </w:p>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equity securities that would dilute our stockholders;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cash that we may need in the future to operate our business;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debt on terms unfavorable to us or that we are unable to repay;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large charges or substantial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encounter difficulties retaining key employees of the acquired company or integrating diverse software codes or business cultures; and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become subject to adverse tax consequences, substantial depreciation, or deferred compensation charges.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 </w:t>
      </w:r>
    </w:p>
    <w:p>
      <w:pPr>
        <w:pStyle w:val="TextBody"/>
        <w:bidi w:val="0"/>
        <w:spacing w:before="240" w:after="0"/>
        <w:jc w:val="left"/>
        <w:rPr>
          <w:rFonts w:ascii="Times New Roman" w:hAnsi="Times New Roman"/>
          <w:sz w:val="20"/>
        </w:rPr>
      </w:pPr>
      <w:r>
        <w:rPr>
          <w:rFonts w:ascii="Times New Roman" w:hAnsi="Times New Roman"/>
          <w:sz w:val="20"/>
        </w:rPr>
        <w:t xml:space="preserve">However, significant investment is needed to develop cutting-edge technologies and products, and some of our competitors may have greater resources than us. If these competitors ramp up their research and development and marketing efforts, we may struggle to compete effectively.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 </w:t>
      </w:r>
    </w:p>
    <w:p>
      <w:pPr>
        <w:pStyle w:val="TextBody"/>
        <w:bidi w:val="0"/>
        <w:spacing w:before="240" w:after="0"/>
        <w:jc w:val="left"/>
        <w:rPr>
          <w:rFonts w:ascii="Times New Roman" w:hAnsi="Times New Roman"/>
          <w:sz w:val="20"/>
        </w:rPr>
      </w:pPr>
      <w:r>
        <w:rPr>
          <w:rFonts w:ascii="Times New Roman" w:hAnsi="Times New Roman"/>
          <w:sz w:val="20"/>
        </w:rPr>
        <w:t xml:space="preserve">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reduce or change our pricing model to remain competitive. </w:t>
      </w:r>
    </w:p>
    <w:p>
      <w:pPr>
        <w:pStyle w:val="TextBody"/>
        <w:bidi w:val="0"/>
        <w:spacing w:before="120" w:after="0"/>
        <w:jc w:val="left"/>
        <w:rPr>
          <w:rFonts w:ascii="Times New Roman" w:hAnsi="Times New Roman"/>
          <w:sz w:val="20"/>
        </w:rPr>
      </w:pPr>
      <w:r>
        <w:rPr>
          <w:rFonts w:ascii="Times New Roman" w:hAnsi="Times New Roman"/>
          <w:sz w:val="20"/>
        </w:rPr>
        <w:t xml:space="preserve">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adapt and respond effectively to rapidly changing technology, evolving industry standards, and changing customer needs or preferences, our platform and products may become less competitive. </w:t>
      </w:r>
    </w:p>
    <w:p>
      <w:pPr>
        <w:pStyle w:val="TextBody"/>
        <w:bidi w:val="0"/>
        <w:spacing w:before="120" w:after="0"/>
        <w:jc w:val="left"/>
        <w:rPr>
          <w:rFonts w:ascii="Times New Roman" w:hAnsi="Times New Roman"/>
          <w:sz w:val="20"/>
        </w:rPr>
      </w:pPr>
      <w:r>
        <w:rPr>
          <w:rFonts w:ascii="Times New Roman" w:hAnsi="Times New Roman"/>
          <w:sz w:val="20"/>
        </w:rPr>
        <w:t xml:space="preserve">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 </w:t>
      </w:r>
    </w:p>
    <w:p>
      <w:pPr>
        <w:pStyle w:val="TextBody"/>
        <w:bidi w:val="0"/>
        <w:spacing w:before="240" w:after="0"/>
        <w:jc w:val="left"/>
        <w:rPr>
          <w:rFonts w:ascii="Times New Roman" w:hAnsi="Times New Roman"/>
          <w:sz w:val="20"/>
        </w:rPr>
      </w:pPr>
      <w:r>
        <w:rPr>
          <w:rFonts w:ascii="Times New Roman" w:hAnsi="Times New Roman"/>
          <w:sz w:val="20"/>
        </w:rPr>
        <w:t xml:space="preserve">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 </w:t>
      </w:r>
    </w:p>
    <w:p>
      <w:pPr>
        <w:pStyle w:val="TextBody"/>
        <w:bidi w:val="0"/>
        <w:spacing w:before="240" w:after="0"/>
        <w:jc w:val="left"/>
        <w:rPr>
          <w:rFonts w:ascii="Times New Roman" w:hAnsi="Times New Roman"/>
          <w:sz w:val="20"/>
        </w:rPr>
      </w:pPr>
      <w:r>
        <w:rPr>
          <w:rFonts w:ascii="Times New Roman" w:hAnsi="Times New Roman"/>
          <w:sz w:val="20"/>
        </w:rPr>
        <w:t xml:space="preserve">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prospectus may prove to be inaccurate. Even if the market in which we compete achieves the forecasted growth,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anticipate that our operations will continue to increase in complexity as we grow, which will create management challenges.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expected to experience growth and is complex. We expect this growth would cause our operations to become increasingly complex. To manage this expected growth, we continue to make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 </w:t>
      </w:r>
    </w:p>
    <w:p>
      <w:pPr>
        <w:pStyle w:val="TextBody"/>
        <w:bidi w:val="0"/>
        <w:spacing w:before="240" w:after="0"/>
        <w:jc w:val="left"/>
        <w:rPr>
          <w:rFonts w:ascii="Times New Roman" w:hAnsi="Times New Roman"/>
          <w:sz w:val="20"/>
        </w:rPr>
      </w:pPr>
      <w:r>
        <w:rPr>
          <w:rFonts w:ascii="Times New Roman" w:hAnsi="Times New Roman"/>
          <w:sz w:val="20"/>
        </w:rPr>
        <w:t xml:space="preserve">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our senior management team and the loss of one or more key employees or an inability to attract and retain highly skilled employees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hire, retain and motivate qualified personnel, our business will suffer.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extent we hire personnel from competitors, we may be subject to allegations that they have been improperly solicited or have divulged proprietary or other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maintain our corporate culture as we grow, we could lose the innovation, teamwork, passion and focus on execution that we believe contribute to our success, and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software or hardware contains serious errors or defects, we may lose revenue and market acceptance and may incur costs to defend or settle claims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 </w:t>
      </w:r>
    </w:p>
    <w:p>
      <w:pPr>
        <w:pStyle w:val="TextBody"/>
        <w:bidi w:val="0"/>
        <w:spacing w:before="240" w:after="0"/>
        <w:jc w:val="left"/>
        <w:rPr>
          <w:rFonts w:ascii="Times New Roman" w:hAnsi="Times New Roman"/>
          <w:sz w:val="20"/>
        </w:rPr>
      </w:pPr>
      <w:r>
        <w:rPr>
          <w:rFonts w:ascii="Times New Roman" w:hAnsi="Times New Roman"/>
          <w:sz w:val="20"/>
        </w:rPr>
        <w:t xml:space="preserve">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 </w:t>
      </w:r>
    </w:p>
    <w:p>
      <w:pPr>
        <w:pStyle w:val="TextBody"/>
        <w:bidi w:val="0"/>
        <w:spacing w:before="240" w:after="0"/>
        <w:jc w:val="left"/>
        <w:rPr>
          <w:rFonts w:ascii="Times New Roman" w:hAnsi="Times New Roman"/>
          <w:sz w:val="20"/>
        </w:rPr>
      </w:pPr>
      <w:r>
        <w:rPr>
          <w:rFonts w:ascii="Times New Roman" w:hAnsi="Times New Roman"/>
          <w:sz w:val="20"/>
        </w:rPr>
        <w:t xml:space="preserve">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 </w:t>
      </w:r>
    </w:p>
    <w:p>
      <w:pPr>
        <w:pStyle w:val="TextBody"/>
        <w:bidi w:val="0"/>
        <w:spacing w:before="240" w:after="0"/>
        <w:jc w:val="left"/>
        <w:rPr>
          <w:rFonts w:ascii="Times New Roman" w:hAnsi="Times New Roman"/>
          <w:sz w:val="20"/>
        </w:rPr>
      </w:pPr>
      <w:r>
        <w:rPr>
          <w:rFonts w:ascii="Times New Roman" w:hAnsi="Times New Roman"/>
          <w:sz w:val="20"/>
        </w:rPr>
        <w:t xml:space="preserve">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 </w:t>
      </w:r>
    </w:p>
    <w:p>
      <w:pPr>
        <w:pStyle w:val="TextBody"/>
        <w:bidi w:val="0"/>
        <w:spacing w:before="240" w:after="0"/>
        <w:jc w:val="left"/>
        <w:rPr>
          <w:rFonts w:ascii="Times New Roman" w:hAnsi="Times New Roman"/>
          <w:sz w:val="20"/>
        </w:rPr>
      </w:pPr>
      <w:r>
        <w:rPr>
          <w:rFonts w:ascii="Times New Roman" w:hAnsi="Times New Roman"/>
          <w:sz w:val="20"/>
        </w:rPr>
        <w:t xml:space="preserve">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 </w:t>
      </w:r>
    </w:p>
    <w:p>
      <w:pPr>
        <w:pStyle w:val="TextBody"/>
        <w:bidi w:val="0"/>
        <w:spacing w:before="240" w:after="0"/>
        <w:jc w:val="left"/>
        <w:rPr>
          <w:rFonts w:ascii="Times New Roman" w:hAnsi="Times New Roman"/>
          <w:sz w:val="20"/>
        </w:rPr>
      </w:pPr>
      <w:r>
        <w:rPr>
          <w:rFonts w:ascii="Times New Roman" w:hAnsi="Times New Roman"/>
          <w:sz w:val="20"/>
        </w:rPr>
        <w:t xml:space="preserve">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 </w:t>
      </w:r>
    </w:p>
    <w:p>
      <w:pPr>
        <w:pStyle w:val="TextBody"/>
        <w:bidi w:val="0"/>
        <w:spacing w:before="240" w:after="0"/>
        <w:jc w:val="left"/>
        <w:rPr>
          <w:rFonts w:ascii="Times New Roman" w:hAnsi="Times New Roman"/>
          <w:sz w:val="20"/>
        </w:rPr>
      </w:pPr>
      <w:r>
        <w:rPr>
          <w:rFonts w:ascii="Times New Roman" w:hAnsi="Times New Roman"/>
          <w:sz w:val="20"/>
        </w:rPr>
        <w:t xml:space="preserve">Despite precautions taken at our data centers, spikes in usage volume, a natural disaster, an act of terrorism, vandalism or sabotage, closure of a facility without adequate notice or other unanticipated problems could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of open source software could subject us to possible litigation or cause us to subject our platform or products to unwanted open source license conditions that could negatively impact our sales.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computer hardware, purchased or leased, and software licensed from and services rendered by third parties in order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depends in part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could incur substantial costs in protecting or defending our proprietary rights. Failure to adequately protect our rights could impair our competitive position and we could lose valuable assets, experience reduced revenue and incur costly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 </w:t>
      </w:r>
    </w:p>
    <w:p>
      <w:pPr>
        <w:pStyle w:val="TextBody"/>
        <w:bidi w:val="0"/>
        <w:spacing w:before="240" w:after="0"/>
        <w:jc w:val="left"/>
        <w:rPr>
          <w:rFonts w:ascii="Times New Roman" w:hAnsi="Times New Roman"/>
          <w:sz w:val="20"/>
        </w:rPr>
      </w:pPr>
      <w:r>
        <w:rPr>
          <w:rFonts w:ascii="Times New Roman" w:hAnsi="Times New Roman"/>
          <w:sz w:val="20"/>
        </w:rPr>
        <w:t xml:space="preserve">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 </w:t>
      </w:r>
    </w:p>
    <w:p>
      <w:pPr>
        <w:pStyle w:val="TextBody"/>
        <w:bidi w:val="0"/>
        <w:spacing w:before="240" w:after="0"/>
        <w:jc w:val="left"/>
        <w:rPr>
          <w:rFonts w:ascii="Times New Roman" w:hAnsi="Times New Roman"/>
          <w:sz w:val="20"/>
        </w:rPr>
      </w:pPr>
      <w:r>
        <w:rPr>
          <w:rFonts w:ascii="Times New Roman" w:hAnsi="Times New Roman"/>
          <w:sz w:val="20"/>
        </w:rPr>
        <w:t xml:space="preserve">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a portion of our business with third-party ecosystem partners to provide defensive solutions that incorporate our products to various foreign and domestic government agencies, which are subject to unique risks. </w:t>
      </w:r>
    </w:p>
    <w:p>
      <w:pPr>
        <w:pStyle w:val="TextBody"/>
        <w:bidi w:val="0"/>
        <w:spacing w:before="120" w:after="0"/>
        <w:jc w:val="left"/>
        <w:rPr>
          <w:rFonts w:ascii="Times New Roman" w:hAnsi="Times New Roman"/>
          <w:sz w:val="20"/>
        </w:rPr>
      </w:pPr>
      <w:r>
        <w:rPr>
          <w:rFonts w:ascii="Times New Roman" w:hAnsi="Times New Roman"/>
          <w:sz w:val="20"/>
        </w:rPr>
        <w:t xml:space="preserve">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transactions involving government contractors may be subject to government review and approvals and may require the contractor to hold certain national security clearances in order to perform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anti-corruption, anti-bribery, anti-money laundering and similar laws. Non-compliance with such laws can subject us to criminal and/or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w:t>
      </w:r>
    </w:p>
    <w:p>
      <w:pPr>
        <w:pStyle w:val="TextBody"/>
        <w:bidi w:val="0"/>
        <w:spacing w:before="240" w:after="0"/>
        <w:jc w:val="left"/>
        <w:rPr>
          <w:rFonts w:ascii="Times New Roman" w:hAnsi="Times New Roman"/>
          <w:sz w:val="20"/>
        </w:rPr>
      </w:pPr>
      <w:r>
        <w:rPr>
          <w:rFonts w:ascii="Times New Roman" w:hAnsi="Times New Roman"/>
          <w:sz w:val="20"/>
        </w:rPr>
        <w:t xml:space="preserve">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fluctuations in currency exchange rates, which could negatively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costs may increase significantly, we may be unable to obtain the same level of insurance coverage and our insurance coverage may not be adequate to cover all possible losses we may suffer. </w:t>
      </w:r>
    </w:p>
    <w:p>
      <w:pPr>
        <w:pStyle w:val="TextBody"/>
        <w:bidi w:val="0"/>
        <w:spacing w:before="120" w:after="0"/>
        <w:jc w:val="left"/>
        <w:rPr>
          <w:rFonts w:ascii="Times New Roman" w:hAnsi="Times New Roman"/>
          <w:sz w:val="20"/>
        </w:rPr>
      </w:pPr>
      <w:r>
        <w:rPr>
          <w:rFonts w:ascii="Times New Roman" w:hAnsi="Times New Roman"/>
          <w:sz w:val="20"/>
        </w:rPr>
        <w:t xml:space="preserve">We generally renew our insurance policies annually. If the cost of coverage becomes too high or if we believe certain coverage becomes inapplicable, we may need to reduce our policy limits, increase retention amounts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 </w:t>
      </w:r>
    </w:p>
    <w:p>
      <w:pPr>
        <w:pStyle w:val="TextBody"/>
        <w:bidi w:val="0"/>
        <w:spacing w:before="240" w:after="0"/>
        <w:jc w:val="left"/>
        <w:rPr>
          <w:rFonts w:ascii="Times New Roman" w:hAnsi="Times New Roman"/>
          <w:sz w:val="20"/>
        </w:rPr>
      </w:pPr>
      <w:r>
        <w:rPr>
          <w:rFonts w:ascii="Times New Roman" w:hAnsi="Times New Roman"/>
          <w:sz w:val="20"/>
        </w:rPr>
        <w:t xml:space="preserve">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 </w:t>
      </w:r>
    </w:p>
    <w:p>
      <w:pPr>
        <w:pStyle w:val="TextBody"/>
        <w:bidi w:val="0"/>
        <w:spacing w:before="240" w:after="0"/>
        <w:jc w:val="left"/>
        <w:rPr>
          <w:rFonts w:ascii="Times New Roman" w:hAnsi="Times New Roman"/>
          <w:sz w:val="20"/>
        </w:rPr>
      </w:pPr>
      <w:r>
        <w:rPr>
          <w:rFonts w:ascii="Times New Roman" w:hAnsi="Times New Roman"/>
          <w:sz w:val="20"/>
        </w:rPr>
        <w:t xml:space="preserve">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losses and certain other attributes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approximately $215.5 million of U.S. federal and $149.9 million of state net operating losses, respectively. Certain of our U.S. federal and state net operating loss carryforwards may be carried forward indefinitely, while other of these loss carryforwards are subject to expiration (beginning in 2030) . As of December 31, 2024, we had federal tax credit carryforwards of $5.7 million available to offset future U.S. federal income taxes payable, which will begin to expire in the year 2035. As of December 31, 2024, we had state tax credit carryforwards of $4.3 million available to offset future state income taxes payable and foreign tax credits of $97.2 million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applicable tax laws and regulations or exposure to additional income tax liabilities could affect our business and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Blaize is a U.S. corporation and thus is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additional obligations to collect and remit sales tax and other taxes. We may be subject to tax liability for past sales,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weaknesses in our internal control over financial reporting could have a significant adverse effect on our business and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 When evaluating our internal control over financial reporting as of March 31, 2025, our management concluded that our disclosure controls and procedures were not effective, due solely to the material weakness in our internal control over financial reporting, identified by BurTech management when preparing the BurTech Acquisition Corp. financial statements for the year ended December 31, 2024. As of March 31, 2025, the material weakness of combined entity has not been remediated by the Company and there can be no assurance that we will not identify additional material weaknesses in the future. If we identify additional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Common Stock and Capital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issuance of additional shares of Common Stock, warrants or convertible securities may dilute your ownership interest in us and could adversely affect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of our Common Stock by us or our existing securityholders in the public market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We are not restricted from issuing additional shares of Common Stock, including securities that are convertible into or exchangeable for, or that represent a right to receive, Common Stock. Any issuance of additional shares of our Common Stock or convertible securities, including the shares issued pursuant to the Purchase Agreement and Engagement Agreement, will dilute the ownership interest of our existing stockholders. Sales of a substantial number of shares of our Common Stock or other equity-related securities in the public market, or the perception that these sales could occur,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as a result of the reduced disclosure and governance requirements applicable to emerging growth companies, our Common Stock may be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and proxy statements;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of stockholders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240" w:after="0"/>
        <w:jc w:val="left"/>
        <w:rPr>
          <w:rFonts w:ascii="Times New Roman" w:hAnsi="Times New Roman"/>
          <w:sz w:val="20"/>
        </w:rPr>
      </w:pPr>
      <w:r>
        <w:rPr>
          <w:rFonts w:ascii="Times New Roman" w:hAnsi="Times New Roman"/>
          <w:sz w:val="20"/>
        </w:rPr>
        <w:t xml:space="preserve">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shares of Common Stock less attractive as a result, there may be a less active market for our shares of common stock and our share price may be more volatile.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provisions in our governing documents, as well as provisions of Delaware law, could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our bylaws and Delaware law each contain provisions that could have the effect of delaying or preventing changes in control or changes in our management without the consent of our board of directors.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controlling the procedures for the conduct and scheduling of stockholder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granting the ability to remove directors with cause by the affirmative vote of 662/3% in voting power of the outstanding shares of Common Stock entitled to vote thereon;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662/3%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hostile takeovers and changes in control of us or changes in our Board and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be volatile or may decline regardless of our operating performance. You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operating and financial performance and prospects;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quarterly or annual earnings or those of other companies in our industry compared to market expectations;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conditions that impact demand for our products and/or services;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announcements concerning our business, our clients’ businesses or our competitors’ businesses;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our press releases, other public announcements and filings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market’s reaction to our reduced disclosure and other requirements as a result of being an “emerging growth company” under the Jumpstart Our Business Startups Act (the “JOBS Act”);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our public float;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coverage by or changes in financial estimates by securities analysts or failure to meet their expectations;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and industry perception of our success, or lack thereof, in pursuing our growth strategy;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our competitors, such as acquisitions or restructurings;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including laws or regulations relating to environmental, health and safety matters or initiatives relating to climate change, or changes in the implementation of regulations by regulatory bodies, which adversely affect our industry or us;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protection laws, privacy or data breaches, or the loss of data;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guidance, interpretations or principles;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senior management or key personnel;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issuances, exchanges or sales, or expected issuances, exchanges or sales of our capital stock;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75"/>
        <w:gridCol w:w="110"/>
        <w:gridCol w:w="60"/>
        <w:gridCol w:w="2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dividend policy;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resolution of new or pending litigation against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market, economic and political conditions in the United States and global economies or financial markets, including those resulting from natural disasters, terrorist attacks, acts of war and responses to such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as a public company, we are required to document and test our internal control over financial reporting pursuant to Section 404 of the Sarbanes-Oxley Act so that our management can certify as to the effectiveness of our internal control over financial reporting.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on our Common Stock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publish negative reports, the market price of our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funded our operations since inception primarily through continued financial support from our shareholders and other related parties. We cannot be certain when or if our operations will generate sufficient cash to fund our ongoing operations or the growth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944597_6"/>
      <w:bookmarkEnd w:id="8"/>
      <w:r>
        <w:rPr>
          <w:rFonts w:ascii="Times New Roman" w:hAnsi="Times New Roman"/>
          <w:b/>
          <w:sz w:val="20"/>
        </w:rPr>
        <w:t xml:space="preserve">THE COMMITTED EQUITY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14, 2025, we entered into the Purchase Agreement and the Registration Rights Agreement with B. Riley Principal Capital II. Upon the terms and subject to the satisfaction of the conditions contained in the Purchase Agreement, from and after the Commencement Date, we will have the right, in our sole discretion, to sell to B. Riley Principal Capital II up to $50,000,000 of shares of our Common Stock, subject to certain limitations set forth in the Purchase Agreement, from time to time after the date of this prospectus and during the term of the Purchase Agreement. Sales of Common Stock by us to B. Riley Principal Capital II under the Purchase Agreement, and the timing of any such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resale by B. Riley Principal Capital II of up to 20,326,158 BRPC Shares, consisting of (i) up to 20,242,805 Purchase Shares that we may, in our sole discretion, elect to sell to B. Riley Principal Capital II, from time to time over a period of up to 36 months from and after the Commencement Date pursuant to the Purchase Agreement and (ii) the 83,353 Commitment Shares we issued, together with our payment of the Cash Commitment Fee, to B. Riley Principal Capital II upon our execution of the Purchase Agreement on July 14, 2025, as consideration for its commitment to purchase shares of our Common Stock that we may, in our sole discretion, direct B. Riley Principal Capital II to purchase from us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the right to commence any sales of our Common Stock to B. Riley Principal Capital II under the Purchase Agreement until the Commencement Date, which is the date on which all of the conditions to B. Riley Principal Capital II’s purchase obligation set forth in the Purchase Agreement have initially been satisfied, none of which are in B. Riley Principal Capital II’s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36 months, unless the Purchase Agreement is earlier terminated, to direct B. Riley Principal Capital II to purchase up to a specified maximum amount of shares of Common Stock in one or more Market Open Purchases and Intraday Purchases as set forth in the Purchase Agreement, by timely delivering a written Market Open Purchase Notice for each Market Open Purchase and timely delivering a written Intraday Purchase Notice for each Intraday Purchase, if any, to B. Riley Principal Capital II in accordance with the Purchase Agreement on any trading day we select as the Purchase Date therefor, so long as (i) the closing sale price of our Common Stock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have been received by B. Riley Principal Capital II at such time and in the manner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Commencement, the Company will control the timing and amount of any sales of Common Stock to B. Riley Principal Capital II. Actual sales of shares of our Common Stock to B. Riley Principal Capital II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Nasdaq rules, in no event may we issue to B. Riley Principal Capital II under the Purchase Agreement shares of Common Stock in excess of the 19.99%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Purchase Agreement, adjusted as required by Nasdaq to take into account our payment of the Cash Commitment Fee and our issuance of the Commitment Shares to B. Riley Principal Capital II for non-cash consideration), so that the Exchange Cap limitation will not apply to issuances and sales of Common Stock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Exchange Act and Rule 13d-3 thereunder), would result in B. Riley Principal Capital II beneficially owning shares of Common Stock in excess of the 4.99%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to B. Riley Principal Capital II will be used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B. Riley Principal Capital II may assign or transfer our respective rights and obligations under the Purchase Agreement or the Registration Rights Agreement, and no provision of the Purchase Agreement or the Registration Rights Agreement may be modified or waived by us or B. Riley Principal Capital II. </w:t>
      </w:r>
    </w:p>
    <w:p>
      <w:pPr>
        <w:pStyle w:val="TextBody"/>
        <w:bidi w:val="0"/>
        <w:spacing w:before="240" w:after="0"/>
        <w:jc w:val="left"/>
        <w:rPr>
          <w:rFonts w:ascii="Times New Roman" w:hAnsi="Times New Roman"/>
          <w:sz w:val="20"/>
        </w:rPr>
      </w:pPr>
      <w:r>
        <w:rPr>
          <w:rFonts w:ascii="Times New Roman" w:hAnsi="Times New Roman"/>
          <w:sz w:val="20"/>
        </w:rPr>
        <w:t>As consideration for B. Riley Principal Capital II’s commitment to purchase shares of Common Stock at our direction upon the terms and subject to the conditions set forth in the Purchase Agreement, upon our execution of the Purchase Agreement, we (i) paid B. Riley Principal Capital II the Cash Commitment Fee in the amount of $200,000, which represents 0.4% of B. Riley Principal Capital II’s $50,000,000 total aggregate purchase commitment under the Purchase Agreement and (ii) delivered irrevocable instructions to the transfer agent to the Commitment Shares, which Commitment Shares have a total aggregate value equal to 0.5% of B. Riley Principal Capital II’s $50,000,000 total aggregate purchase commitment under the Purchase Agreement (assuming a value per Commitment Share of $2.9993, representing the VWAP for the five consecutive days immediately prior to signing of the Purchase Agreement, rounded to the nearest whole, to B. Riley Principal Capital II no later than 4:00 p.m. (New York City time) on the trading day immediately following the closing of the Purchase Agreement. The Cash Commitment Fee will be paid by wire transfer of immediately available funds to an account designated by B. Riley Principal Capital II on or prior to the date of the Purchase Agreement. See “</w:t>
      </w:r>
      <w:r>
        <w:rPr>
          <w:rFonts w:ascii="Times New Roman" w:hAnsi="Times New Roman"/>
          <w:i/>
          <w:sz w:val="20"/>
        </w:rPr>
        <w:t>Plan</w:t>
      </w:r>
      <w:r>
        <w:rPr>
          <w:rFonts w:ascii="Times New Roman" w:hAnsi="Times New Roman"/>
          <w:sz w:val="20"/>
        </w:rPr>
        <w:t xml:space="preserve"> </w:t>
      </w:r>
      <w:r>
        <w:rPr>
          <w:rFonts w:ascii="Times New Roman" w:hAnsi="Times New Roman"/>
          <w:i/>
          <w:sz w:val="20"/>
        </w:rPr>
        <w:t>of Distribution (Conflict of Interest)</w:t>
      </w:r>
      <w:r>
        <w:rPr>
          <w:rFonts w:ascii="Times New Roman" w:hAnsi="Times New Roman"/>
          <w:sz w:val="20"/>
        </w:rPr>
        <w:t xml:space="preserve"> – </w:t>
      </w:r>
      <w:r>
        <w:rPr>
          <w:rFonts w:ascii="Times New Roman" w:hAnsi="Times New Roman"/>
          <w:i/>
          <w:sz w:val="20"/>
        </w:rPr>
        <w:t>Offer and Resale of Common Stock by the Selling Stockholder</w:t>
      </w:r>
      <w:r>
        <w:rPr>
          <w:rFonts w:ascii="Times New Roman" w:hAnsi="Times New Roman"/>
          <w:sz w:val="20"/>
        </w:rPr>
        <w:t xml:space="preserve">” for more information about the Cash Commitment Fee we paid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agreed to reimburse B. Riley Principal Capital II the Initial Investor Legal Fee Reimbursement Amount of $125,000 upon our execution of the Purchase Agreement and Registration Rights Agreement, and the Additional Investor Legal Fee Reimbursement Amount of up to $5,000 per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of Common Stock Under the Purchase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Market Open Purchases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Commencement Date, we will have the right, but not the obligation, from time to time at our sole discretion for a period of up to 36 months, unless the Purchase Agreement is earlier terminated, beginning on the Commencement Date, to direct B. Riley Principal Capital II to purchase a specified number of shares of Common Stock, not to exceed the applicable Market Open Purchase Maximum Amount, in a Market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under the Purchase Agreement, by timely delivering a written Market Open Purchase Notice to B. Riley Principal Capital II, prior to 9:00 a.m., New York City time, on any trading day we select as the Purchase Date for such Market Open Purchase, so long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the trading day immediately prior to such Purchase Date is not less than the Threshold Price;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shares of Common Stock subject to all prior Market Open Purchases and all prior Intraday Purchases effected by us under the Purchase Agreement have been received by B. Riley Principal Capital II prior to the time we deliver such Market Open Purchase Notice to B. Riley Principal Capital II.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Maximum Amount applicable to such Market Open Purchase will be equal to the lesser of: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1,000,000 shares of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Common Stock that B. Riley Principal Capital II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Market Open Purchase Maximum Amount and other applicable limitations set forth in the Purchase Agreement, including the Beneficial Ownership Limitation and, if then applicable, the Exchange Cap. </w:t>
      </w:r>
    </w:p>
    <w:p>
      <w:pPr>
        <w:pStyle w:val="TextBody"/>
        <w:bidi w:val="0"/>
        <w:spacing w:before="240" w:after="0"/>
        <w:jc w:val="left"/>
        <w:rPr>
          <w:rFonts w:ascii="Times New Roman" w:hAnsi="Times New Roman"/>
          <w:sz w:val="20"/>
        </w:rPr>
      </w:pPr>
      <w:r>
        <w:rPr>
          <w:rFonts w:ascii="Times New Roman" w:hAnsi="Times New Roman"/>
          <w:sz w:val="20"/>
        </w:rPr>
        <w:t xml:space="preserve">The per share purchase price that B. Riley Principal Capital II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3.0%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3:59 p.m., New York City time, on such Purchase Date or such earlier time publicly announced by the trading market as the official close of the regular trading session on such Purchase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time that the total aggregate number (or volume) of shares of Common Stock traded on Nasdaq during such Market Open Purchase Valuation Period reaches the applicable Market Open Purchase Share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Purchase Agreement, for purposes of calculating the volume of shares of Common Stock traded during a Market Open Purchase Valuation Period, including for purposes of determining whether the applicable Market Open Purchase Share Volume Maximum for a Market Open Purchase has been reached, for purposes of calculating the VWAP of our Common Stock for the applicable Market Open Purchase Valuation Period,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 </w:t>
      </w:r>
    </w:p>
    <w:p>
      <w:pPr>
        <w:pStyle w:val="TextBody"/>
        <w:bidi w:val="0"/>
        <w:spacing w:before="360" w:after="0"/>
        <w:jc w:val="left"/>
        <w:rPr>
          <w:rFonts w:ascii="Times New Roman" w:hAnsi="Times New Roman"/>
          <w:i/>
          <w:sz w:val="20"/>
        </w:rPr>
      </w:pPr>
      <w:r>
        <w:rPr>
          <w:rFonts w:ascii="Times New Roman" w:hAnsi="Times New Roman"/>
          <w:i/>
          <w:sz w:val="20"/>
        </w:rPr>
        <w:t xml:space="preserve">Intraday Purchases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Market Open Purchases described above, from and after the Commencement Date, we will also have the right, but not the obligation, subject to the continued satisfaction of the conditions set forth in the Purchase Agreement, to direct B. Riley Principal Capital II to make Intraday Purchases (whether or not a Market Open Purchase is effected on such Purchase Date), not to exceed the applicable Intraday Purchase Maximum Amount, in an Intraday Purchase under the Purchase Agreement, by timely delivering a written Intraday Purchase Notice to B. Riley Principal Capital II, after 10:00 a.m., New York City time (and after the Market Open Purchase Valuation Period for any earlier Market Open Purchase and the Intraday Purchase Valuation Period for the most recent prior Intraday Purchase effected on the same Purchase Date if applicable, have ended), and prior to 3:30 p.m., New York City time, on such Purchase Date, so long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the trading day immediately prior to such Purchase Date is not less than the Threshold Price;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in the manner set forth in the Purchase Agreement, prior to the time we deliver the Intraday Purchase Notice for such applicable Intraday Purchase to B. Riley Principal Capital II.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Intraday Purchase Maximum Amount applicable to such Intraday Purchase will be equal to the lesser of: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1,000,000 shares of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Common Stock that B. Riley Principal Capital II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 </w:t>
      </w:r>
    </w:p>
    <w:p>
      <w:pPr>
        <w:pStyle w:val="TextBody"/>
        <w:bidi w:val="0"/>
        <w:spacing w:before="240" w:after="0"/>
        <w:jc w:val="left"/>
        <w:rPr>
          <w:rFonts w:ascii="Times New Roman" w:hAnsi="Times New Roman"/>
          <w:sz w:val="20"/>
        </w:rPr>
      </w:pPr>
      <w:r>
        <w:rPr>
          <w:rFonts w:ascii="Times New Roman" w:hAnsi="Times New Roman"/>
          <w:sz w:val="20"/>
        </w:rPr>
        <w:t xml:space="preserve">The per share purchase price that B. Riley Principal Capital II will be required to pay for the Intraday Purchase Share Amount in an Intraday Purchase effected by us pursuant to the Purchase Agreement, if any, will be calculated in the same manner as in the case of a Market Open Purchase (including the same fixed percentage discounts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Intraday Purchase is defined in the Purchase Agreement as the period during the regular trading session on Nasdaq on such Purchase Date, beginning at the latest to occur of: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time of confirmation of B. Riley Principal Capital II’s receipt of the applicable Intraday Purchase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time that the Market Open Purchase Valuation Period for any prior Market Open Purchase effected on the same Purchase Date (if any) has 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time that the Intraday Purchase Valuation Period for the most recent prior Intraday Purchase effected on the same Purchase Date (if any) has 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ending at the earliest to occur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3:59 p.m., New York City time, on such Purchase Date or such earlier time publicly announced by the trading market as the official close of the regular trading session on such Purchase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Purchase Percentage we specified in the applicable Intraday Purchase Notice for determining the applicable Intraday Purchase Share Amount for such Intraday Purchase;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Minimum Price Threshold.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Minimum Price Threshold for such Intraday Purchase. </w:t>
      </w:r>
    </w:p>
    <w:p>
      <w:pPr>
        <w:pStyle w:val="TextBody"/>
        <w:bidi w:val="0"/>
        <w:spacing w:before="240" w:after="0"/>
        <w:jc w:val="left"/>
        <w:rPr>
          <w:rFonts w:ascii="Times New Roman" w:hAnsi="Times New Roman"/>
          <w:sz w:val="20"/>
        </w:rPr>
      </w:pPr>
      <w:r>
        <w:rPr>
          <w:rFonts w:ascii="Times New Roman" w:hAnsi="Times New Roman"/>
          <w:sz w:val="20"/>
        </w:rPr>
        <w:t xml:space="preserve">We may, in our sole discretion, timely deliver multiple Intraday Purchase Notices to B. Riley Principal Capital II prior to 3:30 p.m., New York City time, on a single Purchase Date to effect multiple Intraday Purchases on such same Purchase Date, provided that the Market Open Purchase Valuation Period for any earlier Market Open Purchase effected on the same Purchase Date (as applicable) and the Intraday Purchase Valuation Period for the most recent prior Intraday Purchase effected on the same Purchase Date have ended prior to 3:30 p.m., New York City time, on such Purchase Date, and so long as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prior to the time we deliver to B. Riley Principal Capital II a new Intraday Purchase Notice to effect an additional Intraday Purchase on the same Purchase Date as an earlier Market Open Purchase (as applicable) and one or more earlier Intraday Purchases effected on such same 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B. Riley Principal Capital II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volume or minimum price threshold in connection with any such Market Open Purchase or Intraday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minimum price thresholds.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5:30 p.m., New York City time, on the applicable Purchase Date for a Market Open Purchase and/or Intraday Purchase, B. Riley Principal Capital II will provide us with a written confirmation for such Market Open Purchase and/or Intraday Purchase, as applicable, setting forth the applicable purchase price (both on a per share basis and the total aggregate purchase price) to be paid by B. Riley Principal Capital II for the shares of Common Stock purchased by B. Riley Principal Capital II in such Market Open Purchase and/or Intraday Purchase,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payment for, against delivery of, shares of Common Stock purchased by B. Riley Principal Capital II in any Market Open Purchase or any Intraday Purchase under the Purchase Agreement will be fully settled on the trading day immediately following the applicable Purchase Date for such Market Open Purchase or such Intraday Purchase (as applicable), as set forth in the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Precedent to Commencement and Each Purchase </w:t>
      </w:r>
    </w:p>
    <w:p>
      <w:pPr>
        <w:pStyle w:val="TextBody"/>
        <w:bidi w:val="0"/>
        <w:spacing w:before="120" w:after="0"/>
        <w:jc w:val="left"/>
        <w:rPr>
          <w:rFonts w:ascii="Times New Roman" w:hAnsi="Times New Roman"/>
          <w:sz w:val="20"/>
        </w:rPr>
      </w:pPr>
      <w:r>
        <w:rPr>
          <w:rFonts w:ascii="Times New Roman" w:hAnsi="Times New Roman"/>
          <w:sz w:val="20"/>
        </w:rPr>
        <w:t xml:space="preserve">B. Riley Principal Capital II’s obligation to accept Market Open Purchase Notices and Intraday Purchase Notices that are timely delivered by us under the Purchase Agreement and to purchase shares of our Common Stock in Market Open Purchases and Intraday Purchases under the Purchase Agreement, are subject to (i) the initial satisfaction, at the Commencement, and (ii) the satisfaction, at the applicable “Purchase Condition Satisfaction Time” (as such term is defined in the Purchase Agreement) on the applicable Purchase Date for each Market Open Purchase and Intraday Purchase after the Commencement Date, of the conditions precedent thereto set forth in the Purchase Agreement, all of which are entirely outside of B. Riley Principal Capital II’s control, which conditions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the representations and warranties of the Company included in the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satisfied and complied in all material respects with all covenants, agreements and conditions required by the Purchase Agreement to be performed, satisfied or complied with by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that includes this prospectus (and any one or more additional registration statements filed with the SEC that include shares of Common Stock that may be issued and sold by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to B. Riley Principal Capital II under the Purchase Agreement) having been declared effective under the Securities Act by the SEC, and B. Riley Principal Capital II being able to utilize this prospectus (and the prospectus included in any one or more additional registration statements filed with the SEC under the Registration Rights Agreement) to resell all of BRPC Shares included in this prospectus (and included in any such additional prospectuses);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B. Riley Principal Capital II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B. Riley Principal Capital II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complied with all applicable federal, state and local governmental laws, rules, regulations and ordinances in connection with the execution, delivery and performance of the Purchase Agreement and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shares of Common Stock and all of the Commitment Shares that may be issued pursuant to the Purchase Agreement shall have been approved for listing or quotation on Nasdaq (or if the Common Stock or Commitment Shares are not then listed on Nasdaq, then on any Eligible Market), subject only to notice of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condition, occurrence, state of facts or event constituting a Material Adverse Effect (as such term is defined in the Purchase Agreement) shall have occurred and be continuing;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B. Riley Principal Capital II of the legal opinions and negative assurances, bring-down legal opinions and negative assurances, and audit comfort letters, in each case as required under the Purchase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caused the Company’s transfer agent to credit to B. Riley Principal Capital II’s or its designee’s account at DTC as DWAC Shares such number of shares of Common Stock equal to the number of Commitment Shares issued to B. Riley Principal Capital II.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Unless earlier terminated as provided in the Purchase Agreement, the Purchase Agreement will terminate automatically on the earliest to occur of: </w:t>
      </w:r>
    </w:p>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of the month next following the 36-month anniversary of the Commencement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B. Riley Principal Capital II shall have purchased shares of Common Stock under the Purchase Agreement for an aggregate gross purchase price equal to $50,000,000;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Common Stock shall have failed to be listed or quoted on Nasdaq or any other Eligible Market for a period of one trading day;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30th trading day after the date on which a voluntary or involuntary bankruptcy proceeding involving our company has been commenced that is not discharged or dismissed prior to such 30th trading day;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a bankruptcy custodian is appointed for all or substantially all of our property, or we make a general assignment for the benefit of our creditors.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the right to terminate the Purchase Agreement at any time after Commencement, at no cost or penalty, upon 10 trading days’ prior written notice to B. Riley Principal Capital II. We and B. Riley Principal Capital II may also terminate the Purchase Agreement at any time by mutual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Riley Principal Capital II also has the right to terminate the Purchase Agreement upon 10 trading days’ prior written notice to us, but only upon the occurrence of certain events, including: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and continuation of a Material Adverse Effect (as such term is defined in the Purchase Agreement);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 Fundamental Transaction (as such term defined in the Purchase Agreement) involving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respect under any of the other provisions of the Registration Rights Agreement, and, if such failure, breach or default is capable of being cured, such failure, breach or default is not cured within 10 trading days after notice of such failure, breach or default is delivered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in breach or default in any material respect of any of our covenants and agreements in the Purchase Agreement or in the Registration Rights Agreement, and, if such breach or default is capable of being cured, such breach or default is not cured within 10 trading days after notice of such breach or default is delivered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B. Riley Principal Capital II for the resale of all of BRPC Shares included therein, and such lapse or unavailability continues for a period of 45 consecutive trading days or for more than an aggregate of 90 trading days in any 365-day period, other than due to acts of B. Riley Principal Capital II;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on Nasdaq (or if the Common Stock is then listed on an Eligible Market, trading in the Common Stock on such Eligible Market) has been suspended for a period of five consecutive trading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termination of the Purchase Agreement by us or by B. Riley Principal Capital II will become effective prior to the fifth trading day immediately following the date on which any pending Market Open Purchase and any pending Intraday Purchase has been fully settled in accordance with the terms and conditions of the Purchase Agreement, and no termination will affect any of our respective rights and obligations under the Purchase Agreement with respect to any pending Market Open Purchase, any pending Intraday Purchase, the Commitment Shares, and any fees and disbursements of B. Riley Principal Capital II’s legal counsel in connection with the transactions contemplated by the Purchase Agreement and the Registration Rights Agreement. Both we and B. Riley Principal Capital II have agreed to complete our respective obligations with respect to any such pending Market Open Purchase and any pending Intraday Purchase under the Purchase Agreement. Furthermore, no termination of the Purchase Agreement will affect the Registration Rights Agreement, which will survive any termination of the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 Short-Selling or Hedging by B. Riley Principal Capital II </w:t>
      </w:r>
    </w:p>
    <w:p>
      <w:pPr>
        <w:pStyle w:val="TextBody"/>
        <w:bidi w:val="0"/>
        <w:spacing w:before="120" w:after="0"/>
        <w:jc w:val="left"/>
        <w:rPr>
          <w:rFonts w:ascii="Times New Roman" w:hAnsi="Times New Roman"/>
          <w:sz w:val="20"/>
        </w:rPr>
      </w:pPr>
      <w:r>
        <w:rPr>
          <w:rFonts w:ascii="Times New Roman" w:hAnsi="Times New Roman"/>
          <w:sz w:val="20"/>
        </w:rPr>
        <w:t xml:space="preserve">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engage in or effect, directly or indirectly, any of the foregoing transactions either for B. Riley Principal Capital II’s own principal account or for the principal account of any such entity managed or controlled by B. Riley Principal Capital II. </w:t>
      </w:r>
    </w:p>
    <w:p>
      <w:pPr>
        <w:pStyle w:val="TextBody"/>
        <w:bidi w:val="0"/>
        <w:spacing w:before="360" w:after="0"/>
        <w:jc w:val="left"/>
        <w:rPr>
          <w:rFonts w:ascii="Times New Roman" w:hAnsi="Times New Roman"/>
          <w:b/>
          <w:sz w:val="20"/>
        </w:rPr>
      </w:pPr>
      <w:r>
        <w:rPr>
          <w:rFonts w:ascii="Times New Roman" w:hAnsi="Times New Roman"/>
          <w:b/>
          <w:sz w:val="20"/>
        </w:rPr>
        <w:t xml:space="preserve">Prohibition on Variable 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specified exceptions included in the Purchase Agreement, we are limited in our ability to enter into specified “Variable Rate Transactions” (as such term is defined in the Purchase Agreement) during the term of the Purchase Agreement. Such transactions include, among others, the issuance of convertible securities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Sales of our Common Stock under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Commitment Shares that we issued, and the Purchase Shares to be issued or sold by us, to B. Riley Principal Capital II under the Purchase Agreement that are being registered under the Securities Act for resale by B. Riley Principal Capital II in this offering are expected to be freely tradable. The 20,242,805 Purchase Shares being registered for resale in this offering may be issued and sold by us to B. Riley Principal Capital II from time to time at our discretion over a period of up to 36 months (unless the Purchase Agreement is earlier terminated), beginning on the Commencement Date. The resale by B. Riley Principal Capital II of a significant amount of BRPC Shares registered for resale in this offering at any given time, or the perception that these sales may occur, could cause the market price of our Common Stock to decline and to be highly volatile.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and when we do elect to sell shares of our Common Stock to B. Riley Principal Capital II pursuant to the Purchase Agreement, after B. Riley Principal Capital II has acquired such shares, B. Riley Principal Capital II may resell all, some or none of such shares at any time or from time to time in its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of our Common Stock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 </w:t>
      </w:r>
    </w:p>
    <w:p>
      <w:pPr>
        <w:pStyle w:val="TextBody"/>
        <w:bidi w:val="0"/>
        <w:spacing w:before="240" w:after="0"/>
        <w:jc w:val="left"/>
        <w:rPr>
          <w:rFonts w:ascii="Times New Roman" w:hAnsi="Times New Roman"/>
          <w:sz w:val="20"/>
        </w:rPr>
      </w:pPr>
      <w:r>
        <w:rPr>
          <w:rFonts w:ascii="Times New Roman" w:hAnsi="Times New Roman"/>
          <w:sz w:val="20"/>
        </w:rPr>
        <w:t xml:space="preserve">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 </w:t>
      </w:r>
    </w:p>
    <w:p>
      <w:pPr>
        <w:pStyle w:val="TextBody"/>
        <w:bidi w:val="0"/>
        <w:spacing w:before="240" w:after="0"/>
        <w:jc w:val="left"/>
        <w:rPr>
          <w:rFonts w:ascii="Times New Roman" w:hAnsi="Times New Roman"/>
          <w:sz w:val="20"/>
        </w:rPr>
      </w:pPr>
      <w:r>
        <w:rPr>
          <w:rFonts w:ascii="Times New Roman" w:hAnsi="Times New Roman"/>
          <w:sz w:val="20"/>
        </w:rPr>
        <w:t xml:space="preserve">Although the Purchase Agreement provides that we may sell up to $50,000,000 of our Common Stock to B. Riley Principal Capital II, only 20,242,805 Purchase Shares (in addition to the 83,353 Commitment Shares, for which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 B. Riley Principal Capital II, together with our payment of the $200,000 Cash Commitment Fee to B. Riley Principal Capital II, upon execution of the Purchase Agreement on July 14,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amount of gross proceeds we would receive from B. Riley Principal Capital II from our sale of BRPC Shares (which are being registered for resale by B. Riley Principal Capital II under the registration statement that includes this prospectus) to B. Riley Principal Capital II as Purchase Shares under the Purchase Agreement at varying purchase prices: </w:t>
      </w:r>
    </w:p>
    <w:p>
      <w:pPr>
        <w:pStyle w:val="TextBody"/>
        <w:bidi w:val="0"/>
        <w:spacing w:before="0" w:after="0"/>
        <w:jc w:val="left"/>
        <w:rPr/>
      </w:pPr>
      <w:r>
        <w:rPr/>
        <w:t> </w:t>
      </w:r>
    </w:p>
    <w:tbl>
      <w:tblPr>
        <w:tblW w:w="8739" w:type="dxa"/>
        <w:jc w:val="left"/>
        <w:tblInd w:w="0" w:type="dxa"/>
        <w:tblLayout w:type="fixed"/>
        <w:tblCellMar>
          <w:top w:w="0" w:type="dxa"/>
          <w:left w:w="0" w:type="dxa"/>
          <w:bottom w:w="0" w:type="dxa"/>
          <w:right w:w="0" w:type="dxa"/>
        </w:tblCellMar>
      </w:tblPr>
      <w:tblGrid>
        <w:gridCol w:w="3215"/>
        <w:gridCol w:w="120"/>
        <w:gridCol w:w="318"/>
        <w:gridCol w:w="1381"/>
        <w:gridCol w:w="60"/>
        <w:gridCol w:w="120"/>
        <w:gridCol w:w="262"/>
        <w:gridCol w:w="1138"/>
        <w:gridCol w:w="275"/>
        <w:gridCol w:w="60"/>
        <w:gridCol w:w="521"/>
        <w:gridCol w:w="1194"/>
        <w:gridCol w:w="7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Assumed Average Purchase Price Per Share</w:t>
            </w:r>
          </w:p>
        </w:tc>
        <w:tc>
          <w:tcPr>
            <w:tcW w:w="12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Registered</w:t>
              <w:br/>
              <w:t>Purchase</w:t>
              <w:br/>
              <w:t>Shares to be</w:t>
              <w:br/>
              <w:t>Issued if</w:t>
              <w:br/>
              <w:t>Full Purchase(1)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Outstanding</w:t>
              <w:br/>
              <w:t>Shares</w:t>
              <w:br/>
              <w:t>After Giving</w:t>
              <w:br/>
              <w:t>Effect to the</w:t>
              <w:br/>
              <w:t>Issuance to</w:t>
              <w:br/>
              <w:t>B. Riley</w:t>
              <w:br/>
              <w:t>Principal</w:t>
              <w:br/>
              <w:t>Capital II(2)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 Proceeds</w:t>
              <w:br/>
              <w:t>from the Sale of</w:t>
              <w:br/>
              <w:t>Purchase Shares</w:t>
              <w:br/>
              <w:t>to B. Riley</w:t>
              <w:br/>
              <w:t>Principal</w:t>
              <w:br/>
              <w:t>Capital II</w:t>
              <w:br/>
              <w:t>Under the</w:t>
              <w:br/>
              <w:t>Purchase</w:t>
              <w:br/>
              <w:t>Agreement</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the 83,353 Commitment Shares that we issued, together with our payment of the Cash Commitment Fee, to B. Riley Principal Capital II upon our execution of the Purchase Agreement on July 14, 2025, as consideration for its commitment to purchase shares of Common Stock at our direction upon the terms and subject to the conditions set forth in the Purchase Agreement. We have not and will not receive any cash consideration in exchange for issuing the Commitment Shares to B. Riley Principal Capital II. Although the Purchase Agreement provides that we may sell up to $50,000,000 of our Common Stock to B. Riley Principal Capital II, we are only registering 20,326,158 shares under the registration statement that includes this prospectus, consisting of the 83,353 Commitment Shares (for which we have not and will not receive any cash consideration and 20,242,805 Purchase Shares, which may or may not cover all of the shares of Common Stock we ultimately sell to B. Riley Principal Capital II under the Purchase Agreement. We will not issue more than an aggregate of 20,326,158 shares of our Common Stock (i.e.,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(in which case the Exchange Cap limitation will not apply to issuances and sales of Common Stock pursuant to the Purchase Agreement). The number of shares to be issued as set forth in this column (i) does not give effect to the Exchange Cap and (ii) is without regard for the Beneficial Ownership Limitation.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is based on 101,765,775 shares of Common Stock outstanding as of July 14, 2025 (which, for these purposes, includes the 83,353 Commitment Shares we issued to B. Riley Principal Capital II on July 15, 2025), adjusted to include the issuance of the number of Purchase Shares set forth in the adjacent column that we would have sold to B. Riley Principal Capital II, assuming the average purchase price in the first column. The numerator is based on the number of Purchase Shares issuable under the Purchase Agreement (which are included in this prospectus) at the corresponding assumed average purchase price set forth in the first column.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305"/>
        <w:gridCol w:w="6035"/>
      </w:tblGrid>
      <w:tr>
        <w:trPr/>
        <w:tc>
          <w:tcPr>
            <w:tcW w:w="305" w:type="dxa"/>
            <w:tcBorders/>
            <w:vAlign w:val="center"/>
          </w:tcPr>
          <w:p>
            <w:pPr>
              <w:pStyle w:val="TableContents"/>
              <w:bidi w:val="0"/>
              <w:spacing w:before="0" w:after="283"/>
              <w:jc w:val="left"/>
              <w:rPr/>
            </w:pPr>
            <w:r>
              <w:rPr/>
              <w:t>(3)</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Nasdaq on July 14,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944597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BRPC Shares by the Selling Stockholder. </w:t>
      </w:r>
    </w:p>
    <w:p>
      <w:pPr>
        <w:pStyle w:val="TextBody"/>
        <w:bidi w:val="0"/>
        <w:spacing w:before="240" w:after="0"/>
        <w:jc w:val="left"/>
        <w:rPr>
          <w:rFonts w:ascii="Times New Roman" w:hAnsi="Times New Roman"/>
          <w:sz w:val="20"/>
        </w:rPr>
      </w:pPr>
      <w:r>
        <w:rPr>
          <w:rFonts w:ascii="Times New Roman" w:hAnsi="Times New Roman"/>
          <w:sz w:val="20"/>
        </w:rPr>
        <w:t>We may receive up to $50,000,000 aggregate gross proceeds under the Purchase Agreement from any sales we make to B. Riley Principal Capital II pursuant to the Purchase Agreement. The net proceeds from sales, if any, under the Purchase Agreement, will depend on the frequency and prices at which we sell our Common Stock to B. Riley Principal Capital II after the date of this prospectus. See the section titled “</w:t>
      </w:r>
      <w:r>
        <w:rPr>
          <w:rFonts w:ascii="Times New Roman" w:hAnsi="Times New Roman"/>
          <w:i/>
          <w:sz w:val="20"/>
        </w:rPr>
        <w:t>The Committed Equity Facility</w:t>
      </w:r>
      <w:r>
        <w:rPr>
          <w:rFonts w:ascii="Times New Roman" w:hAnsi="Times New Roman"/>
          <w:sz w:val="20"/>
        </w:rPr>
        <w:t xml:space="preserve">” in this 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of the Common Stock offered by Cantor Fitzgerald pursuant to this prospectus will be sold by Cantor Fitzgerald for its respective account. We will not receive any proceeds from the sale of shares of Common Stock by Cantor Fitzgerald. </w:t>
      </w:r>
    </w:p>
    <w:p>
      <w:pPr>
        <w:pStyle w:val="TextBody"/>
        <w:bidi w:val="0"/>
        <w:spacing w:before="240" w:after="0"/>
        <w:jc w:val="left"/>
        <w:rPr>
          <w:rFonts w:ascii="Times New Roman" w:hAnsi="Times New Roman"/>
          <w:sz w:val="20"/>
        </w:rPr>
      </w:pPr>
      <w:r>
        <w:rPr>
          <w:rFonts w:ascii="Times New Roman" w:hAnsi="Times New Roman"/>
          <w:sz w:val="20"/>
        </w:rPr>
        <w:t xml:space="preserve">We expect to use any proceeds that we receive under the Purchase Agreement to accelerate commercialization of the South Asia smart infrastructure contract previously announced on June 30, 2025 and investment in its next-generation chip, as well as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44597_8"/>
      <w:bookmarkEnd w:id="10"/>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Common Stock may be sold by the Selling Securityholders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944597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944597_10"/>
      <w:bookmarkEnd w:id="12"/>
      <w:r>
        <w:rPr>
          <w:rFonts w:ascii="Times New Roman" w:hAnsi="Times New Roman"/>
          <w:b/>
          <w:sz w:val="20"/>
        </w:rPr>
        <w:t xml:space="preserve">MARKET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Nasdaq under the symbol “BZAI”. Prior to the consummation of the Business Combination, the Class A common stock was listed on Nasdaq under the symbol “BRKH”. As of July 25, 2025, there were 323 holders of record of our Common Stock and the closing sale price of our Common Stock was $4.33 per share. The actual number of stockholders of our Common Stock is greater than the number of record holders and includes holders of our Common Stock whose shares of Common Stock are held in street name by brokers and other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944597_11"/>
      <w:bookmarkEnd w:id="13"/>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months ended March 31, 2025 and 2024 as well as our audited consolidated financial statements for the years ended December 31, 2024 and 2023.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 time insights and decision-making capabilities with substantial speed and efficiency.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 </w:t>
      </w:r>
    </w:p>
    <w:p>
      <w:pPr>
        <w:pStyle w:val="TextBody"/>
        <w:bidi w:val="0"/>
        <w:spacing w:before="360" w:after="0"/>
        <w:jc w:val="left"/>
        <w:rPr>
          <w:rFonts w:ascii="Times New Roman" w:hAnsi="Times New Roman"/>
          <w:b/>
          <w:sz w:val="20"/>
        </w:rPr>
      </w:pPr>
      <w:r>
        <w:rPr>
          <w:rFonts w:ascii="Times New Roman" w:hAnsi="Times New Roman"/>
          <w:b/>
          <w:sz w:val="20"/>
        </w:rPr>
        <w:t xml:space="preserve">Growth Strategy and Outlook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Scaling through expansion of our current products to reach deeper into our own industry’s verticals and expanding into adjacent verticals.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Growing our ecosystem of hardware manufacturers and independent software vendors specializing across a variety of industry verticals and form new partnerships with them to bring innovative turn-key solutions to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features available in AI Studio in order to target a wider community of developers, including universities and other institutes of higher education.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market AI trends into the design of our next-generation SoC to further expand our total addressable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pipeline continues to expand, driven by strong and accelerating market interest in Edge AI, and ongoing engagement with high-quality prospective customers across key sectors, including, but not limited to, Smart Cities, defense, and the automotive industry.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Joint technology agreement with KAIST to produce new edge AI computing applications across biomedical, neuromorphic, photovoltaics, thermoelectrics and green hydrogen.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alwaysAI to revolutionize real-time insights with AI Edge Computing and advanced computer vision applications.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VSBLTY to develop new AI-enabled hybrid technology for large-scale global safety and security solutions.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Turbo Federal to procure contracts to accelerate AI solutions for the U.S. Department of Defense.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and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(the “Closing Date”), we consummated the transactions (the “Merger”) contemplated by the Agreement and Plan of Merger dated December 22, 2023 (as amended on April 22, 2024, October 24, 2024 and November 21, 2024) with BurTech Acquisition Corp (“BurTech”), BurTech Merger Sub, Inc (“Merger Sub”), Blaize, Inc. (“Legacy Blaize”), and solely for the limited purposes of the transaction, Burkhan Capital LLC (“Burkhan”), a Delaware limited liability company and affiliate of BurTech, On the Closing Date, Merger Sub merged with and into Legacy Blaize, with Legacy Blaize surviving the Business Combination as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Blaize Redeemable Convertible Preferred Stock, Convertible Promissory Notes and Warrants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closing of the Merger, all outstanding convertible notes, inclusive of accrued and unpaid interest, each of the issued and outstanding shares of redeemable convertible preferred stock, and all outstanding warrants of Legacy Blaize were automatically converted into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restricted stock unit (“RSU”) was converted into an RSU of the Company, upon substantially the same terms and conditions as in effect with respect to the corresponding Legacy Blaize RSU, and the right to receive a number of earnout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Arrangements entered into at time of Merger or assumed upon the consummation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Public and 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BurTech’s 28,750,000 public warrants and 898,250 private warrants, both outstanding immediately prior to the consummation of the Merger, became warrants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Shareholder Note Receivable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 LP, LLC (“BurTech LP”) issued a secured promissory note and pledge agreement (the “Shareholder Note”) to BurTech in the principal amount of $8,753,744 in exchange for 750,000 shares of Company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in connection with the consummation of the Business Combination and as contemplated by the Merger Agreement, we entered into lock-up agreements (the “Lock-up Agreements”) with (i) certain of Blaize’s directors and officers, (ii) certain stockholders of Blaize and (iii) Burkhan, in each case, restricting the transfer of Company common stock and any shares of Company common stock issuable upon the exercise or settlement, as applicable, of stock options or restricted stock units held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Non-Redemption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and through January 13, 2025, BurTech, BurTech LP and Legacy Blaize entered into agreements (each, a “Non-Redemption Agreement” and collectively, the “Non-Redemption Agreements”) with one or more unaffiliated stockholders of BurTech (each, an “Investor”) who agreed not to redeem (or validly rescind any redemption requests on) their shares of BurTech Class A common stock, par value $0.0001 per share of the Company (“Non-Redeemed Shares”). On the Closing Date, such Class A common stock shares were exchanged for shares of the Company’s common stock and placed into an escrow account. In exchange for the foregoing commitments not to redeem the Non-Redeemed Shares, the Company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From December 31, 2024 and through January 13, 2025, BurTech and certain other subscribers (collectively, the “Subscribers”) entered into subscription agreements under which BurTech agreed to issue and sell to the Subscribers, immediately before the Closing Date, 1,529,500 shares of BurTech’s Class A common stock, par value $0.0001 per share (“PIPE Shares”) at a purchase price of $10.00 per share for an aggregate purchase price of $15,295,000, in a private placement. Such PIPE shares that were outstanding immediately prior to the Merger became shares of Company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Earnout Arrangement </w:t>
      </w:r>
    </w:p>
    <w:p>
      <w:pPr>
        <w:pStyle w:val="TextBody"/>
        <w:bidi w:val="0"/>
        <w:spacing w:before="120" w:after="0"/>
        <w:jc w:val="left"/>
        <w:rPr>
          <w:rFonts w:ascii="Times New Roman" w:hAnsi="Times New Roman"/>
          <w:sz w:val="20"/>
        </w:rPr>
      </w:pPr>
      <w:r>
        <w:rPr>
          <w:rFonts w:ascii="Times New Roman" w:hAnsi="Times New Roman"/>
          <w:sz w:val="20"/>
        </w:rPr>
        <w:t xml:space="preserve">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our closing share price on 20 trading days out of 30 consecutive trading days equals or exceeds defined per share thresholds in each tranche as follows: </w:t>
      </w:r>
    </w:p>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$12.50 per share, 3,750,000 Earnout Shares will be issued;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$15.00 per share, an additional 3,750,000 Earnout Shares will be issued;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$17.50 per share, an additional 3,750,000 Earnout Shares will be issued;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$20.00 per share, an additional 3,750,000 Earnout Shares will be issued.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Employees entitled to receive Earnout Shares with respect to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Burkhan has the right to receive up to an aggregate amount of 2,600,000 shares of Blaize Class A Common Stock, 650,000 following the occurrence of each of the Triggering Events stated above (the “Burkhan Earnout Shares”). </w:t>
      </w:r>
    </w:p>
    <w:p>
      <w:pPr>
        <w:pStyle w:val="TextBody"/>
        <w:bidi w:val="0"/>
        <w:spacing w:before="360" w:after="0"/>
        <w:jc w:val="left"/>
        <w:rPr>
          <w:rFonts w:ascii="Times New Roman" w:hAnsi="Times New Roman"/>
          <w:b/>
          <w:sz w:val="20"/>
        </w:rPr>
      </w:pPr>
      <w:r>
        <w:rPr>
          <w:rFonts w:ascii="Times New Roman" w:hAnsi="Times New Roman"/>
          <w:b/>
          <w:sz w:val="20"/>
        </w:rPr>
        <w:t xml:space="preserve">Key Business Metrics </w:t>
      </w:r>
    </w:p>
    <w:p>
      <w:pPr>
        <w:pStyle w:val="TextBody"/>
        <w:bidi w:val="0"/>
        <w:spacing w:before="120" w:after="0"/>
        <w:jc w:val="left"/>
        <w:rPr>
          <w:rFonts w:ascii="Times New Roman" w:hAnsi="Times New Roman"/>
          <w:i/>
          <w:sz w:val="20"/>
        </w:rPr>
      </w:pPr>
      <w:r>
        <w:rPr>
          <w:rFonts w:ascii="Times New Roman" w:hAnsi="Times New Roman"/>
          <w:i/>
          <w:sz w:val="20"/>
        </w:rPr>
        <w:t xml:space="preserve">Proof of Concept Stage </w:t>
      </w:r>
    </w:p>
    <w:p>
      <w:pPr>
        <w:pStyle w:val="TextBody"/>
        <w:bidi w:val="0"/>
        <w:spacing w:before="120" w:after="0"/>
        <w:jc w:val="left"/>
        <w:rPr>
          <w:rFonts w:ascii="Times New Roman" w:hAnsi="Times New Roman"/>
          <w:sz w:val="20"/>
        </w:rPr>
      </w:pPr>
      <w:r>
        <w:rPr>
          <w:rFonts w:ascii="Times New Roman" w:hAnsi="Times New Roman"/>
          <w:sz w:val="20"/>
        </w:rPr>
        <w:t xml:space="preserve">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March 31, 2025, a total of 40 POCs have been initiated or are in progress with a potential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Partners </w:t>
      </w:r>
    </w:p>
    <w:p>
      <w:pPr>
        <w:pStyle w:val="TextBody"/>
        <w:bidi w:val="0"/>
        <w:spacing w:before="120" w:after="0"/>
        <w:jc w:val="left"/>
        <w:rPr>
          <w:rFonts w:ascii="Times New Roman" w:hAnsi="Times New Roman"/>
          <w:sz w:val="20"/>
        </w:rPr>
      </w:pPr>
      <w:r>
        <w:rPr>
          <w:rFonts w:ascii="Times New Roman" w:hAnsi="Times New Roman"/>
          <w:sz w:val="20"/>
        </w:rPr>
        <w:t xml:space="preserve">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March 31, 2025, Blaize has a total of 34 Partners. </w:t>
      </w:r>
    </w:p>
    <w:p>
      <w:pPr>
        <w:pStyle w:val="TextBody"/>
        <w:bidi w:val="0"/>
        <w:spacing w:before="360" w:after="0"/>
        <w:jc w:val="left"/>
        <w:rPr>
          <w:rFonts w:ascii="Times New Roman" w:hAnsi="Times New Roman"/>
          <w:i/>
          <w:sz w:val="20"/>
        </w:rPr>
      </w:pPr>
      <w:r>
        <w:rPr>
          <w:rFonts w:ascii="Times New Roman" w:hAnsi="Times New Roman"/>
          <w:i/>
          <w:sz w:val="20"/>
        </w:rPr>
        <w:t xml:space="preserve">Design Wins </w:t>
      </w:r>
    </w:p>
    <w:p>
      <w:pPr>
        <w:pStyle w:val="TextBody"/>
        <w:bidi w:val="0"/>
        <w:spacing w:before="120" w:after="0"/>
        <w:jc w:val="left"/>
        <w:rPr>
          <w:rFonts w:ascii="Times New Roman" w:hAnsi="Times New Roman"/>
          <w:sz w:val="20"/>
        </w:rPr>
      </w:pPr>
      <w:r>
        <w:rPr>
          <w:rFonts w:ascii="Times New Roman" w:hAnsi="Times New Roman"/>
          <w:sz w:val="20"/>
        </w:rPr>
        <w:t xml:space="preserve">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March 31, 2025, a total of 21 Design Wins have been confirmed with a Partner or customer. </w:t>
      </w:r>
    </w:p>
    <w:p>
      <w:pPr>
        <w:pStyle w:val="TextBody"/>
        <w:bidi w:val="0"/>
        <w:spacing w:before="360" w:after="0"/>
        <w:jc w:val="left"/>
        <w:rPr>
          <w:rFonts w:ascii="Times New Roman" w:hAnsi="Times New Roman"/>
          <w:b/>
          <w:sz w:val="20"/>
        </w:rPr>
      </w:pPr>
      <w:r>
        <w:rPr>
          <w:rFonts w:ascii="Times New Roman" w:hAnsi="Times New Roman"/>
          <w:b/>
          <w:sz w:val="20"/>
        </w:rPr>
        <w:t xml:space="preserve">Key Financial Definitions/Components of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derive revenue through a combination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Engineering services revenue, this involves providing customized design services to our customers, tailored to their specific requirements.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Hardware revenue — this encompasses the sale of our semiconductor products through various supply agreements.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consists of depreciation and amortization on long-lived assets such as computer equipment, capitalized software licenses, furniture and fixtures, leasehold improvements, office equipment and vehicles.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Loss on purchase commitments consists of contractual obligations to procure inventory from our third-party contract manufacturer and other suppliers that are in excess of expected demand and where the value of these purchase commitments may not be recoverable.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primarily consist of legal fees, consultant fees and other direct costs incurred to explore prior potential merger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 the three months ended March 31, 2025 compared to the three months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Blaize’s condensed consolidated statements of operations data for the three months ended March 31, 2025 and 2024, respectively, as well as changes between periods. The period-to-period comparison of financial results is not necessarily indicative of future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0" w:after="0"/>
        <w:jc w:val="left"/>
        <w:rPr/>
      </w:pPr>
      <w:r>
        <w:rPr/>
        <w:t> </w:t>
      </w:r>
    </w:p>
    <w:tbl>
      <w:tblPr>
        <w:tblW w:w="7947" w:type="dxa"/>
        <w:jc w:val="left"/>
        <w:tblInd w:w="0" w:type="dxa"/>
        <w:tblLayout w:type="fixed"/>
        <w:tblCellMar>
          <w:top w:w="0" w:type="dxa"/>
          <w:left w:w="0" w:type="dxa"/>
          <w:bottom w:w="0" w:type="dxa"/>
          <w:right w:w="0" w:type="dxa"/>
        </w:tblCellMar>
      </w:tblPr>
      <w:tblGrid>
        <w:gridCol w:w="4535"/>
        <w:gridCol w:w="120"/>
        <w:gridCol w:w="180"/>
        <w:gridCol w:w="722"/>
        <w:gridCol w:w="77"/>
        <w:gridCol w:w="154"/>
        <w:gridCol w:w="180"/>
        <w:gridCol w:w="489"/>
        <w:gridCol w:w="60"/>
        <w:gridCol w:w="120"/>
        <w:gridCol w:w="140"/>
        <w:gridCol w:w="380"/>
        <w:gridCol w:w="60"/>
        <w:gridCol w:w="120"/>
        <w:gridCol w:w="60"/>
        <w:gridCol w:w="260"/>
        <w:gridCol w:w="290"/>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 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i/>
              </w:rPr>
            </w:pPr>
            <w:r>
              <w:rPr>
                <w:i/>
              </w:rPr>
              <w:t>(Amounts in thousands, except for percentages)</w:t>
            </w:r>
          </w:p>
        </w:tc>
        <w:tc>
          <w:tcPr>
            <w:tcW w:w="120" w:type="dxa"/>
            <w:tcBorders/>
            <w:vAlign w:val="center"/>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1,007</w:t>
            </w:r>
          </w:p>
        </w:tc>
        <w:tc>
          <w:tcPr>
            <w:tcW w:w="77"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549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83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increased 83% to $1.0 million for the three months ended March 31, 2025 compared to approximately $0.5 million for the three months ended March 31, 2024. The increase was primarily due to sales of hardware product of $1.0 million, partially offset by a decrease of $0.5 million due to the end of our multi-year license and development contract with a strategic investor and the completion of a contract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Blaize’s revenue by customer geographical location: </w:t>
      </w:r>
    </w:p>
    <w:p>
      <w:pPr>
        <w:pStyle w:val="TextBody"/>
        <w:bidi w:val="0"/>
        <w:spacing w:before="0" w:after="0"/>
        <w:jc w:val="left"/>
        <w:rPr/>
      </w:pPr>
      <w:r>
        <w:rPr/>
        <w:t> </w:t>
      </w:r>
    </w:p>
    <w:tbl>
      <w:tblPr>
        <w:tblW w:w="9916" w:type="dxa"/>
        <w:jc w:val="left"/>
        <w:tblInd w:w="0" w:type="dxa"/>
        <w:tblLayout w:type="fixed"/>
        <w:tblCellMar>
          <w:top w:w="0" w:type="dxa"/>
          <w:left w:w="0" w:type="dxa"/>
          <w:bottom w:w="0" w:type="dxa"/>
          <w:right w:w="0" w:type="dxa"/>
        </w:tblCellMar>
      </w:tblPr>
      <w:tblGrid>
        <w:gridCol w:w="4535"/>
        <w:gridCol w:w="120"/>
        <w:gridCol w:w="234"/>
        <w:gridCol w:w="937"/>
        <w:gridCol w:w="100"/>
        <w:gridCol w:w="200"/>
        <w:gridCol w:w="122"/>
        <w:gridCol w:w="783"/>
        <w:gridCol w:w="275"/>
        <w:gridCol w:w="60"/>
        <w:gridCol w:w="271"/>
        <w:gridCol w:w="736"/>
        <w:gridCol w:w="116"/>
        <w:gridCol w:w="232"/>
        <w:gridCol w:w="122"/>
        <w:gridCol w:w="783"/>
        <w:gridCol w:w="290"/>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 2024</w:t>
            </w:r>
          </w:p>
        </w:tc>
        <w:tc>
          <w:tcPr>
            <w:tcW w:w="29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i/>
              </w:rPr>
            </w:pPr>
            <w:r>
              <w:rPr>
                <w:i/>
              </w:rPr>
              <w:t>(Amounts in thousands, except for percentages)</w:t>
            </w:r>
          </w:p>
        </w:tc>
        <w:tc>
          <w:tcPr>
            <w:tcW w:w="12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29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960</w:t>
            </w:r>
          </w:p>
        </w:tc>
        <w:tc>
          <w:tcPr>
            <w:tcW w:w="1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333</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61</w:t>
            </w:r>
          </w:p>
        </w:tc>
        <w:tc>
          <w:tcPr>
            <w:tcW w:w="29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215</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39</w:t>
            </w:r>
          </w:p>
        </w:tc>
        <w:tc>
          <w:tcPr>
            <w:tcW w:w="29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47</w:t>
            </w:r>
          </w:p>
        </w:tc>
        <w:tc>
          <w:tcPr>
            <w:tcW w:w="1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2" w:type="dxa"/>
            <w:tcBorders/>
            <w:vAlign w:val="center"/>
          </w:tcPr>
          <w:p>
            <w:pPr>
              <w:pStyle w:val="TableContents"/>
              <w:pBdr>
                <w:top w:val="single" w:sz="2" w:space="1" w:color="000000"/>
              </w:pBdr>
              <w:bidi w:val="0"/>
              <w:spacing w:before="0" w:after="0"/>
              <w:jc w:val="left"/>
              <w:rPr/>
            </w:pPr>
            <w:r>
              <w:rPr/>
              <w:t> </w:t>
            </w:r>
          </w:p>
        </w:tc>
        <w:tc>
          <w:tcPr>
            <w:tcW w:w="78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736"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pBdr>
                <w:top w:val="single" w:sz="2" w:space="1" w:color="000000"/>
              </w:pBdr>
              <w:bidi w:val="0"/>
              <w:spacing w:before="0" w:after="0"/>
              <w:jc w:val="left"/>
              <w:rPr/>
            </w:pPr>
            <w:r>
              <w:rPr/>
              <w:t> </w:t>
            </w:r>
          </w:p>
        </w:tc>
        <w:tc>
          <w:tcPr>
            <w:tcW w:w="783"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1,007</w:t>
            </w:r>
          </w:p>
        </w:tc>
        <w:tc>
          <w:tcPr>
            <w:tcW w:w="1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736" w:type="dxa"/>
            <w:tcBorders/>
            <w:vAlign w:val="center"/>
          </w:tcPr>
          <w:p>
            <w:pPr>
              <w:pStyle w:val="TableContents"/>
              <w:bidi w:val="0"/>
              <w:spacing w:before="0" w:after="283"/>
              <w:jc w:val="right"/>
              <w:rPr/>
            </w:pPr>
            <w:r>
              <w:rPr/>
              <w:t>549</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pBdr>
                <w:top w:val="double" w:sz="6" w:space="1" w:color="000000"/>
              </w:pBdr>
              <w:bidi w:val="0"/>
              <w:spacing w:before="0" w:after="0"/>
              <w:jc w:val="left"/>
              <w:rPr/>
            </w:pPr>
            <w:r>
              <w:rPr/>
              <w:t> </w:t>
            </w:r>
          </w:p>
        </w:tc>
        <w:tc>
          <w:tcPr>
            <w:tcW w:w="937" w:type="dxa"/>
            <w:tcBorders/>
            <w:vAlign w:val="center"/>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2" w:type="dxa"/>
            <w:tcBorders/>
            <w:vAlign w:val="center"/>
          </w:tcPr>
          <w:p>
            <w:pPr>
              <w:pStyle w:val="TableContents"/>
              <w:pBdr>
                <w:top w:val="double" w:sz="6" w:space="1" w:color="000000"/>
              </w:pBdr>
              <w:bidi w:val="0"/>
              <w:spacing w:before="0" w:after="0"/>
              <w:jc w:val="left"/>
              <w:rPr/>
            </w:pPr>
            <w:r>
              <w:rPr/>
              <w:t> </w:t>
            </w:r>
          </w:p>
        </w:tc>
        <w:tc>
          <w:tcPr>
            <w:tcW w:w="783"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double" w:sz="6" w:space="1" w:color="000000"/>
              </w:pBdr>
              <w:bidi w:val="0"/>
              <w:spacing w:before="0" w:after="0"/>
              <w:jc w:val="left"/>
              <w:rPr/>
            </w:pPr>
            <w:r>
              <w:rPr/>
              <w:t> </w:t>
            </w:r>
          </w:p>
        </w:tc>
        <w:tc>
          <w:tcPr>
            <w:tcW w:w="736" w:type="dxa"/>
            <w:tcBorders/>
            <w:vAlign w:val="center"/>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2" w:type="dxa"/>
            <w:tcBorders/>
            <w:vAlign w:val="center"/>
          </w:tcPr>
          <w:p>
            <w:pPr>
              <w:pStyle w:val="TableContents"/>
              <w:pBdr>
                <w:top w:val="double" w:sz="6" w:space="1" w:color="000000"/>
              </w:pBdr>
              <w:bidi w:val="0"/>
              <w:spacing w:before="0" w:after="0"/>
              <w:jc w:val="left"/>
              <w:rPr/>
            </w:pPr>
            <w:r>
              <w:rPr/>
              <w:t> </w:t>
            </w:r>
          </w:p>
        </w:tc>
        <w:tc>
          <w:tcPr>
            <w:tcW w:w="783"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Costs and Expenses </w:t>
      </w:r>
    </w:p>
    <w:p>
      <w:pPr>
        <w:pStyle w:val="TextBody"/>
        <w:bidi w:val="0"/>
        <w:spacing w:before="0" w:after="0"/>
        <w:jc w:val="left"/>
        <w:rPr/>
      </w:pPr>
      <w:r>
        <w:rPr/>
        <w:t> </w:t>
      </w:r>
    </w:p>
    <w:tbl>
      <w:tblPr>
        <w:tblW w:w="9590" w:type="dxa"/>
        <w:jc w:val="left"/>
        <w:tblInd w:w="0" w:type="dxa"/>
        <w:tblLayout w:type="fixed"/>
        <w:tblCellMar>
          <w:top w:w="0" w:type="dxa"/>
          <w:left w:w="0" w:type="dxa"/>
          <w:bottom w:w="0" w:type="dxa"/>
          <w:right w:w="0" w:type="dxa"/>
        </w:tblCellMar>
      </w:tblPr>
      <w:tblGrid>
        <w:gridCol w:w="4955"/>
        <w:gridCol w:w="120"/>
        <w:gridCol w:w="182"/>
        <w:gridCol w:w="884"/>
        <w:gridCol w:w="78"/>
        <w:gridCol w:w="156"/>
        <w:gridCol w:w="182"/>
        <w:gridCol w:w="728"/>
        <w:gridCol w:w="60"/>
        <w:gridCol w:w="120"/>
        <w:gridCol w:w="140"/>
        <w:gridCol w:w="680"/>
        <w:gridCol w:w="155"/>
        <w:gridCol w:w="120"/>
        <w:gridCol w:w="60"/>
        <w:gridCol w:w="680"/>
        <w:gridCol w:w="290"/>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i/>
              </w:rPr>
            </w:pPr>
            <w:r>
              <w:rPr>
                <w:i/>
              </w:rPr>
              <w:t>(Amounts in thousands, except for percentages)</w:t>
            </w:r>
          </w:p>
        </w:tc>
        <w:tc>
          <w:tcPr>
            <w:tcW w:w="12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327</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13,118</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4,094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220</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13,357</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3,988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191</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253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12,035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26,644</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pBdr>
                <w:top w:val="single" w:sz="2" w:space="1" w:color="000000"/>
              </w:pBdr>
              <w:bidi w:val="0"/>
              <w:spacing w:before="0" w:after="0"/>
              <w:jc w:val="left"/>
              <w:rPr/>
            </w:pPr>
            <w:r>
              <w:rPr/>
              <w:t> </w:t>
            </w:r>
          </w:p>
        </w:tc>
        <w:tc>
          <w:tcPr>
            <w:tcW w:w="884"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pBdr>
                <w:top w:val="single" w:sz="2" w:space="1" w:color="000000"/>
              </w:pBdr>
              <w:bidi w:val="0"/>
              <w:spacing w:before="0" w:after="0"/>
              <w:jc w:val="left"/>
              <w:rPr/>
            </w:pPr>
            <w:r>
              <w:rPr/>
              <w:t> </w:t>
            </w:r>
          </w:p>
        </w:tc>
        <w:tc>
          <w:tcPr>
            <w:tcW w:w="72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4" w:type="dxa"/>
            <w:tcBorders/>
            <w:vAlign w:val="center"/>
          </w:tcPr>
          <w:p>
            <w:pPr>
              <w:pStyle w:val="TableContents"/>
              <w:bidi w:val="0"/>
              <w:spacing w:before="0" w:after="283"/>
              <w:jc w:val="right"/>
              <w:rPr/>
            </w:pPr>
            <w:r>
              <w:rPr/>
              <w:t>39,028</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jc w:val="right"/>
              <w:rPr/>
            </w:pPr>
            <w:r>
              <w:rPr/>
              <w:t>8,686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30,342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349</w:t>
            </w:r>
          </w:p>
        </w:tc>
        <w:tc>
          <w:tcPr>
            <w:tcW w:w="29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pBdr>
                <w:top w:val="double" w:sz="6" w:space="1" w:color="000000"/>
              </w:pBdr>
              <w:bidi w:val="0"/>
              <w:spacing w:before="0" w:after="0"/>
              <w:jc w:val="left"/>
              <w:rPr/>
            </w:pPr>
            <w:r>
              <w:rPr/>
              <w:t> </w:t>
            </w:r>
          </w:p>
        </w:tc>
        <w:tc>
          <w:tcPr>
            <w:tcW w:w="884"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pBdr>
                <w:top w:val="double" w:sz="6" w:space="1" w:color="000000"/>
              </w:pBdr>
              <w:bidi w:val="0"/>
              <w:spacing w:before="0" w:after="0"/>
              <w:jc w:val="left"/>
              <w:rPr/>
            </w:pPr>
            <w:r>
              <w:rPr/>
              <w:t> </w:t>
            </w:r>
          </w:p>
        </w:tc>
        <w:tc>
          <w:tcPr>
            <w:tcW w:w="72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(excluding depreciation and amortization) for the three months ended March 31, 2025 reflects an increase of $21,000, or 7%, compared to the three months ended March 31, 2024. This increase was primarily driven by $0.3 million related to hardware sales during the three months ended March 31, 2025, which was partially offset by a decrease of $0.2 million related to inventory carrying costs with an outside supplier. Cost of revenue for the three months ended March 31, 2025 also included a $0.6 million benefit relating to the sale of inventory whose carrying amount had been written down to below original cost in a prior period.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for the three months ended March 31, 2025 increased $9.0 million or 220% compared to the three months ended March 31, 2024. The increase was driven by an increase in personnel costs of $6.9 million as a result of market-based salary adjustments made in the year ended December 31, 2024 which were implemented after the three months ended March 31, 2024 as well as additional stock-based compensation connected to the consummation of the Merger and an increase of $1.8 million in spending associated with our new chip development. We expect research and development to continue to increase to support the development of our next generation product portfolio in future years.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for the three months ended March 31, 2025 increased $9.4 million or 235% compared to the three months ended March 31, 2024. The increase was primarily due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$6.3 million increase in employee related costs associated with the hiring of new Company executives, market-based salary adjustments (as previously described), additional stock-based compensation connected to the consummation of the Merger and the building of our internal sales team. We also incurred additional costs such as a $1.4 million increase in professional services costs incurred in support of the requirements of being a public company and a $1.7 million increase in marketing and other sundry costs relating to activities focused on our sales pipeline.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three months ended March 31, 2025 decreased $62,000 or 25% compared to the three months ended March 31, 2024. The decrease was primarily due to a decrease in depreciation costs for computer equipment and server and network equipment that were fully depreciated in the comparative period.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increased by $12.0 million as a direct result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Total other expense, net </w:t>
      </w:r>
    </w:p>
    <w:p>
      <w:pPr>
        <w:pStyle w:val="TextBody"/>
        <w:bidi w:val="0"/>
        <w:spacing w:before="0" w:after="0"/>
        <w:jc w:val="left"/>
        <w:rPr/>
      </w:pPr>
      <w:r>
        <w:rPr/>
        <w:t> </w:t>
      </w:r>
    </w:p>
    <w:tbl>
      <w:tblPr>
        <w:tblW w:w="9411" w:type="dxa"/>
        <w:jc w:val="left"/>
        <w:tblInd w:w="0" w:type="dxa"/>
        <w:tblLayout w:type="fixed"/>
        <w:tblCellMar>
          <w:top w:w="0" w:type="dxa"/>
          <w:left w:w="0" w:type="dxa"/>
          <w:bottom w:w="0" w:type="dxa"/>
          <w:right w:w="0" w:type="dxa"/>
        </w:tblCellMar>
      </w:tblPr>
      <w:tblGrid>
        <w:gridCol w:w="4535"/>
        <w:gridCol w:w="120"/>
        <w:gridCol w:w="149"/>
        <w:gridCol w:w="936"/>
        <w:gridCol w:w="165"/>
        <w:gridCol w:w="128"/>
        <w:gridCol w:w="149"/>
        <w:gridCol w:w="679"/>
        <w:gridCol w:w="155"/>
        <w:gridCol w:w="120"/>
        <w:gridCol w:w="140"/>
        <w:gridCol w:w="875"/>
        <w:gridCol w:w="155"/>
        <w:gridCol w:w="120"/>
        <w:gridCol w:w="60"/>
        <w:gridCol w:w="560"/>
        <w:gridCol w:w="365"/>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i/>
              </w:rPr>
            </w:pPr>
            <w:r>
              <w:rPr>
                <w:i/>
              </w:rPr>
              <w:t>(Amounts in thousands, except for percentages)</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w:t>
            </w:r>
          </w:p>
        </w:tc>
        <w:tc>
          <w:tcPr>
            <w:tcW w:w="36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exchange transactions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(29</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679" w:type="dxa"/>
            <w:tcBorders/>
            <w:shd w:fill="CCEEFF" w:val="clear"/>
            <w:vAlign w:val="center"/>
          </w:tcPr>
          <w:p>
            <w:pPr>
              <w:pStyle w:val="TableContents"/>
              <w:bidi w:val="0"/>
              <w:spacing w:before="0" w:after="283"/>
              <w:jc w:val="right"/>
              <w:rPr/>
            </w:pPr>
            <w:r>
              <w:rPr/>
              <w:t>(49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w:t>
            </w:r>
          </w:p>
        </w:tc>
        <w:tc>
          <w:tcPr>
            <w:tcW w:w="36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(165,703</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right"/>
              <w:rPr/>
            </w:pPr>
            <w:r>
              <w:rPr/>
              <w:t>(4,651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(161,052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3,463</w:t>
            </w:r>
          </w:p>
        </w:tc>
        <w:tc>
          <w:tcPr>
            <w:tcW w:w="36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(60,345</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(3,515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(56,830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1,617</w:t>
            </w:r>
          </w:p>
        </w:tc>
        <w:tc>
          <w:tcPr>
            <w:tcW w:w="36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 liabilities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116,518</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116,518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(229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(92</w:t>
            </w:r>
          </w:p>
        </w:tc>
        <w:tc>
          <w:tcPr>
            <w:tcW w:w="36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936"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67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(109,578</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679" w:type="dxa"/>
            <w:tcBorders/>
            <w:vAlign w:val="center"/>
          </w:tcPr>
          <w:p>
            <w:pPr>
              <w:pStyle w:val="TableContents"/>
              <w:bidi w:val="0"/>
              <w:spacing w:before="0" w:after="283"/>
              <w:jc w:val="right"/>
              <w:rPr/>
            </w:pPr>
            <w:r>
              <w:rPr/>
              <w:t>(8,444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(101,134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1,198</w:t>
            </w:r>
          </w:p>
        </w:tc>
        <w:tc>
          <w:tcPr>
            <w:tcW w:w="36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936" w:type="dxa"/>
            <w:tcBorders/>
            <w:vAlign w:val="center"/>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67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Total other expense, net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net for the three months ended March 31, 2025 reflects an increase of $101.1 million, or 1,198%, compared to the three months ended March 31, 2024.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net for the three months ended March 31, 2025 was primarily comprised of the total net change in fair value of our convertible notes and warrant liabilities of $226.0 million and the change in our earnout liabilities of $116.5 million.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net for the three months ended March 31, 2024 was primarily comprised of the total net change in fair value of our convertible notes and warrant liabilities of $8.2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0" w:after="0"/>
        <w:jc w:val="left"/>
        <w:rPr/>
      </w:pPr>
      <w:r>
        <w:rPr/>
        <w:t> </w:t>
      </w:r>
    </w:p>
    <w:tbl>
      <w:tblPr>
        <w:tblW w:w="8707" w:type="dxa"/>
        <w:jc w:val="left"/>
        <w:tblInd w:w="0" w:type="dxa"/>
        <w:tblLayout w:type="fixed"/>
        <w:tblCellMar>
          <w:top w:w="0" w:type="dxa"/>
          <w:left w:w="0" w:type="dxa"/>
          <w:bottom w:w="0" w:type="dxa"/>
          <w:right w:w="0" w:type="dxa"/>
        </w:tblCellMar>
      </w:tblPr>
      <w:tblGrid>
        <w:gridCol w:w="4535"/>
        <w:gridCol w:w="120"/>
        <w:gridCol w:w="263"/>
        <w:gridCol w:w="716"/>
        <w:gridCol w:w="108"/>
        <w:gridCol w:w="217"/>
        <w:gridCol w:w="262"/>
        <w:gridCol w:w="717"/>
        <w:gridCol w:w="60"/>
        <w:gridCol w:w="120"/>
        <w:gridCol w:w="217"/>
        <w:gridCol w:w="403"/>
        <w:gridCol w:w="60"/>
        <w:gridCol w:w="120"/>
        <w:gridCol w:w="68"/>
        <w:gridCol w:w="431"/>
        <w:gridCol w:w="290"/>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i/>
              </w:rPr>
            </w:pPr>
            <w:r>
              <w:rPr>
                <w:i/>
              </w:rPr>
              <w:t>(Amounts in thousands, except for percentages)</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w:t>
            </w:r>
          </w:p>
        </w:tc>
        <w:tc>
          <w:tcPr>
            <w:tcW w:w="29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162</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amounted to approximately $0.2 million for the three months ended March 31, 2025 and 2024, respectively, and our effective tax rate was approximately (0.1)% and (1.4)%, respectively. The effective income tax rate was primarily driven by the valuation allowance which is driven by the deferred tax assets arising from capitalized research and experimental expenditures and the net operating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approximately $147.8 million for the three months ended March 31, 2025 compared to a net loss of approximately $16.7 million for the three months ended March 31, 2024. The increase in net loss for the three months ended March 31, 2025 compared to the three months ended March 31, 2024 was primarily attributable to the $226.0 million change in fair value of convertible notes and warrant liabilities and the increase in loss from operations of $29.9 million, partially offset by the $116.5 million change in the fair value of earnout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Blaize and through March 31, 2025, we have funded our operations primarily with cash flows from contributions from founders or other investors and other financing activities. We have incurred recurring losses and negative cash flows since our inception, including a net loss of $147.8 million and $16.7 million for the three months ended March 31, 2025 and 2024, respectively. As of March 31, 2025, we had cash and cash equivalents of approximately $45.0 million, and an accumulated deficit of $577.0 million.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for the three months ended March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from operating, investing and financing activities: </w:t>
      </w:r>
    </w:p>
    <w:p>
      <w:pPr>
        <w:pStyle w:val="TextBody"/>
        <w:bidi w:val="0"/>
        <w:spacing w:before="0" w:after="0"/>
        <w:jc w:val="left"/>
        <w:rPr/>
      </w:pPr>
      <w:r>
        <w:rPr/>
        <w:t> </w:t>
      </w:r>
    </w:p>
    <w:tbl>
      <w:tblPr>
        <w:tblW w:w="6763" w:type="dxa"/>
        <w:jc w:val="left"/>
        <w:tblInd w:w="0" w:type="dxa"/>
        <w:tblLayout w:type="fixed"/>
        <w:tblCellMar>
          <w:top w:w="0" w:type="dxa"/>
          <w:left w:w="0" w:type="dxa"/>
          <w:bottom w:w="0" w:type="dxa"/>
          <w:right w:w="0" w:type="dxa"/>
        </w:tblCellMar>
      </w:tblPr>
      <w:tblGrid>
        <w:gridCol w:w="4265"/>
        <w:gridCol w:w="120"/>
        <w:gridCol w:w="155"/>
        <w:gridCol w:w="838"/>
        <w:gridCol w:w="172"/>
        <w:gridCol w:w="133"/>
        <w:gridCol w:w="155"/>
        <w:gridCol w:w="755"/>
        <w:gridCol w:w="170"/>
      </w:tblGrid>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7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i/>
              </w:rPr>
            </w:pPr>
            <w:r>
              <w:rPr>
                <w:i/>
              </w:rPr>
              <w:t>(Amounts in thousands)</w:t>
            </w:r>
          </w:p>
        </w:tc>
        <w:tc>
          <w:tcPr>
            <w:tcW w:w="12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(15,944</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(7,363</w:t>
            </w:r>
          </w:p>
        </w:tc>
        <w:tc>
          <w:tcPr>
            <w:tcW w:w="17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(661</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(177</w:t>
            </w:r>
          </w:p>
        </w:tc>
        <w:tc>
          <w:tcPr>
            <w:tcW w:w="17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11,343</w:t>
            </w:r>
          </w:p>
        </w:tc>
        <w:tc>
          <w:tcPr>
            <w:tcW w:w="1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11,372</w:t>
            </w:r>
          </w:p>
        </w:tc>
        <w:tc>
          <w:tcPr>
            <w:tcW w:w="17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38"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cash, cash equivalents and restricted cash</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838" w:type="dxa"/>
            <w:tcBorders/>
            <w:vAlign w:val="center"/>
          </w:tcPr>
          <w:p>
            <w:pPr>
              <w:pStyle w:val="TableContents"/>
              <w:bidi w:val="0"/>
              <w:spacing w:before="0" w:after="283"/>
              <w:jc w:val="right"/>
              <w:rPr/>
            </w:pPr>
            <w:r>
              <w:rPr/>
              <w:t>(5,262</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3,832</w:t>
            </w:r>
          </w:p>
        </w:tc>
        <w:tc>
          <w:tcPr>
            <w:tcW w:w="17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double" w:sz="6" w:space="1" w:color="000000"/>
              </w:pBdr>
              <w:bidi w:val="0"/>
              <w:spacing w:before="0" w:after="0"/>
              <w:jc w:val="left"/>
              <w:rPr/>
            </w:pPr>
            <w:r>
              <w:rPr/>
              <w:t> </w:t>
            </w:r>
          </w:p>
        </w:tc>
        <w:tc>
          <w:tcPr>
            <w:tcW w:w="838"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$15.9 million during the three months ended March 31, 2025, compared to $7.4 million for the three months ended March 31, 2024. The increase in cash used in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was primarily due to an increase of $131.0 million in net loss and a decrease of $116.5 million in the fair value of our earnout share liabilities, partially offset by an increase of $217.9 million in the fair value of our convertible notes and warrant liabilities, an increase of $10.7 million in stock-based compensation, and a decrease of $8.5 million in prepaid expenses and other current assets.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2025 and 2024, we used $ 0.7 million and $0.2 million of cash to purchase property and equipment, respectively. The increase of $0.5 million during the three months ended March 31, 2025 was primarily due to the licensing of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2025, net cash provided by financing activities was $11.3 million, which primarily consisted of $15.9 million of proceeds from the Merger and PIPE financing, partially offset by the $4.5 million payment of deferred offering costs. This compares to net cash provided by financing activities for the three months ended March 31, 2024 of $11.4 million, which primarily consisted of $11.5 million in proceeds from the issuance of secured convertible notes under the 2023 Note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and December 31, 2024, we had outstanding purchase orders and contractual obligations totaling $0.3 million and $0.2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March 31, 2025 and December 31, 2024, the liability balance of our accrued loss on accrued purchase commitments equaled $0.6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 the 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Blaize’s consolidated statements of operations data for the years ended December 31, 2024 and 2023, respectively. </w:t>
      </w:r>
    </w:p>
    <w:p>
      <w:pPr>
        <w:pStyle w:val="TextBody"/>
        <w:bidi w:val="0"/>
        <w:spacing w:before="0" w:after="0"/>
        <w:jc w:val="left"/>
        <w:rPr/>
      </w:pPr>
      <w:r>
        <w:rPr/>
        <w:t> </w:t>
      </w:r>
    </w:p>
    <w:tbl>
      <w:tblPr>
        <w:tblW w:w="9615" w:type="dxa"/>
        <w:jc w:val="left"/>
        <w:tblInd w:w="0" w:type="dxa"/>
        <w:tblLayout w:type="fixed"/>
        <w:tblCellMar>
          <w:top w:w="0" w:type="dxa"/>
          <w:left w:w="0" w:type="dxa"/>
          <w:bottom w:w="0" w:type="dxa"/>
          <w:right w:w="0" w:type="dxa"/>
        </w:tblCellMar>
      </w:tblPr>
      <w:tblGrid>
        <w:gridCol w:w="4955"/>
        <w:gridCol w:w="120"/>
        <w:gridCol w:w="140"/>
        <w:gridCol w:w="680"/>
        <w:gridCol w:w="60"/>
        <w:gridCol w:w="120"/>
        <w:gridCol w:w="140"/>
        <w:gridCol w:w="680"/>
        <w:gridCol w:w="60"/>
        <w:gridCol w:w="120"/>
        <w:gridCol w:w="147"/>
        <w:gridCol w:w="668"/>
        <w:gridCol w:w="155"/>
        <w:gridCol w:w="60"/>
        <w:gridCol w:w="173"/>
        <w:gridCol w:w="972"/>
        <w:gridCol w:w="365"/>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b/>
              </w:rPr>
            </w:pPr>
            <w:r>
              <w:rPr>
                <w:b/>
              </w:rPr>
              <w:t>Year Ended December 31, (in thousands)</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Dollar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Percentage</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7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3,840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(2,315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(60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81</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(2,302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(60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7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(3,077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(84</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25,094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39</w:t>
            </w:r>
          </w:p>
        </w:tc>
        <w:tc>
          <w:tcPr>
            <w:tcW w:w="36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22,413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17,303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5,110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30</w:t>
            </w:r>
          </w:p>
        </w:tc>
        <w:tc>
          <w:tcPr>
            <w:tcW w:w="36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(57</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545" w:type="dxa"/>
        <w:jc w:val="left"/>
        <w:tblInd w:w="0" w:type="dxa"/>
        <w:tblLayout w:type="fixed"/>
        <w:tblCellMar>
          <w:top w:w="0" w:type="dxa"/>
          <w:left w:w="0" w:type="dxa"/>
          <w:bottom w:w="0" w:type="dxa"/>
          <w:right w:w="0" w:type="dxa"/>
        </w:tblCellMar>
      </w:tblPr>
      <w:tblGrid>
        <w:gridCol w:w="3665"/>
        <w:gridCol w:w="120"/>
        <w:gridCol w:w="140"/>
        <w:gridCol w:w="755"/>
        <w:gridCol w:w="155"/>
        <w:gridCol w:w="60"/>
        <w:gridCol w:w="140"/>
        <w:gridCol w:w="755"/>
        <w:gridCol w:w="155"/>
        <w:gridCol w:w="60"/>
        <w:gridCol w:w="60"/>
        <w:gridCol w:w="755"/>
        <w:gridCol w:w="155"/>
        <w:gridCol w:w="60"/>
        <w:gridCol w:w="133"/>
        <w:gridCol w:w="1012"/>
        <w:gridCol w:w="365"/>
      </w:tblGrid>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Dollar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br/>
              <w:t>Percentage</w:t>
            </w:r>
          </w:p>
        </w:tc>
        <w:tc>
          <w:tcPr>
            <w:tcW w:w="36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107</w:t>
            </w:r>
          </w:p>
        </w:tc>
        <w:tc>
          <w:tcPr>
            <w:tcW w:w="36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16</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(47,635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9,107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24</w:t>
            </w:r>
          </w:p>
        </w:tc>
        <w:tc>
          <w:tcPr>
            <w:tcW w:w="36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(85</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846</w:t>
            </w:r>
          </w:p>
        </w:tc>
        <w:tc>
          <w:tcPr>
            <w:tcW w:w="36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exchange transactions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556</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w:t>
            </w:r>
          </w:p>
        </w:tc>
        <w:tc>
          <w:tcPr>
            <w:tcW w:w="36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503</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(14,512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(71</w:t>
            </w:r>
          </w:p>
        </w:tc>
        <w:tc>
          <w:tcPr>
            <w:tcW w:w="36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(26,040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(30</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59</w:t>
            </w:r>
          </w:p>
        </w:tc>
        <w:tc>
          <w:tcPr>
            <w:tcW w:w="36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(61,195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(87,589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(30</w:t>
            </w:r>
          </w:p>
        </w:tc>
        <w:tc>
          <w:tcPr>
            <w:tcW w:w="365"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(excluding depreciation and amortization) for the year ended December 31, 2024 reflects a decrease of $3.1 million, or 84%, compared to the year ended December 31, 2023. This decrease was primarily driven by a $2.9 million decrease in charges for excess inventory and a $0.4 million decrease in direct labor costs commensurate with the decrease in engineering services revenue, partially offset by a $0.1 million increase in costs for inventory carrying costs with an outside supplier and a $0.1 reduction in other miscellaneous costs.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record a loss on purchase commitments for the year ended December 31, 2024 as compared to $1.2 million for the year ended December 31, 2023 as a result of not having any additional purchase commitments requiring a loss on purchase commitment accrual. </w:t>
      </w:r>
    </w:p>
    <w:p>
      <w:pPr>
        <w:pStyle w:val="TextBody"/>
        <w:bidi w:val="0"/>
        <w:spacing w:before="360" w:after="0"/>
        <w:jc w:val="left"/>
        <w:rPr>
          <w:rFonts w:ascii="Times New Roman" w:hAnsi="Times New Roman"/>
          <w:i/>
          <w:sz w:val="20"/>
        </w:rPr>
      </w:pPr>
      <w:r>
        <w:rPr>
          <w:rFonts w:ascii="Times New Roman" w:hAnsi="Times New Roman"/>
          <w:i/>
          <w:sz w:val="20"/>
        </w:rPr>
        <w:t xml:space="preserve">Total other expense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for the years ended December 31, 2024 and 2023 amounted to a net expense of $14.5 million and $49.7 million, respectively, for a decrease of net expense period over period of $35.1 million.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for the year ended December 31, 2024 was primarily comprised of the total net change in fair value of our convertible notes and warrant liabilities of $15.7 million, additional expenses of $0.7 million, offset by other income from investments of $1.9 million.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 the Pay-to-Play equity financing charge and the valuation allowance which is driven by the deferred tax assets arising from capitalized research and experimental expenditures and the net operating losses. </w:t>
      </w:r>
    </w:p>
    <w:p>
      <w:pPr>
        <w:pStyle w:val="TextBody"/>
        <w:bidi w:val="0"/>
        <w:spacing w:before="360" w:after="0"/>
        <w:jc w:val="left"/>
        <w:rPr>
          <w:rFonts w:ascii="Times New Roman" w:hAnsi="Times New Roman"/>
          <w:i/>
          <w:sz w:val="20"/>
        </w:rPr>
      </w:pPr>
      <w:r>
        <w:rPr>
          <w:rFonts w:ascii="Times New Roman" w:hAnsi="Times New Roman"/>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Financings </w:t>
      </w:r>
    </w:p>
    <w:p>
      <w:pPr>
        <w:pStyle w:val="TextBody"/>
        <w:bidi w:val="0"/>
        <w:spacing w:before="120" w:after="0"/>
        <w:jc w:val="left"/>
        <w:rPr>
          <w:rFonts w:ascii="Times New Roman" w:hAnsi="Times New Roman"/>
          <w:sz w:val="20"/>
        </w:rPr>
      </w:pPr>
      <w:r>
        <w:rPr>
          <w:rFonts w:ascii="Times New Roman" w:hAnsi="Times New Roman"/>
          <w:sz w:val="20"/>
        </w:rPr>
        <w:t xml:space="preserve">We were a party to the following debt financing agreements during the years ended December 31, 2024 and 2023: </w:t>
      </w:r>
    </w:p>
    <w:p>
      <w:pPr>
        <w:pStyle w:val="TextBody"/>
        <w:bidi w:val="0"/>
        <w:spacing w:before="360" w:after="0"/>
        <w:jc w:val="left"/>
        <w:rPr>
          <w:rFonts w:ascii="Times New Roman" w:hAnsi="Times New Roman"/>
          <w:i/>
          <w:sz w:val="20"/>
        </w:rPr>
      </w:pPr>
      <w:r>
        <w:rPr>
          <w:rFonts w:ascii="Times New Roman" w:hAnsi="Times New Roman"/>
          <w:i/>
          <w:sz w:val="20"/>
        </w:rPr>
        <w:t xml:space="preserve">Convertible Notes Under the July 2023 Note Purchase Agreement (as amended and restated, the “2023-2024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2023-2024 Convertible Notes provides that the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therein), Maturity Conversion (as defined therein), SPAC Conversion (as defined therein) or repayment has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occurred wherein the Next Equity Financing, defined as the next sale of Company equity securities or other securities issued in connection with Senior Indebtedness, following the date of the 2023-2024 Convertible Notes for the purpose of raising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Blaize’s existing certificate of incorporation), the 2023-2024 Convertible Notes shall be repaid as follows at the closing of the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before July 3, 2023, in respect of a Corporate Transaction that occurs following July 3, 2024, an amount equal to the then accrued but unpaid interest plus five (5)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note after July 3, 2023, in respect of any such Corporate Transaction, an amount equal to the then accrued but unpaid interest plus one and a half (1.5) times the then outstanding principal.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expiration date of the warrants was amended in April 2022 from 10 years to 5 years from the original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2023-2024 Convertible Notes, the outstanding notes were converted, at the option of the holders, to Common Stock upon the consummation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Demand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 </w:t>
      </w:r>
    </w:p>
    <w:p>
      <w:pPr>
        <w:pStyle w:val="TextBody"/>
        <w:bidi w:val="0"/>
        <w:spacing w:before="360" w:after="0"/>
        <w:jc w:val="left"/>
        <w:rPr>
          <w:rFonts w:ascii="Times New Roman" w:hAnsi="Times New Roman"/>
          <w:i/>
          <w:sz w:val="20"/>
        </w:rPr>
      </w:pPr>
      <w:r>
        <w:rPr>
          <w:rFonts w:ascii="Times New Roman" w:hAnsi="Times New Roman"/>
          <w:i/>
          <w:sz w:val="20"/>
        </w:rPr>
        <w:t xml:space="preserve">Pay-to-Play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The P2P NPA provides that the P2P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(ii) the date of Contribution being either prior to November 30, 2022 (the “Initial Commitment Date”) or February 24, 2023 (“Final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pro-rata portion.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P2P notes, the outstanding P2P Notes were converted, at the option of the holders, to common stock upon the execution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Financings </w:t>
      </w:r>
    </w:p>
    <w:p>
      <w:pPr>
        <w:pStyle w:val="TextBody"/>
        <w:bidi w:val="0"/>
        <w:spacing w:before="120" w:after="0"/>
        <w:jc w:val="left"/>
        <w:rPr>
          <w:rFonts w:ascii="Times New Roman" w:hAnsi="Times New Roman"/>
          <w:sz w:val="20"/>
        </w:rPr>
      </w:pPr>
      <w:r>
        <w:rPr>
          <w:rFonts w:ascii="Times New Roman" w:hAnsi="Times New Roman"/>
          <w:sz w:val="20"/>
        </w:rPr>
        <w:t xml:space="preserve">We were a party to the following equity financing agreements during the years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Series D, D-1 and D-2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Series D-2 redeemable convertible preferred stock, we amended our authorized capital stock to increase the total shares to 246,530,097, allocating 149,880,000 for common stock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96,650,097 to preferred stock. The authorized shares of Seed Preferred, Series A, Series B, Series C and Series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redeemable preferred stock, the outstanding shares were converted, at the option of the holders, to common stock upon the execution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Shadow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which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 (10) 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as provided by the terms of the redeemable preferred stock, the outstanding shares were converted, at the option of the holders, to common stock upon the execution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December 31, 2023, we had outstanding purchase orders and contractual obligations totaling $0.2 million and $4.4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December 31, 2024, the liability balance of our accrued loss on accrued purchase commitments equaled $0.6 million. As of December 31, 2023 the liability balance of our accrued losses on accrued purchase commitments equaled $3.6 million. The accrued losses on accrued purchase commitments as of December 31, 2024 and 2023 are included in the purchase orders and contractual obligations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for the years ended December 31,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from operating, investing and financing activities for the years ended December 31, 2024 and 2023: </w:t>
      </w:r>
    </w:p>
    <w:p>
      <w:pPr>
        <w:pStyle w:val="TextBody"/>
        <w:bidi w:val="0"/>
        <w:spacing w:before="0" w:after="0"/>
        <w:jc w:val="left"/>
        <w:rPr/>
      </w:pPr>
      <w:r>
        <w:rPr/>
        <w:t> </w:t>
      </w:r>
    </w:p>
    <w:tbl>
      <w:tblPr>
        <w:tblW w:w="5780" w:type="dxa"/>
        <w:jc w:val="left"/>
        <w:tblInd w:w="0" w:type="dxa"/>
        <w:tblLayout w:type="fixed"/>
        <w:tblCellMar>
          <w:top w:w="0" w:type="dxa"/>
          <w:left w:w="0" w:type="dxa"/>
          <w:bottom w:w="0" w:type="dxa"/>
          <w:right w:w="0" w:type="dxa"/>
        </w:tblCellMar>
      </w:tblPr>
      <w:tblGrid>
        <w:gridCol w:w="3380"/>
        <w:gridCol w:w="120"/>
        <w:gridCol w:w="140"/>
        <w:gridCol w:w="800"/>
        <w:gridCol w:w="155"/>
        <w:gridCol w:w="120"/>
        <w:gridCol w:w="140"/>
        <w:gridCol w:w="755"/>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b/>
              </w:rPr>
            </w:pPr>
            <w:r>
              <w:rPr>
                <w:b/>
              </w:rPr>
              <w:t>For the years ended</w:t>
            </w:r>
          </w:p>
        </w:tc>
        <w:tc>
          <w:tcPr>
            <w:tcW w:w="12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(27,955</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(220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101,709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26,475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 $13.4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2024 and 2023, we used $ 0.9 million and $0.2 million of cash to purchase property and equipment, respectively. The increase of $0.7 million during the year ended December 31, 2024 was primarily due to the licensing of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 </w:t>
      </w:r>
    </w:p>
    <w:p>
      <w:pPr>
        <w:pStyle w:val="TextBody"/>
        <w:bidi w:val="0"/>
        <w:spacing w:before="360" w:after="0"/>
        <w:jc w:val="left"/>
        <w:rPr>
          <w:rFonts w:ascii="Times New Roman" w:hAnsi="Times New Roman"/>
          <w:b/>
          <w:sz w:val="20"/>
        </w:rPr>
      </w:pPr>
      <w:r>
        <w:rPr>
          <w:rFonts w:ascii="Times New Roman" w:hAnsi="Times New Roman"/>
          <w:b/>
          <w:sz w:val="20"/>
        </w:rPr>
        <w:t xml:space="preserve">Off 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 </w:t>
      </w:r>
    </w:p>
    <w:p>
      <w:pPr>
        <w:pStyle w:val="TextBody"/>
        <w:bidi w:val="0"/>
        <w:spacing w:before="240" w:after="0"/>
        <w:jc w:val="left"/>
        <w:rPr>
          <w:rFonts w:ascii="Times New Roman" w:hAnsi="Times New Roman"/>
          <w:sz w:val="20"/>
        </w:rPr>
      </w:pPr>
      <w:r>
        <w:rPr>
          <w:rFonts w:ascii="Times New Roman" w:hAnsi="Times New Roman"/>
          <w:sz w:val="20"/>
        </w:rPr>
        <w:t xml:space="preserve">Currently we do not engage in off-balance sheet financing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non-convertible debt securities during the previous three-years.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expose us to a variety of market risks. We monitor and manage these financial exposures as an integral part of our overall risk management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 </w:t>
      </w:r>
    </w:p>
    <w:p>
      <w:pPr>
        <w:pStyle w:val="TextBody"/>
        <w:bidi w:val="0"/>
        <w:spacing w:before="240" w:after="0"/>
        <w:jc w:val="left"/>
        <w:rPr>
          <w:rFonts w:ascii="Times New Roman" w:hAnsi="Times New Roman"/>
          <w:sz w:val="20"/>
        </w:rPr>
      </w:pPr>
      <w:r>
        <w:rPr>
          <w:rFonts w:ascii="Times New Roman" w:hAnsi="Times New Roman"/>
          <w:sz w:val="20"/>
        </w:rPr>
        <w:t xml:space="preserve">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t>
      </w:r>
    </w:p>
    <w:p>
      <w:pPr>
        <w:pStyle w:val="TextBody"/>
        <w:bidi w:val="0"/>
        <w:spacing w:before="240" w:after="0"/>
        <w:jc w:val="left"/>
        <w:rPr>
          <w:rFonts w:ascii="Times New Roman" w:hAnsi="Times New Roman"/>
          <w:sz w:val="20"/>
        </w:rPr>
      </w:pPr>
      <w:r>
        <w:rPr>
          <w:rFonts w:ascii="Times New Roman" w:hAnsi="Times New Roman"/>
          <w:sz w:val="20"/>
        </w:rPr>
        <w:t xml:space="preserve">Changes in exchange rates between the applicable foreign currency and the U.S. dollar will affect the remeasurement of our foreign subsidiaries’ financial results into U.S. dollars for purposes of reporting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financial results. For the year ended December 31, 2024, the loss on foreign exchange transactions was $0.2 million. For the year ended December 31, 2023, the gain on foreign exchange transactions was not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Our cash accounts in financial institutions may at times exceed the Federal Depository Insurance coverage of $250,000.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one customer accounted for approximately 98% of our total accounts receivable. As of December 31, 2023, one customer, a related party, accounted for approximately 98% of our total 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 </w:t>
      </w:r>
    </w:p>
    <w:p>
      <w:pPr>
        <w:pStyle w:val="TextBody"/>
        <w:bidi w:val="0"/>
        <w:spacing w:before="360" w:after="0"/>
        <w:jc w:val="left"/>
        <w:rPr>
          <w:rFonts w:ascii="Times New Roman" w:hAnsi="Times New Roman"/>
          <w:i/>
          <w:sz w:val="20"/>
        </w:rPr>
      </w:pPr>
      <w:r>
        <w:rPr>
          <w:rFonts w:ascii="Times New Roman" w:hAnsi="Times New Roman"/>
          <w:i/>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condensed consolidated financial statements are prepared in accordance with generally accepted accounting principles in the United States of America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derives revenue from product sales, license and development arrangements, joint marketing arrangements and cloud services. The Company recognizes revenue under ASC 606, Revenue from Contracts with Customers, in which it determines revenue recognition through the following steps: </w:t>
      </w:r>
    </w:p>
    <w:p>
      <w:pPr>
        <w:pStyle w:val="TextBody"/>
        <w:bidi w:val="0"/>
        <w:spacing w:before="360" w:after="0"/>
        <w:jc w:val="left"/>
        <w:rPr>
          <w:rFonts w:ascii="Times New Roman" w:hAnsi="Times New Roman"/>
          <w:i/>
          <w:sz w:val="20"/>
        </w:rPr>
      </w:pPr>
      <w:r>
        <w:rPr>
          <w:rFonts w:ascii="Times New Roman" w:hAnsi="Times New Roman"/>
          <w:i/>
          <w:sz w:val="20"/>
        </w:rPr>
        <w:t xml:space="preserve">Step 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Step 2: Identify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360" w:after="0"/>
        <w:jc w:val="left"/>
        <w:rPr>
          <w:rFonts w:ascii="Times New Roman" w:hAnsi="Times New Roman"/>
          <w:i/>
          <w:sz w:val="20"/>
        </w:rPr>
      </w:pPr>
      <w:r>
        <w:rPr>
          <w:rFonts w:ascii="Times New Roman" w:hAnsi="Times New Roman"/>
          <w:i/>
          <w:sz w:val="20"/>
        </w:rPr>
        <w:t xml:space="preserve">Step 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jc w:val="left"/>
        <w:rPr>
          <w:rFonts w:ascii="Times New Roman" w:hAnsi="Times New Roman"/>
          <w:i/>
          <w:sz w:val="20"/>
        </w:rPr>
      </w:pPr>
      <w:r>
        <w:rPr>
          <w:rFonts w:ascii="Times New Roman" w:hAnsi="Times New Roman"/>
          <w:i/>
          <w:sz w:val="20"/>
        </w:rPr>
        <w:t xml:space="preserve">Step 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360" w:after="0"/>
        <w:jc w:val="left"/>
        <w:rPr>
          <w:rFonts w:ascii="Times New Roman" w:hAnsi="Times New Roman"/>
          <w:i/>
          <w:sz w:val="20"/>
        </w:rPr>
      </w:pPr>
      <w:r>
        <w:rPr>
          <w:rFonts w:ascii="Times New Roman" w:hAnsi="Times New Roman"/>
          <w:i/>
          <w:sz w:val="20"/>
        </w:rPr>
        <w:t xml:space="preserve">Step 5: Recognize revenue when we satisfy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w:t>
      </w:r>
    </w:p>
    <w:p>
      <w:pPr>
        <w:pStyle w:val="TextBody"/>
        <w:bidi w:val="0"/>
        <w:spacing w:before="0" w:after="0"/>
        <w:jc w:val="left"/>
        <w:rPr/>
      </w:pPr>
      <w:r>
        <w:rPr/>
        <w:t> </w:t>
      </w:r>
    </w:p>
    <w:tbl>
      <w:tblPr>
        <w:tblW w:w="4140" w:type="dxa"/>
        <w:jc w:val="left"/>
        <w:tblInd w:w="0" w:type="dxa"/>
        <w:tblLayout w:type="fixed"/>
        <w:tblCellMar>
          <w:top w:w="0" w:type="dxa"/>
          <w:left w:w="0" w:type="dxa"/>
          <w:bottom w:w="0" w:type="dxa"/>
          <w:right w:w="0" w:type="dxa"/>
        </w:tblCellMar>
      </w:tblPr>
      <w:tblGrid>
        <w:gridCol w:w="2450"/>
        <w:gridCol w:w="120"/>
        <w:gridCol w:w="140"/>
        <w:gridCol w:w="380"/>
        <w:gridCol w:w="60"/>
        <w:gridCol w:w="120"/>
        <w:gridCol w:w="140"/>
        <w:gridCol w:w="560"/>
        <w:gridCol w:w="170"/>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Contract</w:t>
              <w:br/>
              <w:t>Liabilities</w:t>
            </w:r>
          </w:p>
        </w:tc>
        <w:tc>
          <w:tcPr>
            <w:tcW w:w="17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i/>
              </w:rPr>
            </w:pPr>
            <w:r>
              <w:rPr>
                <w:i/>
              </w:rPr>
              <w:t>(Amounts in thousands)</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1,100</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 to 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1,728</w:t>
            </w:r>
          </w:p>
        </w:tc>
        <w:tc>
          <w:tcPr>
            <w:tcW w:w="17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 recognized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(183</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2,645</w:t>
            </w:r>
          </w:p>
        </w:tc>
        <w:tc>
          <w:tcPr>
            <w:tcW w:w="17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offers a standard assurance-type warranty to customers for hardware sales.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and December 31, 2024, the Company had cash and cash equivalents balances, inclusive of funds held in escrow, in excess of domestic and international insurance limits of approximately $71.9 million and $49.3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cash balances held as security deposits related to international payment services. As of March 31, 2025 and December 31, 2024, restricted cash of $0.3 million was included within other assets on the condensed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Funds Held in Escrow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w:t>
      </w:r>
    </w:p>
    <w:p>
      <w:pPr>
        <w:pStyle w:val="TextBody"/>
        <w:bidi w:val="0"/>
        <w:spacing w:before="360" w:after="0"/>
        <w:jc w:val="left"/>
        <w:rPr>
          <w:rFonts w:ascii="Times New Roman" w:hAnsi="Times New Roman"/>
          <w:i/>
          <w:sz w:val="20"/>
        </w:rPr>
      </w:pPr>
      <w:r>
        <w:rPr>
          <w:rFonts w:ascii="Times New Roman" w:hAnsi="Times New Roman"/>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direct incremental legal, consulting and banking fees primarily relating to the Merger.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 </w:t>
      </w:r>
    </w:p>
    <w:p>
      <w:pPr>
        <w:pStyle w:val="TextBody"/>
        <w:bidi w:val="0"/>
        <w:spacing w:before="360" w:after="0"/>
        <w:jc w:val="left"/>
        <w:rPr>
          <w:rFonts w:ascii="Times New Roman" w:hAnsi="Times New Roman"/>
          <w:i/>
          <w:sz w:val="20"/>
        </w:rPr>
      </w:pPr>
      <w:r>
        <w:rPr>
          <w:rFonts w:ascii="Times New Roman" w:hAnsi="Times New Roman"/>
          <w:i/>
          <w:sz w:val="20"/>
        </w:rPr>
        <w:t xml:space="preserve">Embedded Derivative 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 </w:t>
      </w:r>
    </w:p>
    <w:p>
      <w:pPr>
        <w:pStyle w:val="TextBody"/>
        <w:bidi w:val="0"/>
        <w:spacing w:before="360" w:after="0"/>
        <w:jc w:val="left"/>
        <w:rPr>
          <w:rFonts w:ascii="Times New Roman" w:hAnsi="Times New Roman"/>
          <w:i/>
          <w:sz w:val="20"/>
        </w:rPr>
      </w:pPr>
      <w:r>
        <w:rPr>
          <w:rFonts w:ascii="Times New Roman" w:hAnsi="Times New Roman"/>
          <w:i/>
          <w:sz w:val="20"/>
        </w:rPr>
        <w:t xml:space="preserve">Legacy Blaize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accounted for its convertible notes, some of which contained predominantly fixed rate conversion features under ASU 2020-06 </w:t>
      </w:r>
      <w:r>
        <w:rPr>
          <w:rFonts w:ascii="Times New Roman" w:hAnsi="Times New Roman"/>
          <w:i/>
          <w:sz w:val="20"/>
        </w:rPr>
        <w:t>Debt — Debt with Conversion and Other Options (Subtopic 470-20), Derivatives and Hedging — Contracts in Entity’s Own Equity (Subtopic 815-40) and Accounting for Convertible Instruments and Contracts in an Entity’s Own Equity</w:t>
      </w:r>
      <w:r>
        <w:rPr>
          <w:rFonts w:ascii="Times New Roman" w:hAnsi="Times New Roman"/>
          <w:sz w:val="20"/>
        </w:rPr>
        <w:t xml:space="preserve">. The Company elected to account for its convertible notes at fair value at each period end pursuant to ASC 825, Financial Instruments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Legacy Blaize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Legacy Blaize shareholders and outstanding equity award holders (including stock options and RSUs) are entitled to receive up to 15,000,000 shares of the Company’s Class A common stock (the “Earnout Shares”). Earnout Shares issued to eligible Legacy Blaize equity holders (including holders of stock options and restricted stock units (“RSUs”)) are considered a compensatory award and are accounted for under ASC 718, Share-Based Compensation. Further these awards have been determined to be equity classified and accordingly will not be remeasured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Earnout Shares issued to Burkhan and all other equity holders not within the scope of ASC 718 in connection with consummation of the Merger, were evaluated by management under ASC 480, Distinguishing Liabilities from Equity. The Company determined that the Earnout Shares are freestanding and not liability classified under ASC 480. Subsequently, management evaluated whether the Earnout Shares represented a derivative instrument pursuant to ASC 815, Derivatives and Hedging.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Legacy Blaize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had (i) Series Seed Shadow Preferred Stock, (ii) Series A Shadow Preferred Stock, (iii) Shadow B Shadow Preferred Stock, (iv) Series C Shadow Preferred Stock, (v) Series D Shadow Preferred Stock, (vi) Series D Exchange Shadow Preferred Stock, (vii) Series D-1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all shares of redeemable convertible preferred stock outstanding were converted into shares of common stock. All shares of redeemable convertible preferred stock which were converted into shares of common stock were retroactively adjusted using the exchange ratio and reclassified into permanent equity as a result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subject to possible redemption in accordance with the guidance in ASC Topic 480 Distinguishing Liabilities from Equity. Certain common stock is held in escrow pursuant to Non-Redemption Agreements and feature certain redemption rights that are considered to be outside of the Company’s control and within the control of the holders. Accordingly, as of March 31, 2025, 2,854,242 shares of common stock are subject to possible redemption, and have been presented at redemption value as temporary equity, outside of the stockholders’ equity (deficit) section of the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 </w:t>
      </w:r>
    </w:p>
    <w:p>
      <w:pPr>
        <w:pStyle w:val="TextBody"/>
        <w:bidi w:val="0"/>
        <w:spacing w:before="360" w:after="0"/>
        <w:jc w:val="left"/>
        <w:rPr>
          <w:rFonts w:ascii="Times New Roman" w:hAnsi="Times New Roman"/>
          <w:i/>
          <w:sz w:val="20"/>
        </w:rPr>
      </w:pPr>
      <w:r>
        <w:rPr>
          <w:rFonts w:ascii="Times New Roman" w:hAnsi="Times New Roman"/>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 </w:t>
      </w:r>
    </w:p>
    <w:p>
      <w:pPr>
        <w:pStyle w:val="TextBody"/>
        <w:bidi w:val="0"/>
        <w:spacing w:before="360" w:after="0"/>
        <w:jc w:val="left"/>
        <w:rPr>
          <w:rFonts w:ascii="Times New Roman" w:hAnsi="Times New Roman"/>
          <w:i/>
          <w:sz w:val="20"/>
        </w:rPr>
      </w:pPr>
      <w:r>
        <w:rPr>
          <w:rFonts w:ascii="Times New Roman" w:hAnsi="Times New Roman"/>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The Company did not record any stock-based compensation expense associated with the RSUs during the three months ended March 31, 2024, as a liquidity event had not occurred during that period.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944597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240" w:after="0"/>
        <w:jc w:val="left"/>
        <w:rPr>
          <w:rFonts w:ascii="Times New Roman" w:hAnsi="Times New Roman"/>
          <w:sz w:val="20"/>
        </w:rPr>
      </w:pPr>
      <w:r>
        <w:rPr>
          <w:rFonts w:ascii="Times New Roman" w:hAnsi="Times New Roman"/>
          <w:sz w:val="20"/>
        </w:rPr>
        <w:t xml:space="preserve">We provide AI accelerated computing solutions, optimized for vision analytics applications at the edge. This is particularly relevant in the mobility and automotive sectors, where we provide solutions for Level 2 (“L2”) and Level 2+ (“L2+”) applications and collaborate with Original Equipment Manufacturer (“OEMs”) to develop advanced Level 4+ (“L4+”) capabilities, as per the Society of Automotive Engineers’ “Levels of Driving Automation.” Our fully automotive-grade compliant chip roadmap supports our customers’ continued evolution and reinforces our commitment to advancing AI-powered autonomy. </w:t>
      </w:r>
    </w:p>
    <w:p>
      <w:pPr>
        <w:pStyle w:val="TextBody"/>
        <w:bidi w:val="0"/>
        <w:spacing w:before="240" w:after="0"/>
        <w:jc w:val="left"/>
        <w:rPr>
          <w:rFonts w:ascii="Times New Roman" w:hAnsi="Times New Roman"/>
          <w:sz w:val="20"/>
        </w:rPr>
      </w:pPr>
      <w:r>
        <w:rPr>
          <w:rFonts w:ascii="Times New Roman" w:hAnsi="Times New Roman"/>
          <w:sz w:val="20"/>
        </w:rPr>
        <w:t xml:space="preserve">With over a decade of investment in research and development, we have developed groundbreaking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delivering significant value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 are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 </w:t>
      </w:r>
    </w:p>
    <w:p>
      <w:pPr>
        <w:pStyle w:val="TextBody"/>
        <w:bidi w:val="0"/>
        <w:spacing w:before="240" w:after="0"/>
        <w:jc w:val="left"/>
        <w:rPr>
          <w:rFonts w:ascii="Times New Roman" w:hAnsi="Times New Roman"/>
          <w:sz w:val="20"/>
        </w:rPr>
      </w:pPr>
      <w:r>
        <w:rPr>
          <w:rFonts w:ascii="Times New Roman" w:hAnsi="Times New Roman"/>
          <w:sz w:val="20"/>
        </w:rPr>
        <w:t xml:space="preserve">With a strong focus on innovation, performance, and strategic partnerships, we believe we are well positioned to enable organizations to process and analyze their data in real time from core to edge, unlocking new business opportunities and gaining a competitive advantage in the evolving AI landscape. Our integrated approach to AI accelerated computing ensures that enterprises can harness the full potential of AI.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120" w:after="0"/>
        <w:jc w:val="left"/>
        <w:rPr>
          <w:rFonts w:ascii="Times New Roman" w:hAnsi="Times New Roman"/>
          <w:sz w:val="20"/>
        </w:rPr>
      </w:pPr>
      <w:r>
        <w:rPr>
          <w:rFonts w:ascii="Times New Roman" w:hAnsi="Times New Roman"/>
          <w:sz w:val="20"/>
        </w:rPr>
        <w:t xml:space="preserve">Historically, most processing solutions designed for the edge (“edge applications”) were built around cloud and data center-centric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In such solutions, data is collected at the edge and is sent back to a centralized location where the real AI processing happens. This approach is power-demanding,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 the burden of cloud and centralized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we have witnessed AI moving from exploration and innovation to deployment phase across most industries. Business leaders and organizations have started to understand the value, benefits and the return on investment of AI, leading to a significant growth in adoption of AI and demand for AI accelerator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is already engaged in various industries with great potential for the widespread adoption of AI such as automotive, defense, enterprise and more. The adoption of AI in these industries is growing at a healthy rate and is poised to continue to do so in the long term, supported by strong fundamentals such as the adoption of autonomous solutions and generative AI, decentralization of data and AI for data privacy and data ownership and the drive for sustainability. We are well positioned to immediately access the burgeoning AI accelerator market today with our software and solutions, in addition to our rich roadmap, which we believe will allow us to continue our Serviceable Addressable Market (“SAM”). </w:t>
      </w:r>
    </w:p>
    <w:p>
      <w:pPr>
        <w:pStyle w:val="TextBody"/>
        <w:bidi w:val="0"/>
        <w:spacing w:before="240" w:after="0"/>
        <w:jc w:val="left"/>
        <w:rPr>
          <w:rFonts w:ascii="Times New Roman" w:hAnsi="Times New Roman"/>
          <w:sz w:val="20"/>
        </w:rPr>
      </w:pPr>
      <w:r>
        <w:rPr>
          <w:rFonts w:ascii="Times New Roman" w:hAnsi="Times New Roman"/>
          <w:sz w:val="20"/>
        </w:rPr>
        <w:t xml:space="preserve">We expect the AI landscape to continue evolving at a rapid pace. Key trends that will impact the future of our industries include adoption of generative AI, large language models (“LLMs”), small language models (“SLMs”), vision transformers and multi-modality. The industry will continue to seek alternatives to incumbent architectures such as the graphic processing unit (“GPU”) and the central processing unit (“CPU”), prioritizing performance, total cost of ownership and ease of use. These characteristics are just as relevant and necessary for data center inference applications as they are for edge AI vision analytics. As the Blaize chip roadmap is enhanced, the inherent advantages of the Graph Streaming Processor (“GSP”) architecture and ease of programmability enable Blaize to remain relevant to market and customer evolution. </w:t>
      </w:r>
    </w:p>
    <w:p>
      <w:pPr>
        <w:pStyle w:val="TextBody"/>
        <w:bidi w:val="0"/>
        <w:spacing w:before="360" w:after="0"/>
        <w:jc w:val="left"/>
        <w:rPr>
          <w:rFonts w:ascii="Times New Roman" w:hAnsi="Times New Roman"/>
          <w:b/>
          <w:sz w:val="20"/>
        </w:rPr>
      </w:pPr>
      <w:r>
        <w:rPr>
          <w:rFonts w:ascii="Times New Roman" w:hAnsi="Times New Roman"/>
          <w:b/>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 </w:t>
      </w:r>
    </w:p>
    <w:p>
      <w:pPr>
        <w:pStyle w:val="TextBody"/>
        <w:bidi w:val="0"/>
        <w:spacing w:before="240" w:after="0"/>
        <w:jc w:val="left"/>
        <w:rPr>
          <w:rFonts w:ascii="Times New Roman" w:hAnsi="Times New Roman"/>
          <w:sz w:val="20"/>
        </w:rPr>
      </w:pPr>
      <w:r>
        <w:rPr>
          <w:rFonts w:ascii="Times New Roman" w:hAnsi="Times New Roman"/>
          <w:sz w:val="20"/>
        </w:rPr>
        <w:t xml:space="preserve">Our target markets are large, growing and sustained by strong fundamentals. The drivers for this growth are mainly attributed to an adoption drive across industries for autonomous solutions, traditional and generative AI applications, with the trend moving towards decentralization of data, data privacy and ownership, and the global appetite for sustainability. </w:t>
      </w:r>
    </w:p>
    <w:p>
      <w:pPr>
        <w:pStyle w:val="TextBody"/>
        <w:bidi w:val="0"/>
        <w:spacing w:before="360" w:after="0"/>
        <w:jc w:val="left"/>
        <w:rPr>
          <w:rFonts w:ascii="Times New Roman" w:hAnsi="Times New Roman"/>
          <w:b/>
          <w:sz w:val="20"/>
        </w:rPr>
      </w:pPr>
      <w:r>
        <w:rPr>
          <w:rFonts w:ascii="Times New Roman" w:hAnsi="Times New Roman"/>
          <w:b/>
          <w:sz w:val="20"/>
        </w:rPr>
        <w:t xml:space="preserve">Products </w:t>
      </w:r>
    </w:p>
    <w:p>
      <w:pPr>
        <w:pStyle w:val="TextBody"/>
        <w:bidi w:val="0"/>
        <w:spacing w:before="120" w:after="0"/>
        <w:jc w:val="left"/>
        <w:rPr>
          <w:rFonts w:ascii="Times New Roman" w:hAnsi="Times New Roman"/>
          <w:sz w:val="20"/>
        </w:rPr>
      </w:pPr>
      <w:r>
        <w:rPr>
          <w:rFonts w:ascii="Times New Roman" w:hAnsi="Times New Roman"/>
          <w:sz w:val="20"/>
        </w:rPr>
        <w:t xml:space="preserve">Blaize’s product roadmap focuses on creating optimized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and exceed those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Blaize has created an innovative type of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As the demands of edge AI inference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increase at a rapid pace, and customer data is evolving and changing frequently, our GSP has key advantages in enabling customer confidence. </w:t>
      </w:r>
    </w:p>
    <w:p>
      <w:pPr>
        <w:pStyle w:val="TextBody"/>
        <w:bidi w:val="0"/>
        <w:spacing w:before="240" w:after="0"/>
        <w:jc w:val="left"/>
        <w:rPr>
          <w:rFonts w:ascii="Times New Roman" w:hAnsi="Times New Roman"/>
          <w:sz w:val="20"/>
        </w:rPr>
      </w:pPr>
      <w:r>
        <w:rPr>
          <w:rFonts w:ascii="Times New Roman" w:hAnsi="Times New Roman"/>
          <w:sz w:val="20"/>
        </w:rPr>
        <w:t xml:space="preserve">Blaize’s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 </w:t>
      </w:r>
    </w:p>
    <w:p>
      <w:pPr>
        <w:pStyle w:val="TextBody"/>
        <w:bidi w:val="0"/>
        <w:spacing w:before="240" w:after="0"/>
        <w:jc w:val="left"/>
        <w:rPr>
          <w:rFonts w:ascii="Times New Roman" w:hAnsi="Times New Roman"/>
          <w:sz w:val="20"/>
        </w:rPr>
      </w:pPr>
      <w:r>
        <w:rPr>
          <w:rFonts w:ascii="Times New Roman" w:hAnsi="Times New Roman"/>
          <w:sz w:val="20"/>
        </w:rPr>
        <w:t xml:space="preserve">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 </w:t>
      </w:r>
    </w:p>
    <w:p>
      <w:pPr>
        <w:pStyle w:val="TextBody"/>
        <w:bidi w:val="0"/>
        <w:spacing w:before="240" w:after="0"/>
        <w:jc w:val="left"/>
        <w:rPr>
          <w:rFonts w:ascii="Times New Roman" w:hAnsi="Times New Roman"/>
          <w:sz w:val="20"/>
        </w:rPr>
      </w:pPr>
      <w:r>
        <w:rPr>
          <w:rFonts w:ascii="Times New Roman" w:hAnsi="Times New Roman"/>
          <w:sz w:val="20"/>
        </w:rPr>
        <w:t xml:space="preserve">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 </w:t>
      </w:r>
    </w:p>
    <w:p>
      <w:pPr>
        <w:pStyle w:val="TextBody"/>
        <w:bidi w:val="0"/>
        <w:spacing w:before="240" w:after="0"/>
        <w:jc w:val="left"/>
        <w:rPr>
          <w:rFonts w:ascii="Times New Roman" w:hAnsi="Times New Roman"/>
          <w:sz w:val="20"/>
        </w:rPr>
      </w:pPr>
      <w:r>
        <w:rPr>
          <w:rFonts w:ascii="Times New Roman" w:hAnsi="Times New Roman"/>
          <w:sz w:val="20"/>
        </w:rPr>
        <w:t xml:space="preserve">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current hardware products place us in a strong position into the rapidly expanding AI accelerator market today. We have worked with many customers in testing and technical evaluations across industries, such as enterprise, defense and automotive. In addition to hardware sales, we believe we are well positioned for growth in our software sales and services through our comprehensive, pre-integrated software stack, vertically integrated solutions, AI Studio development platform, and analytics framework and toolkit. </w:t>
      </w:r>
    </w:p>
    <w:p>
      <w:pPr>
        <w:pStyle w:val="TextBody"/>
        <w:bidi w:val="0"/>
        <w:spacing w:before="360" w:after="0"/>
        <w:jc w:val="left"/>
        <w:rPr>
          <w:rFonts w:ascii="Times New Roman" w:hAnsi="Times New Roman"/>
          <w:b/>
          <w:sz w:val="20"/>
        </w:rPr>
      </w:pPr>
      <w:r>
        <w:rPr>
          <w:rFonts w:ascii="Times New Roman" w:hAnsi="Times New Roman"/>
          <w:b/>
          <w:sz w:val="20"/>
        </w:rPr>
        <w:t xml:space="preserve">Product Target Markets </w:t>
      </w:r>
    </w:p>
    <w:p>
      <w:pPr>
        <w:pStyle w:val="TextBody"/>
        <w:bidi w:val="0"/>
        <w:spacing w:before="120" w:after="0"/>
        <w:jc w:val="left"/>
        <w:rPr>
          <w:rFonts w:ascii="Times New Roman" w:hAnsi="Times New Roman"/>
          <w:sz w:val="20"/>
        </w:rPr>
      </w:pPr>
      <w:r>
        <w:rPr>
          <w:rFonts w:ascii="Times New Roman" w:hAnsi="Times New Roman"/>
          <w:sz w:val="20"/>
        </w:rPr>
        <w:t xml:space="preserve">Our product targets two of AI’s highest-impact verticals that require AI accelerated computing at the edge: short cycle industrial and long cycle automotive.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 Cycle Industrial </w:t>
      </w:r>
    </w:p>
    <w:p>
      <w:pPr>
        <w:pStyle w:val="TextBody"/>
        <w:bidi w:val="0"/>
        <w:spacing w:before="120" w:after="0"/>
        <w:jc w:val="left"/>
        <w:rPr>
          <w:rFonts w:ascii="Times New Roman" w:hAnsi="Times New Roman"/>
          <w:sz w:val="20"/>
        </w:rPr>
      </w:pPr>
      <w:r>
        <w:rPr>
          <w:rFonts w:ascii="Times New Roman" w:hAnsi="Times New Roman"/>
          <w:sz w:val="20"/>
        </w:rPr>
        <w:t xml:space="preserve">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uniquely positioned to provide value to the market due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 programmable hardware and AI Studio software platform enables customers to fully and easily integrate their solutions and deploy to market faster and more efficiently.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ease of use of our products allows customers to quickly deploy, manage, and extract contextual value from their analytics to meet their needs. We enable our customers to easily update their models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80" w:type="dxa"/>
        <w:jc w:val="left"/>
        <w:tblInd w:w="0" w:type="dxa"/>
        <w:tblLayout w:type="fixed"/>
        <w:tblCellMar>
          <w:top w:w="0" w:type="dxa"/>
          <w:left w:w="0" w:type="dxa"/>
          <w:bottom w:w="0" w:type="dxa"/>
          <w:right w:w="0" w:type="dxa"/>
        </w:tblCellMar>
      </w:tblPr>
      <w:tblGrid>
        <w:gridCol w:w="75"/>
        <w:gridCol w:w="9305"/>
      </w:tblGrid>
      <w:tr>
        <w:trPr/>
        <w:tc>
          <w:tcPr>
            <w:tcW w:w="75"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new data becomes available, without having to resort to scarce and expensive data science skilled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Blaize’s dynamic hardware and software solutions enable proactive maintenance, ongoing optimization and enhanced security in tailored applications, such as in full-field asset tracking and monitoring functions related to security and monitoring.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Long Cycle Automotive </w:t>
      </w:r>
    </w:p>
    <w:p>
      <w:pPr>
        <w:pStyle w:val="TextBody"/>
        <w:bidi w:val="0"/>
        <w:spacing w:before="120" w:after="0"/>
        <w:jc w:val="left"/>
        <w:rPr>
          <w:rFonts w:ascii="Times New Roman" w:hAnsi="Times New Roman"/>
          <w:sz w:val="20"/>
        </w:rPr>
      </w:pPr>
      <w:r>
        <w:rPr>
          <w:rFonts w:ascii="Times New Roman" w:hAnsi="Times New Roman"/>
          <w:sz w:val="20"/>
        </w:rPr>
        <w:t xml:space="preserve">Blaize’s GSP provides an efficient way to run standard and customized neural networks in automobiles and other transportation vehicles. We expect to use our GSP-based platforms to replace power-consuming GPU and Field 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 </w:t>
      </w:r>
    </w:p>
    <w:p>
      <w:pPr>
        <w:pStyle w:val="TextBody"/>
        <w:bidi w:val="0"/>
        <w:spacing w:before="240" w:after="0"/>
        <w:jc w:val="left"/>
        <w:rPr>
          <w:rFonts w:ascii="Times New Roman" w:hAnsi="Times New Roman"/>
          <w:sz w:val="20"/>
        </w:rPr>
      </w:pPr>
      <w:r>
        <w:rPr>
          <w:rFonts w:ascii="Times New Roman" w:hAnsi="Times New Roman"/>
          <w:sz w:val="20"/>
        </w:rPr>
        <w:t xml:space="preserve">We consider our technology to be uniquely positioned to win in this market. The automotive value chain is quickly evolving with profits coming from the ability of automotive OEMs and Tier-1 suppliers to offer software upgrades and new features in the field. Our technology can bring considerable advantages in these applications due to the programmability of the hardware, the support for industry standards and the overall advantage in total cost of ownership.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roadmap is robust and expected to meet the ever-growing complexity and size of models for current and future demands of autonomous driving.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Roadmap </w:t>
      </w:r>
    </w:p>
    <w:p>
      <w:pPr>
        <w:pStyle w:val="TextBody"/>
        <w:bidi w:val="0"/>
        <w:spacing w:before="120" w:after="0"/>
        <w:jc w:val="left"/>
        <w:rPr>
          <w:rFonts w:ascii="Times New Roman" w:hAnsi="Times New Roman"/>
          <w:sz w:val="20"/>
        </w:rPr>
      </w:pPr>
      <w:r>
        <w:rPr>
          <w:rFonts w:ascii="Times New Roman" w:hAnsi="Times New Roman"/>
          <w:sz w:val="20"/>
        </w:rPr>
        <w:t xml:space="preserve">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 </w:t>
      </w:r>
    </w:p>
    <w:p>
      <w:pPr>
        <w:pStyle w:val="TextBody"/>
        <w:bidi w:val="0"/>
        <w:spacing w:before="240" w:after="0"/>
        <w:jc w:val="left"/>
        <w:rPr>
          <w:rFonts w:ascii="Times New Roman" w:hAnsi="Times New Roman"/>
          <w:sz w:val="20"/>
        </w:rPr>
      </w:pPr>
      <w:r>
        <w:rPr>
          <w:rFonts w:ascii="Times New Roman" w:hAnsi="Times New Roman"/>
          <w:sz w:val="20"/>
        </w:rPr>
        <w:t xml:space="preserve">The existing products will enable Blaize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organization utilizes research to identify key markets and sales opportunities across our target markets. Our marketing activities focus on elevating brand, product and value proposition awareness across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broader industry, with prospects in selected target verticals. This includes participation at trade events, demonstrations of Blaize technology, collaborations and co-promotions with ecosystem partners, social campaigns, competitive positioning and other marketing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go-to-market (“GTM”) strategy focuses on creating a partnership ecosystem to develop and define a portfolio of end-to-end, market ready solutions powered by our products that addresses enterprise customer requirements in the enterprise, commercial, industrial and defense verticals. </w:t>
      </w:r>
    </w:p>
    <w:p>
      <w:pPr>
        <w:pStyle w:val="TextBody"/>
        <w:bidi w:val="0"/>
        <w:spacing w:before="240" w:after="0"/>
        <w:jc w:val="left"/>
        <w:rPr>
          <w:rFonts w:ascii="Times New Roman" w:hAnsi="Times New Roman"/>
          <w:sz w:val="20"/>
        </w:rPr>
      </w:pPr>
      <w:r>
        <w:rPr>
          <w:rFonts w:ascii="Times New Roman" w:hAnsi="Times New Roman"/>
          <w:sz w:val="20"/>
        </w:rPr>
        <w:t xml:space="preserve">We focus our marketing and sales efforts on the following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Hardware powered by Blaize </w:t>
            </w:r>
            <w:r>
              <w:rPr>
                <w:rFonts w:ascii="Times New Roman" w:hAnsi="Times New Roman"/>
                <w:sz w:val="20"/>
              </w:rPr>
              <w:t xml:space="preserve">- we build, qualify, and quantify market ready hardware solutions with a large number of OEMs;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2.</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Our unique full stack approach </w:t>
            </w:r>
            <w:r>
              <w:rPr>
                <w:rFonts w:ascii="Times New Roman" w:hAnsi="Times New Roman"/>
                <w:sz w:val="20"/>
              </w:rPr>
              <w:t xml:space="preserve">- we are well positioned to deliver a fully integrated software and hardware solutions which include 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Applications powered by Blaize </w:t>
            </w:r>
            <w:r>
              <w:rPr>
                <w:rFonts w:ascii="Times New Roman" w:hAnsi="Times New Roman"/>
                <w:sz w:val="20"/>
              </w:rPr>
              <w:t xml:space="preserve">- our team concentrates on qualifying with application partners that deliver customer-facing software and services in our focused verticals;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Ecosystem channel delivery </w:t>
            </w:r>
            <w:r>
              <w:rPr>
                <w:rFonts w:ascii="Times New Roman" w:hAnsi="Times New Roman"/>
                <w:sz w:val="20"/>
              </w:rPr>
              <w:t xml:space="preserve">- we contract with cloud, distribution, integration, and value-add resellers already supporting our target markets;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Enterprise adoption </w:t>
            </w:r>
            <w:r>
              <w:rPr>
                <w:rFonts w:ascii="Times New Roman" w:hAnsi="Times New Roman"/>
                <w:sz w:val="20"/>
              </w:rPr>
              <w:t xml:space="preserve">- we promote market ready solutions powered by Blaize and present use cases that meet our customers’ varying budget and deployment requirements.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Customers and Prospective Customers </w:t>
      </w:r>
    </w:p>
    <w:p>
      <w:pPr>
        <w:pStyle w:val="TextBody"/>
        <w:bidi w:val="0"/>
        <w:spacing w:before="120" w:after="0"/>
        <w:jc w:val="left"/>
        <w:rPr>
          <w:rFonts w:ascii="Times New Roman" w:hAnsi="Times New Roman"/>
          <w:sz w:val="20"/>
        </w:rPr>
      </w:pPr>
      <w:r>
        <w:rPr>
          <w:rFonts w:ascii="Times New Roman" w:hAnsi="Times New Roman"/>
          <w:sz w:val="20"/>
        </w:rPr>
        <w:t xml:space="preserve">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 </w:t>
      </w:r>
    </w:p>
    <w:p>
      <w:pPr>
        <w:pStyle w:val="TextBody"/>
        <w:bidi w:val="0"/>
        <w:spacing w:before="240" w:after="0"/>
        <w:jc w:val="left"/>
        <w:rPr>
          <w:rFonts w:ascii="Times New Roman" w:hAnsi="Times New Roman"/>
          <w:sz w:val="20"/>
        </w:rPr>
      </w:pPr>
      <w:r>
        <w:rPr>
          <w:rFonts w:ascii="Times New Roman" w:hAnsi="Times New Roman"/>
          <w:sz w:val="20"/>
        </w:rPr>
        <w:t xml:space="preserve">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 </w:t>
      </w:r>
    </w:p>
    <w:p>
      <w:pPr>
        <w:pStyle w:val="TextBody"/>
        <w:bidi w:val="0"/>
        <w:spacing w:before="240" w:after="0"/>
        <w:jc w:val="left"/>
        <w:rPr>
          <w:rFonts w:ascii="Times New Roman" w:hAnsi="Times New Roman"/>
          <w:sz w:val="20"/>
        </w:rPr>
      </w:pPr>
      <w:r>
        <w:rPr>
          <w:rFonts w:ascii="Times New Roman" w:hAnsi="Times New Roman"/>
          <w:sz w:val="20"/>
        </w:rPr>
        <w:t xml:space="preserve">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POCA establish a timeline for each of the projects, including deadlines for the deliverables that TSP will require, beginning in the third quarter of 2024 through the fourth quarter of 2025. The POCA will continue to be in full force and effect unless terminated earlier by TSP. </w:t>
      </w:r>
    </w:p>
    <w:p>
      <w:pPr>
        <w:pStyle w:val="TextBody"/>
        <w:bidi w:val="0"/>
        <w:spacing w:before="240" w:after="0"/>
        <w:jc w:val="left"/>
        <w:rPr>
          <w:rFonts w:ascii="Times New Roman" w:hAnsi="Times New Roman"/>
          <w:sz w:val="20"/>
        </w:rPr>
      </w:pPr>
      <w:r>
        <w:rPr>
          <w:rFonts w:ascii="Times New Roman" w:hAnsi="Times New Roman"/>
          <w:sz w:val="20"/>
        </w:rPr>
        <w:t xml:space="preserve">Performance of the parties’ obligations under the POCA have been delayed and, as of March 31, 2025, Blaize has not shipped any products nor received any payments from the POCA Counterparty. Under the terms of the POCA, Blaize must receive advance payment by the POCA Counterparty before the shipment of any product. </w:t>
      </w:r>
    </w:p>
    <w:p>
      <w:pPr>
        <w:pStyle w:val="TextBody"/>
        <w:bidi w:val="0"/>
        <w:spacing w:before="240" w:after="0"/>
        <w:jc w:val="left"/>
        <w:rPr>
          <w:rFonts w:ascii="Times New Roman" w:hAnsi="Times New Roman"/>
          <w:sz w:val="20"/>
        </w:rPr>
      </w:pPr>
      <w:r>
        <w:rPr>
          <w:rFonts w:ascii="Times New Roman" w:hAnsi="Times New Roman"/>
          <w:sz w:val="20"/>
        </w:rPr>
        <w:t xml:space="preserve">Though no revenues have been realized under the terms of the POCA to date, Blaize is expecting to initiate work on field trials once the customer has identified the specific use case and provides access to their data. </w:t>
      </w:r>
    </w:p>
    <w:p>
      <w:pPr>
        <w:pStyle w:val="TextBody"/>
        <w:bidi w:val="0"/>
        <w:spacing w:before="240" w:after="0"/>
        <w:jc w:val="left"/>
        <w:rPr>
          <w:rFonts w:ascii="Times New Roman" w:hAnsi="Times New Roman"/>
          <w:sz w:val="20"/>
        </w:rPr>
      </w:pPr>
      <w:r>
        <w:rPr>
          <w:rFonts w:ascii="Times New Roman" w:hAnsi="Times New Roman"/>
          <w:sz w:val="20"/>
        </w:rPr>
        <w:t xml:space="preserve">We further believe that the solutions that Blaize is currently developing for TSP and TSP’s clients demonstrate Blaize’s capability to create a full-stack solution for the defense industry, which we believe can be marketed for other defense solutions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Competitive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key strengths will help us maintain our unique product solutions and continue our growth trajectory moving forward: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Revolutionary Architecture</w:t>
            </w:r>
            <w:r>
              <w:rPr>
                <w:rFonts w:ascii="Times New Roman" w:hAnsi="Times New Roman"/>
                <w:sz w:val="20"/>
              </w:rPr>
              <w:t xml:space="preserve">. We believe our innovative full-stack solution, incorporating and bundling silicon, hardware, and software, at 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Efficient and Programmable Graph Streaming Processor</w:t>
            </w:r>
            <w:r>
              <w:rPr>
                <w:rFonts w:ascii="Times New Roman" w:hAnsi="Times New Roman"/>
                <w:sz w:val="20"/>
              </w:rPr>
              <w:t xml:space="preserve">.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 (4) fully programmable.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Task-Level Parallelism through Highly Efficient Streaming of Neural Network Graphs</w:t>
            </w:r>
            <w:r>
              <w:rPr>
                <w:rFonts w:ascii="Times New Roman" w:hAnsi="Times New Roman"/>
                <w:sz w:val="20"/>
              </w:rPr>
              <w:t xml:space="preserve">. Neural network processing lends itself well to four different levels of parallelism: instruction-level, data-level, thread level, and task-level. Our GSP architecture is the only one in the industry to provide all four levels of parallelism: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GSPs offer instruction-level parallelism by scheduling instructions as soon as their dependencies have been met. Each processor executes its instructions independently of any other processor.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GSPs offer thread parallelism, with multiple hardware threads per processor. Within a single clock cycle, our processor can change context either by switching threads or by dispatching a new thread.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GSPs offer data parallelism through special instructions that can operate directly on unaligned blocks of data in a register file. These instructions include 2D block instructions, such as block move and block add, as well as reduction instructions, such as dot product.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Fully Programmable Architecture with Efficient End-to-end Applications</w:t>
            </w:r>
            <w:r>
              <w:rPr>
                <w:rFonts w:ascii="Times New Roman" w:hAnsi="Times New Roman"/>
                <w:sz w:val="20"/>
              </w:rPr>
              <w:t xml:space="preserve">. AI developers today face three major challenges when deploying AI applications in the real-world: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Integration</w:t>
            </w:r>
            <w:r>
              <w:rPr>
                <w:rFonts w:ascii="Times New Roman" w:hAnsi="Times New Roman"/>
                <w:sz w:val="20"/>
              </w:rPr>
              <w:t xml:space="preserve">. Neural network functions are usually part of an overall application; therefore, developers need to be able to easily and efficiently integrate both the neural network and non-neural network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Efficiency</w:t>
            </w:r>
            <w:r>
              <w:rPr>
                <w:rFonts w:ascii="Times New Roman" w:hAnsi="Times New Roman"/>
                <w:sz w:val="20"/>
              </w:rPr>
              <w:t xml:space="preserve">. The entire AI application must run efficiently on the hardware deployed, with high performance, low latency and low power;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Periodic Updates</w:t>
            </w:r>
            <w:r>
              <w:rPr>
                <w:rFonts w:ascii="Times New Roman" w:hAnsi="Times New Roman"/>
                <w:sz w:val="20"/>
              </w:rPr>
              <w:t xml:space="preserve">. It is crucial to be able to update applications and neural networks as more data is collected in the field and new neural network innovations rapidly evolve.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believe our GSP solves these three major challenges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Integration</w:t>
            </w:r>
            <w:r>
              <w:rPr>
                <w:rFonts w:ascii="Times New Roman" w:hAnsi="Times New Roman"/>
                <w:sz w:val="20"/>
              </w:rPr>
              <w:t xml:space="preserve">. The GSP architecture is fully programmable, which enables developers to build end-to-end AI applications, integrate non-neural network functions (such as Image Signal Processing) and neural network functions that are built in any Machine Learning framework, and execute these on the same hardware.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Efficiency</w:t>
            </w:r>
            <w:r>
              <w:rPr>
                <w:rFonts w:ascii="Times New Roman" w:hAnsi="Times New Roman"/>
                <w:sz w:val="20"/>
              </w:rPr>
              <w:t xml:space="preserve">. The fully integrated Picasso software development platform and graph framework take care of translating these complex end-to-end AI applications into graphs that run efficiently and performantly on the underlying hardware.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Periodic updates</w:t>
            </w:r>
            <w:r>
              <w:rPr>
                <w:rFonts w:ascii="Times New Roman" w:hAnsi="Times New Roman"/>
                <w:sz w:val="20"/>
              </w:rPr>
              <w:t xml:space="preserve">. As the neural network and workflow evolves, and as new data is collected, the AI models can be re-trained and re-deployed with ease and speed, using the integrated Picasso toolkit.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Low Capex and De-Risked Business Model</w:t>
            </w:r>
            <w:r>
              <w:rPr>
                <w:rFonts w:ascii="Times New Roman" w:hAnsi="Times New Roman"/>
                <w:sz w:val="20"/>
              </w:rPr>
              <w:t xml:space="preserve">. While we design and sell our hardware and semiconductor chips, we do not manufacture the silicon wafers or chips used in our products. Instead, we outsource the fabrication of these products to a manufacturing plant.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Cost Efficiency</w:t>
            </w:r>
            <w:r>
              <w:rPr>
                <w:rFonts w:ascii="Times New Roman" w:hAnsi="Times New Roman"/>
                <w:sz w:val="20"/>
              </w:rPr>
              <w:t xml:space="preserve">. As a fabless manufacturing company, we avoid potentially high capital investments that would be required to build and 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Flexibility and Scalability</w:t>
            </w:r>
            <w:r>
              <w:rPr>
                <w:rFonts w:ascii="Times New Roman" w:hAnsi="Times New Roman"/>
                <w:sz w:val="20"/>
              </w:rPr>
              <w:t xml:space="preserve">. We can scale production quickly without having to invest in additional manufacturing facilities. As a result, we respond to market demand fluctuations by leveraging the capacity and capabilities of external foundries. We believe this flexibility allows us to adapt to market conditions and rapidly bring new products to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Technological Expertise</w:t>
            </w:r>
            <w:r>
              <w:rPr>
                <w:rFonts w:ascii="Times New Roman" w:hAnsi="Times New Roman"/>
                <w:sz w:val="20"/>
              </w:rPr>
              <w:t xml:space="preserve">. We have a relentless focus to concentrate all efforts on research, development, and innovation, without being burdened by the complexities of semiconductor manufacturing. Our teams of experts are solely focused on designing advanced chips and pushing technological boundaries. We believe this specialization has enabled our development of more cutting-edge products and faster time-to-market.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Access to Advanced Processes</w:t>
            </w:r>
            <w:r>
              <w:rPr>
                <w:rFonts w:ascii="Times New Roman" w:hAnsi="Times New Roman"/>
                <w:sz w:val="20"/>
              </w:rPr>
              <w:t xml:space="preserve">.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Global Supply Chain</w:t>
            </w:r>
            <w:r>
              <w:rPr>
                <w:rFonts w:ascii="Times New Roman" w:hAnsi="Times New Roman"/>
                <w:sz w:val="20"/>
              </w:rPr>
              <w:t xml:space="preserve">. Our fabless approach gives us the ability to tap into a global network of foundries, enabling our selection of the most suitable manufacturing partner based on the specific requirements. We believe this global supply chain, in turn, also offers geographic diversification, reducing the risk of disruptions caused by regional issues, such as natural disasters or geopolitical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Focus on Differentiation</w:t>
            </w:r>
            <w:r>
              <w:rPr>
                <w:rFonts w:ascii="Times New Roman" w:hAnsi="Times New Roman"/>
                <w:sz w:val="20"/>
              </w:rPr>
              <w:t xml:space="preserve">. With manufacturing outsourced, we have the capacity to heavily focus on developing unique features and intellectual property (“IP”). We are investing in specialized design teams, software development, and system integration to create products that stand out in the market and provide a competitive advantage.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Reduced Time-to-Market</w:t>
            </w:r>
            <w:r>
              <w:rPr>
                <w:rFonts w:ascii="Times New Roman" w:hAnsi="Times New Roman"/>
                <w:sz w:val="20"/>
              </w:rPr>
              <w:t xml:space="preserve">. We believe the fabless manufacturing model allows us to expedite our product development cycles. By partnering with external foundries, we parallelize design and fabrication processes, reducing time-consuming steps and accelerating the overall time-to-market.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Growth Strategies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Scaling through expansion of our current products to reach deeper into our own industry’s verticals and expanding into adjacent verticals.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Growing our ecosystem of hardware manufacturers and independent software vendors specializing across a variety of industry verticals and form new partnerships with them to bring innovative turn-key solutions to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features available in AI Studio in order to target a wider community of developers, including universities and other institutes of higher education.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market AI trends into the design of our next-generation SoC to further expand our addressable TAM.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outsource all of our manufacturing and leverage partnerships with several global manufacturing and assembly providers. </w:t>
      </w:r>
    </w:p>
    <w:p>
      <w:pPr>
        <w:pStyle w:val="TextBody"/>
        <w:bidi w:val="0"/>
        <w:spacing w:before="240" w:after="0"/>
        <w:jc w:val="left"/>
        <w:rPr>
          <w:rFonts w:ascii="Times New Roman" w:hAnsi="Times New Roman"/>
          <w:sz w:val="20"/>
        </w:rPr>
      </w:pPr>
      <w:r>
        <w:rPr>
          <w:rFonts w:ascii="Times New Roman" w:hAnsi="Times New Roman"/>
          <w:sz w:val="20"/>
        </w:rPr>
        <w:t xml:space="preserve">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scalable and programmable architecture enables us to sell into a broad set of markets and applications.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competitors vary depending on the target market segment.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Data Center and Edge</w:t>
            </w:r>
            <w:r>
              <w:rPr>
                <w:rFonts w:ascii="Times New Roman" w:hAnsi="Times New Roman"/>
                <w:sz w:val="20"/>
              </w:rPr>
              <w:t xml:space="preserve">. We believe our main competitors come from producers of graphics processing units (“GPUs”), such as NVIDIA Corporation (“NVIDIA”), and GPU-derived application-specific-standard products (“ASSPs”). As we continue to grow, we predict additional competition will come from in-CPU acceleration provided by established vendors, including Intel and AMD.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Surveillance and Security</w:t>
            </w:r>
            <w:r>
              <w:rPr>
                <w:rFonts w:ascii="Times New Roman" w:hAnsi="Times New Roman"/>
                <w:sz w:val="20"/>
              </w:rPr>
              <w:t xml:space="preserve">. We consider companies with in-house application-specific integrated circuits (“ASICs”) that are either fully 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Machine Vision</w:t>
            </w:r>
            <w:r>
              <w:rPr>
                <w:rFonts w:ascii="Times New Roman" w:hAnsi="Times New Roman"/>
                <w:sz w:val="20"/>
              </w:rPr>
              <w:t xml:space="preserve">. We compete with industrial autonomation, quality control, and other machine vision utilization industries in this 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Drones, Robotics and Other Embedded Applications</w:t>
            </w:r>
            <w:r>
              <w:rPr>
                <w:rFonts w:ascii="Times New Roman" w:hAnsi="Times New Roman"/>
                <w:sz w:val="20"/>
              </w:rPr>
              <w:t xml:space="preserve">. We believe competition in this category is primarily from in-house designs and 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Automotive</w:t>
            </w:r>
            <w:r>
              <w:rPr>
                <w:rFonts w:ascii="Times New Roman" w:hAnsi="Times New Roman"/>
                <w:sz w:val="20"/>
              </w:rPr>
              <w:t xml:space="preserve">. We believe competition in this category comes from programmable AI-based computer vision developed in-house by automotive OEMs and by solutions merchants, such as NVIDIA, Qualcomm, Mobileye Global Inc., and emerging start-ups, such as Tenstorrent Inc.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Protection and Privacy </w:t>
      </w:r>
    </w:p>
    <w:p>
      <w:pPr>
        <w:pStyle w:val="TextBody"/>
        <w:bidi w:val="0"/>
        <w:spacing w:before="120" w:after="0"/>
        <w:jc w:val="left"/>
        <w:rPr>
          <w:rFonts w:ascii="Times New Roman" w:hAnsi="Times New Roman"/>
          <w:sz w:val="20"/>
        </w:rPr>
      </w:pPr>
      <w:r>
        <w:rPr>
          <w:rFonts w:ascii="Times New Roman" w:hAnsi="Times New Roman"/>
          <w:sz w:val="20"/>
        </w:rPr>
        <w:t xml:space="preserve">All states have adopted laws requiring notice to consumers of certain security breaches involving their personal information. In the event of a security breach, these laws may subject us to incident response, notice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 </w:t>
      </w:r>
    </w:p>
    <w:p>
      <w:pPr>
        <w:pStyle w:val="TextBody"/>
        <w:bidi w:val="0"/>
        <w:spacing w:before="240" w:after="0"/>
        <w:jc w:val="left"/>
        <w:rPr>
          <w:rFonts w:ascii="Times New Roman" w:hAnsi="Times New Roman"/>
          <w:sz w:val="20"/>
        </w:rPr>
      </w:pPr>
      <w:r>
        <w:rPr>
          <w:rFonts w:ascii="Times New Roman" w:hAnsi="Times New Roman"/>
          <w:sz w:val="20"/>
        </w:rPr>
        <w:t xml:space="preserve">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Anti-Corruption, Sanctions and CFIUS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 </w:t>
      </w:r>
    </w:p>
    <w:p>
      <w:pPr>
        <w:pStyle w:val="TextBody"/>
        <w:bidi w:val="0"/>
        <w:spacing w:before="240" w:after="0"/>
        <w:jc w:val="left"/>
        <w:rPr>
          <w:rFonts w:ascii="Times New Roman" w:hAnsi="Times New Roman"/>
          <w:sz w:val="20"/>
        </w:rPr>
      </w:pPr>
      <w:r>
        <w:rPr>
          <w:rFonts w:ascii="Times New Roman" w:hAnsi="Times New Roman"/>
          <w:sz w:val="20"/>
        </w:rPr>
        <w:t xml:space="preserve">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 </w:t>
      </w:r>
    </w:p>
    <w:p>
      <w:pPr>
        <w:pStyle w:val="TextBody"/>
        <w:bidi w:val="0"/>
        <w:spacing w:before="240" w:after="0"/>
        <w:jc w:val="left"/>
        <w:rPr>
          <w:rFonts w:ascii="Times New Roman" w:hAnsi="Times New Roman"/>
          <w:sz w:val="20"/>
        </w:rPr>
      </w:pPr>
      <w:r>
        <w:rPr>
          <w:rFonts w:ascii="Times New Roman" w:hAnsi="Times New Roman"/>
          <w:sz w:val="20"/>
        </w:rPr>
        <w:t xml:space="preserve">We own numerous issued patents and pending patent applications. As of December 31,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actively seeking patent protection covering inventions originating from us, from time to time, we review opportunities to acquire or in-license patents to the extent we believe such patents may be useful or relevant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 </w:t>
      </w:r>
    </w:p>
    <w:p>
      <w:pPr>
        <w:pStyle w:val="TextBody"/>
        <w:bidi w:val="0"/>
        <w:spacing w:before="360" w:after="0"/>
        <w:jc w:val="left"/>
        <w:rPr>
          <w:rFonts w:ascii="Times New Roman" w:hAnsi="Times New Roman"/>
          <w:i/>
          <w:sz w:val="20"/>
        </w:rPr>
      </w:pPr>
      <w:r>
        <w:rPr>
          <w:rFonts w:ascii="Times New Roman" w:hAnsi="Times New Roman"/>
          <w:i/>
          <w:sz w:val="20"/>
        </w:rPr>
        <w:t xml:space="preserve">Jefferies LLC v. Blaize Holdings, Inc. (formerly known as BurTech Acquisition Corp.)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El Dorado Hills, California where we lease approximately 1,753 square feet of office space pursuant to a lease that expires on December 14,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lease approximately 35,000 square feet of office space in Hyderabad, India pursuant to leases that expire on September 30, 2028. Our India premises contains engineering, research and development, and administrative functions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expired on July 15, 2025, which contains engineering and R&amp;D functions for Blaize. The Company is currently negotiating a lease extension for the 1,500 square foot office space lease in the United Kingdom and expects to sign a short-term renewal.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office and other space is adequate for our current needs and, should we need additional space, we believe we will be able to obtain additional space on commercially reasonable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944597_13"/>
      <w:bookmarkEnd w:id="15"/>
      <w:r>
        <w:rPr>
          <w:rFonts w:ascii="Times New Roman" w:hAnsi="Times New Roman"/>
          <w:b/>
          <w:sz w:val="20"/>
        </w:rPr>
        <w:t xml:space="preserve">MANAGEMENT </w:t>
      </w:r>
    </w:p>
    <w:p>
      <w:pPr>
        <w:pStyle w:val="TextBody"/>
        <w:bidi w:val="0"/>
        <w:spacing w:before="120" w:after="0"/>
        <w:jc w:val="left"/>
        <w:rPr>
          <w:rFonts w:ascii="Times New Roman" w:hAnsi="Times New Roman"/>
          <w:b/>
          <w:sz w:val="20"/>
        </w:rPr>
      </w:pPr>
      <w:r>
        <w:rPr>
          <w:rFonts w:ascii="Times New Roman" w:hAnsi="Times New Roman"/>
          <w:b/>
          <w:sz w:val="20"/>
        </w:rPr>
        <w:t xml:space="preserve">Management and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certain information, as of March 31, 2025, concerning the persons who serve as our executive officers and directors. </w:t>
      </w:r>
    </w:p>
    <w:p>
      <w:pPr>
        <w:pStyle w:val="TextBody"/>
        <w:bidi w:val="0"/>
        <w:spacing w:before="0" w:after="0"/>
        <w:jc w:val="left"/>
        <w:rPr/>
      </w:pPr>
      <w:r>
        <w:rPr/>
        <w:t> </w:t>
      </w:r>
    </w:p>
    <w:tbl>
      <w:tblPr>
        <w:tblW w:w="6090" w:type="dxa"/>
        <w:jc w:val="left"/>
        <w:tblInd w:w="0" w:type="dxa"/>
        <w:tblLayout w:type="fixed"/>
        <w:tblCellMar>
          <w:top w:w="0" w:type="dxa"/>
          <w:left w:w="0" w:type="dxa"/>
          <w:bottom w:w="0" w:type="dxa"/>
          <w:right w:w="0" w:type="dxa"/>
        </w:tblCellMar>
      </w:tblPr>
      <w:tblGrid>
        <w:gridCol w:w="1880"/>
        <w:gridCol w:w="120"/>
        <w:gridCol w:w="425"/>
        <w:gridCol w:w="120"/>
        <w:gridCol w:w="354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3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880" w:type="dxa"/>
            <w:tcBorders/>
            <w:shd w:fill="CCEEFF" w:val="clear"/>
            <w:vAlign w:val="center"/>
          </w:tcPr>
          <w:p>
            <w:pPr>
              <w:pStyle w:val="TableContents"/>
              <w:bidi w:val="0"/>
              <w:spacing w:before="0" w:after="283"/>
              <w:jc w:val="left"/>
              <w:rPr>
                <w:b/>
                <w:i/>
              </w:rPr>
            </w:pPr>
            <w:r>
              <w:rPr>
                <w:b/>
                <w:i/>
              </w:rPr>
              <w:t>Executive Officers</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Dinakar Munagala</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50</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r>
        <w:trPr/>
        <w:tc>
          <w:tcPr>
            <w:tcW w:w="1880" w:type="dxa"/>
            <w:tcBorders/>
            <w:shd w:fill="CCEEFF" w:val="clear"/>
            <w:vAlign w:val="center"/>
          </w:tcPr>
          <w:p>
            <w:pPr>
              <w:pStyle w:val="TableContents"/>
              <w:bidi w:val="0"/>
              <w:spacing w:before="0" w:after="283"/>
              <w:jc w:val="left"/>
              <w:rPr/>
            </w:pPr>
            <w:r>
              <w:rPr/>
              <w:t>Harminder Sehmi</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63</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Chief Financial Officer</w:t>
            </w:r>
          </w:p>
        </w:tc>
      </w:tr>
      <w:tr>
        <w:trPr/>
        <w:tc>
          <w:tcPr>
            <w:tcW w:w="1880" w:type="dxa"/>
            <w:tcBorders/>
            <w:vAlign w:val="center"/>
          </w:tcPr>
          <w:p>
            <w:pPr>
              <w:pStyle w:val="TableContents"/>
              <w:bidi w:val="0"/>
              <w:spacing w:before="0" w:after="283"/>
              <w:jc w:val="left"/>
              <w:rPr>
                <w:b/>
                <w:i/>
              </w:rPr>
            </w:pPr>
            <w:r>
              <w:rPr>
                <w:b/>
                <w:i/>
              </w:rPr>
              <w:t>Director Nominees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4"/>
                <w:szCs w:val="4"/>
              </w:rPr>
            </w:pPr>
            <w:r>
              <w:rPr>
                <w:sz w:val="4"/>
                <w:szCs w:val="4"/>
              </w:rPr>
            </w:r>
          </w:p>
        </w:tc>
      </w:tr>
      <w:tr>
        <w:trPr/>
        <w:tc>
          <w:tcPr>
            <w:tcW w:w="1880" w:type="dxa"/>
            <w:tcBorders/>
            <w:shd w:fill="CCEEFF" w:val="clear"/>
            <w:vAlign w:val="center"/>
          </w:tcPr>
          <w:p>
            <w:pPr>
              <w:pStyle w:val="TableContents"/>
              <w:bidi w:val="0"/>
              <w:spacing w:before="0" w:after="283"/>
              <w:jc w:val="left"/>
              <w:rPr/>
            </w:pPr>
            <w:r>
              <w:rPr/>
              <w:t>Edward Frank</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68</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Lane M. Bess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shd w:fill="CCEEFF" w:val="clear"/>
            <w:vAlign w:val="center"/>
          </w:tcPr>
          <w:p>
            <w:pPr>
              <w:pStyle w:val="TableContents"/>
              <w:bidi w:val="0"/>
              <w:spacing w:before="0" w:after="283"/>
              <w:jc w:val="left"/>
              <w:rPr/>
            </w:pPr>
            <w:r>
              <w:rPr/>
              <w:t>Juergen Hambrecht</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78</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Tony Cannestra</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59</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880" w:type="dxa"/>
            <w:tcBorders/>
            <w:shd w:fill="CCEEFF" w:val="clear"/>
            <w:vAlign w:val="center"/>
          </w:tcPr>
          <w:p>
            <w:pPr>
              <w:pStyle w:val="TableContents"/>
              <w:bidi w:val="0"/>
              <w:spacing w:before="0" w:after="283"/>
              <w:jc w:val="left"/>
              <w:rPr/>
            </w:pPr>
            <w:r>
              <w:rPr/>
              <w:t>George de Urioste</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69</w:t>
            </w:r>
          </w:p>
        </w:tc>
        <w:tc>
          <w:tcPr>
            <w:tcW w:w="12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Director</w:t>
            </w:r>
          </w:p>
        </w:tc>
      </w:tr>
      <w:tr>
        <w:trPr/>
        <w:tc>
          <w:tcPr>
            <w:tcW w:w="1880" w:type="dxa"/>
            <w:tcBorders/>
            <w:vAlign w:val="center"/>
          </w:tcPr>
          <w:p>
            <w:pPr>
              <w:pStyle w:val="TableContents"/>
              <w:bidi w:val="0"/>
              <w:spacing w:before="0" w:after="283"/>
              <w:jc w:val="left"/>
              <w:rPr/>
            </w:pPr>
            <w:r>
              <w:rPr/>
              <w:t>Yoshiaki Fujimori</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73</w:t>
            </w:r>
          </w:p>
        </w:tc>
        <w:tc>
          <w:tcPr>
            <w:tcW w:w="1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and Director </w:t>
      </w:r>
    </w:p>
    <w:p>
      <w:pPr>
        <w:pStyle w:val="TextBody"/>
        <w:bidi w:val="0"/>
        <w:spacing w:before="120" w:after="0"/>
        <w:jc w:val="left"/>
        <w:rPr>
          <w:rFonts w:ascii="Times New Roman" w:hAnsi="Times New Roman"/>
          <w:sz w:val="20"/>
        </w:rPr>
      </w:pPr>
      <w:r>
        <w:rPr>
          <w:rFonts w:ascii="Times New Roman" w:hAnsi="Times New Roman"/>
          <w:sz w:val="20"/>
        </w:rPr>
        <w:t xml:space="preserve">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w:t>
      </w:r>
    </w:p>
    <w:p>
      <w:pPr>
        <w:pStyle w:val="TextBody"/>
        <w:bidi w:val="0"/>
        <w:spacing w:before="240" w:after="0"/>
        <w:jc w:val="left"/>
        <w:rPr>
          <w:rFonts w:ascii="Times New Roman" w:hAnsi="Times New Roman"/>
          <w:sz w:val="20"/>
        </w:rPr>
      </w:pPr>
      <w:r>
        <w:rPr>
          <w:rFonts w:ascii="Times New Roman" w:hAnsi="Times New Roman"/>
          <w:sz w:val="20"/>
        </w:rPr>
        <w:t xml:space="preserve">Mr. Sehmi is a member of the Institute of Chartered Accountants in England and Wales (ACA) and he obtained his Accounting qualifications from the Oxford Brookes University and a Masters in Business Administration from the Cranfield School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Lane M. Bess, Director </w:t>
      </w:r>
    </w:p>
    <w:p>
      <w:pPr>
        <w:pStyle w:val="TextBody"/>
        <w:bidi w:val="0"/>
        <w:spacing w:before="120" w:after="0"/>
        <w:jc w:val="left"/>
        <w:rPr>
          <w:rFonts w:ascii="Times New Roman" w:hAnsi="Times New Roman"/>
          <w:sz w:val="20"/>
        </w:rPr>
      </w:pPr>
      <w:r>
        <w:rPr>
          <w:rFonts w:ascii="Times New Roman" w:hAnsi="Times New Roman"/>
          <w:sz w:val="20"/>
        </w:rPr>
        <w:t xml:space="preserve">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Tony Cannestra, Director </w:t>
      </w:r>
    </w:p>
    <w:p>
      <w:pPr>
        <w:pStyle w:val="TextBody"/>
        <w:bidi w:val="0"/>
        <w:spacing w:before="120" w:after="0"/>
        <w:jc w:val="left"/>
        <w:rPr>
          <w:rFonts w:ascii="Times New Roman" w:hAnsi="Times New Roman"/>
          <w:sz w:val="20"/>
        </w:rPr>
      </w:pPr>
      <w:r>
        <w:rPr>
          <w:rFonts w:ascii="Times New Roman" w:hAnsi="Times New Roman"/>
          <w:sz w:val="20"/>
        </w:rPr>
        <w:t xml:space="preserve">Tony Cannestra, 59,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Edward (Ed) H. Frank, Director </w:t>
      </w:r>
    </w:p>
    <w:p>
      <w:pPr>
        <w:pStyle w:val="TextBody"/>
        <w:bidi w:val="0"/>
        <w:spacing w:before="120" w:after="0"/>
        <w:jc w:val="left"/>
        <w:rPr>
          <w:rFonts w:ascii="Times New Roman" w:hAnsi="Times New Roman"/>
          <w:sz w:val="20"/>
        </w:rPr>
      </w:pPr>
      <w:r>
        <w:rPr>
          <w:rFonts w:ascii="Times New Roman" w:hAnsi="Times New Roman"/>
          <w:sz w:val="20"/>
        </w:rPr>
        <w:t xml:space="preserve">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Jüergen Hambrecht, Director </w:t>
      </w:r>
    </w:p>
    <w:p>
      <w:pPr>
        <w:pStyle w:val="TextBody"/>
        <w:bidi w:val="0"/>
        <w:spacing w:before="120" w:after="0"/>
        <w:jc w:val="left"/>
        <w:rPr>
          <w:rFonts w:ascii="Times New Roman" w:hAnsi="Times New Roman"/>
          <w:sz w:val="20"/>
        </w:rPr>
      </w:pPr>
      <w:r>
        <w:rPr>
          <w:rFonts w:ascii="Times New Roman" w:hAnsi="Times New Roman"/>
          <w:sz w:val="20"/>
        </w:rPr>
        <w:t xml:space="preserve">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George de Urioste, Director </w:t>
      </w:r>
    </w:p>
    <w:p>
      <w:pPr>
        <w:pStyle w:val="TextBody"/>
        <w:bidi w:val="0"/>
        <w:spacing w:before="120" w:after="0"/>
        <w:jc w:val="left"/>
        <w:rPr>
          <w:rFonts w:ascii="Times New Roman" w:hAnsi="Times New Roman"/>
          <w:sz w:val="20"/>
        </w:rPr>
      </w:pPr>
      <w:r>
        <w:rPr>
          <w:rFonts w:ascii="Times New Roman" w:hAnsi="Times New Roman"/>
          <w:sz w:val="20"/>
        </w:rPr>
        <w:t xml:space="preserve">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Yoshiaki Fujimori, Director </w:t>
      </w:r>
    </w:p>
    <w:p>
      <w:pPr>
        <w:pStyle w:val="TextBody"/>
        <w:bidi w:val="0"/>
        <w:spacing w:before="120" w:after="0"/>
        <w:jc w:val="left"/>
        <w:rPr>
          <w:rFonts w:ascii="Times New Roman" w:hAnsi="Times New Roman"/>
          <w:sz w:val="20"/>
        </w:rPr>
      </w:pPr>
      <w:r>
        <w:rPr>
          <w:rFonts w:ascii="Times New Roman" w:hAnsi="Times New Roman"/>
          <w:sz w:val="20"/>
        </w:rPr>
        <w:t xml:space="preserve">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Director </w:t>
      </w:r>
    </w:p>
    <w:p>
      <w:pPr>
        <w:pStyle w:val="TextBody"/>
        <w:bidi w:val="0"/>
        <w:spacing w:before="120" w:after="0"/>
        <w:jc w:val="left"/>
        <w:rPr>
          <w:rFonts w:ascii="Times New Roman" w:hAnsi="Times New Roman"/>
          <w:sz w:val="20"/>
        </w:rPr>
      </w:pPr>
      <w:r>
        <w:rPr>
          <w:rFonts w:ascii="Times New Roman" w:hAnsi="Times New Roman"/>
          <w:sz w:val="20"/>
        </w:rPr>
        <w:t xml:space="preserve">See biographical information above in the Directors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See biographical information above in the Directors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structure our corporate governance in a manner we believe closely aligns our interests with those of our stockholders. Notable features of this corporate governance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independent director representation on our audit, compensation and nominating committees, and our independent directors meet regularly in executive sessions without the presence of our corporate officers or non-independent directors;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of our directors qualifies as an “audit committee financial expert” as defined by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begun to and will continue to implement a range of other corporate governance best practices, including implementing a robust director education program.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https://ir.blaize.com/corporate-governance/documents-charters. The reference to our website address does not constitute incorporation by reference of the information contained at or available through our website. We have included our website address as an inactive textual reference only.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primarily concerned with the effectiveness of our audits by our internal audit staff and by our independent auditors and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compensation, retention, oversight and qualifications of our independent auditors and determining whether to retain our existing independent auditors or engage new independent auditors;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reporting processes and disclosure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our independent auditors to perform audit services and any permissible non-audit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auditors the annual audit plan, including the scope of audit activities and all critical accounting policies and practices to be used by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clear hiring policies for employees or former employees of our independent auditors;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auditors on our engagement team as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annual and quarterly financial statements and reports and discussing the statements and reports with our independent auditors and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auditors and management significant issues that arise regarding accounting principles and financial statement presentation and matters concerning the scope, adequacy and effectiveness of our financial controls and critical accounting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independent auditors any earnings announcements, disclosures and other financial information and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review, retention and investigation of complaints received by us regarding financial controls, accounting, auditing or other matters;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our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 party transactions in accordance with our related party transaction policy and reviewing and monitoring compliance with legal and regulatory responsibilities, including our code of business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risks related to data privacy, technology and information security, including cybersecurity, back-up of information systems, and policies and procedures that we have in place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major financial risk exposures, including the guidelines and policies to govern the process by which risk assessment and risk management is implemented;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reviewing with management, the independent auditors, and outside advisors or accountants any correspondence with regulators or governmental agencies and any published reports that raise material issues regarding Blaize’s financial statements or accounting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legal and regulatory compliance and any material current, pending or threatened legal matters; and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Audit Committee and the audit committee charter.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The information on any of our websites is deemed not to be incorporated in this prospectus or to be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 performance; approves fees paid to independent auditors and receives and considers the independent auditors’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comments as to controls, adequacy of staff and management performance and procedures in connection with audit and financial controls. The Audit Committee did not meet during fiscal year 2024 as it was formed upon the closing of the Business Combination on January 13, 2025.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primarily concerned with overall compensation strategy and policies and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corporate goals and objectives that pertain to our overall compensation strategy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annually the compensation and other terms of employment of our executive officers and other members of senior management, in the Compensation Committee’s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type and amount of compensation to be paid or awarded to our non-employee board members;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equity incentive plans and other benefit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appropriate insurance coverage for our directors and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reviewing and discussing with management our disclosures under the caption “</w:t>
            </w:r>
            <w:r>
              <w:rPr>
                <w:rFonts w:ascii="Times New Roman" w:hAnsi="Times New Roman"/>
                <w:i/>
                <w:sz w:val="20"/>
              </w:rPr>
              <w:t>Compensation Discussion and Analysis</w:t>
            </w:r>
            <w:r>
              <w:rPr>
                <w:rFonts w:ascii="Times New Roman" w:hAnsi="Times New Roman"/>
                <w:sz w:val="20"/>
              </w:rPr>
              <w:t xml:space="preserve">” in our periodic reports or proxy statements to be filed with the SEC, to the extent such caption is included in any such report or proxy statement;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an annual report on executive compensation that the SEC requires in our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practices and policies for employee compensation as related to risk management and risk-taking incentives to determine if such compensation policies and practices are reasonably likely to have a material adverse effect on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monitoring stock ownership guidelines for our directors and executive officers, if and as determined to be necessary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recommendations to our Board on compensation-related proposals to be considered at our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discussing with management our human capital management practices with respect to its employees and, where applicable, independent contractors;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and modifying, as needed, clawback policies allowing us to recoup improper compensation paid to employees;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Compensation Committee and recommending such changes as deemed necessary with our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consists of Edward Frank, George de Urioste and Tony Cannestra, with Edward Frank serving as chair. Our Board has affirmatively determined that Edward Frank, George de Urioste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The information on any of our websites is deemed not to be incorporated in this prospectus or to be part of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Role of our Board in Risk Oversight/Risk Committee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for Employees,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 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Blaize’s directors, officers, or employees for which indemnification is sought.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944597_14"/>
      <w:bookmarkEnd w:id="16"/>
      <w:r>
        <w:rPr>
          <w:rFonts w:ascii="Times New Roman" w:hAnsi="Times New Roman"/>
          <w:b/>
          <w:sz w:val="20"/>
        </w:rPr>
        <w:t xml:space="preserve">BLAIZE’S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section, unless otherwise noted, “the company,” “we,” “us,” “our” and similar terms refer to Blaize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Blaize’s executive officers who are named in the “Summary Compensation Table” below. In 2024, Blaize’s “named executive officers” and their positions were as follows: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Dinakar Munagala, Chief Executive Officer;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 Cook, Chief Software Architect; and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Santiago Fernandez-Gomez, Vice President of Platform Engineering.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named executive officers for the year ended December 31, 2024. </w:t>
      </w:r>
    </w:p>
    <w:p>
      <w:pPr>
        <w:pStyle w:val="TextBody"/>
        <w:bidi w:val="0"/>
        <w:spacing w:before="0" w:after="0"/>
        <w:jc w:val="left"/>
        <w:rPr/>
      </w:pPr>
      <w:r>
        <w:rPr/>
        <w:t> </w:t>
      </w:r>
    </w:p>
    <w:tbl>
      <w:tblPr>
        <w:tblW w:w="10130" w:type="dxa"/>
        <w:jc w:val="left"/>
        <w:tblInd w:w="0" w:type="dxa"/>
        <w:tblLayout w:type="fixed"/>
        <w:tblCellMar>
          <w:top w:w="0" w:type="dxa"/>
          <w:left w:w="0" w:type="dxa"/>
          <w:bottom w:w="0" w:type="dxa"/>
          <w:right w:w="0" w:type="dxa"/>
        </w:tblCellMar>
      </w:tblPr>
      <w:tblGrid>
        <w:gridCol w:w="3260"/>
        <w:gridCol w:w="60"/>
        <w:gridCol w:w="60"/>
        <w:gridCol w:w="500"/>
        <w:gridCol w:w="60"/>
        <w:gridCol w:w="60"/>
        <w:gridCol w:w="70"/>
        <w:gridCol w:w="940"/>
        <w:gridCol w:w="60"/>
        <w:gridCol w:w="60"/>
        <w:gridCol w:w="186"/>
        <w:gridCol w:w="809"/>
        <w:gridCol w:w="60"/>
        <w:gridCol w:w="60"/>
        <w:gridCol w:w="60"/>
        <w:gridCol w:w="980"/>
        <w:gridCol w:w="60"/>
        <w:gridCol w:w="60"/>
        <w:gridCol w:w="279"/>
        <w:gridCol w:w="1211"/>
        <w:gridCol w:w="60"/>
        <w:gridCol w:w="60"/>
        <w:gridCol w:w="60"/>
        <w:gridCol w:w="980"/>
        <w:gridCol w:w="75"/>
      </w:tblGrid>
      <w:tr>
        <w:trPr/>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pBdr>
                <w:bottom w:val="single" w:sz="8"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595,833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3,798,428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4,394,285</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1,337,142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1,637,167</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397,570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781,714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1,179,308</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Software Architect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476,724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701,749</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447,917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1,178,758</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Vice President of Platform Engineering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aggregate dollar value of life insurance premiums paid by Blaize with respect to each named executive officer during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 Mr. Fernandez-Gomez: $450,000. The Summary Compensation Table above shows the actual base salaries paid to each named executive officer in fiscal year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hAnsi="Times New Roman"/>
          <w:i/>
          <w:sz w:val="20"/>
        </w:rPr>
        <w:t>Offer Letters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including: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75"/>
        <w:gridCol w:w="110"/>
        <w:gridCol w:w="60"/>
        <w:gridCol w:w="2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medical, dental and vision benefits;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and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basic life and accidental death and dismemberment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benefits are appropriate and provide a competitive compensation package to our named executive officers. We do not currently, and we did not during 2024, provide material perquisites to any of our named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No Tax Gross-Ups </w:t>
      </w:r>
    </w:p>
    <w:p>
      <w:pPr>
        <w:pStyle w:val="TextBody"/>
        <w:bidi w:val="0"/>
        <w:spacing w:before="120" w:after="0"/>
        <w:jc w:val="left"/>
        <w:rPr>
          <w:rFonts w:ascii="Times New Roman" w:hAnsi="Times New Roman"/>
          <w:sz w:val="20"/>
        </w:rPr>
      </w:pPr>
      <w:r>
        <w:rPr>
          <w:rFonts w:ascii="Times New Roman" w:hAnsi="Times New Roman"/>
          <w:sz w:val="20"/>
        </w:rPr>
        <w:t xml:space="preserve">Blaize does not make gross-up payments to cover our named executive officers’ personal income taxes that may pertain to any of the compensation or perquisites paid or provided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 </w:t>
      </w:r>
    </w:p>
    <w:p>
      <w:pPr>
        <w:pStyle w:val="TextBody"/>
        <w:bidi w:val="0"/>
        <w:spacing w:before="0" w:after="0"/>
        <w:jc w:val="left"/>
        <w:rPr/>
      </w:pPr>
      <w:r>
        <w:rPr/>
        <w:t> </w:t>
      </w:r>
    </w:p>
    <w:tbl>
      <w:tblPr>
        <w:tblW w:w="12200" w:type="dxa"/>
        <w:jc w:val="left"/>
        <w:tblInd w:w="0" w:type="dxa"/>
        <w:tblLayout w:type="fixed"/>
        <w:tblCellMar>
          <w:top w:w="0" w:type="dxa"/>
          <w:left w:w="0" w:type="dxa"/>
          <w:bottom w:w="0" w:type="dxa"/>
          <w:right w:w="0" w:type="dxa"/>
        </w:tblCellMar>
      </w:tblPr>
      <w:tblGrid>
        <w:gridCol w:w="1505"/>
        <w:gridCol w:w="60"/>
        <w:gridCol w:w="60"/>
        <w:gridCol w:w="500"/>
        <w:gridCol w:w="60"/>
        <w:gridCol w:w="60"/>
        <w:gridCol w:w="178"/>
        <w:gridCol w:w="1492"/>
        <w:gridCol w:w="60"/>
        <w:gridCol w:w="60"/>
        <w:gridCol w:w="72"/>
        <w:gridCol w:w="1193"/>
        <w:gridCol w:w="215"/>
        <w:gridCol w:w="60"/>
        <w:gridCol w:w="83"/>
        <w:gridCol w:w="1362"/>
        <w:gridCol w:w="215"/>
        <w:gridCol w:w="60"/>
        <w:gridCol w:w="276"/>
        <w:gridCol w:w="1199"/>
        <w:gridCol w:w="60"/>
        <w:gridCol w:w="60"/>
        <w:gridCol w:w="141"/>
        <w:gridCol w:w="1319"/>
        <w:gridCol w:w="60"/>
        <w:gridCol w:w="60"/>
        <w:gridCol w:w="177"/>
        <w:gridCol w:w="1478"/>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 Plan</w:t>
              <w:br/>
              <w:t>Awards:</w:t>
              <w:b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 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 Date</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3/15/2017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147,000</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3/14/2027</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11/12/2018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226,305</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11/11/2028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9/19/2023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9/19/2023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2,197,372</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3,124,027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9/18/2033</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7,379,065</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10/23/2034</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3/15/2017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40,038</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3/14/2027</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11/12/2018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113,152</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11/11/2028</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794,866</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1,112,814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9/18/2033</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10/24/2024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7/1/2024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1,517,044</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0.92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10/23/2034</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1/2/2017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7/8/2015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1/1/2027</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8/27/2018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7/9/2018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67,935</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8/26/2028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11/17/2021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4,896</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11/16/2031</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9/19/2023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9/19/2023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654,484</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916,278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9/18/2033</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1,418,448</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10/23/2034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Letters </w:t>
      </w:r>
    </w:p>
    <w:p>
      <w:pPr>
        <w:pStyle w:val="TextBody"/>
        <w:bidi w:val="0"/>
        <w:spacing w:before="120" w:after="0"/>
        <w:jc w:val="left"/>
        <w:rPr>
          <w:rFonts w:ascii="Times New Roman" w:hAnsi="Times New Roman"/>
          <w:i/>
          <w:sz w:val="20"/>
        </w:rPr>
      </w:pPr>
      <w:r>
        <w:rPr>
          <w:rFonts w:ascii="Times New Roman" w:hAnsi="Times New Roman"/>
          <w:i/>
          <w:sz w:val="20"/>
        </w:rPr>
        <w:t xml:space="preserve">Offer Letter for Mr. Munagala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18, 2018 (as amended, the “Munagala Offer Letter”) with Mr. Munagala, pursuant to which, Mr. Munagala serves as our Chief Executive Officer. Pursuant to the Munagala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Munagala’s receipt of any severance payments and benefits is subject to his execution and non-revocation of a general release in favor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Offer Letter for Mr. Cook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Cook’s receipt of any severance payments and benefits is subject to his execution and non-revocation of a general release in favor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Offer Letter for Mr. Fernandez-Gomez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944597_15"/>
      <w:bookmarkEnd w:id="17"/>
      <w:r>
        <w:rPr>
          <w:rFonts w:ascii="Times New Roman" w:hAnsi="Times New Roman"/>
          <w:b/>
          <w:sz w:val="20"/>
        </w:rPr>
        <w:t xml:space="preserve">BLAIZE’S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non-employee directors for the year ended December 31, 2024. </w:t>
      </w:r>
    </w:p>
    <w:p>
      <w:pPr>
        <w:pStyle w:val="TextBody"/>
        <w:bidi w:val="0"/>
        <w:spacing w:before="0" w:after="0"/>
        <w:jc w:val="left"/>
        <w:rPr/>
      </w:pPr>
      <w:r>
        <w:rPr/>
        <w:t> </w:t>
      </w:r>
    </w:p>
    <w:tbl>
      <w:tblPr>
        <w:tblW w:w="4454" w:type="dxa"/>
        <w:jc w:val="left"/>
        <w:tblInd w:w="0" w:type="dxa"/>
        <w:tblLayout w:type="fixed"/>
        <w:tblCellMar>
          <w:top w:w="0" w:type="dxa"/>
          <w:left w:w="0" w:type="dxa"/>
          <w:bottom w:w="0" w:type="dxa"/>
          <w:right w:w="0" w:type="dxa"/>
        </w:tblCellMar>
      </w:tblPr>
      <w:tblGrid>
        <w:gridCol w:w="1595"/>
        <w:gridCol w:w="120"/>
        <w:gridCol w:w="111"/>
        <w:gridCol w:w="1484"/>
        <w:gridCol w:w="60"/>
        <w:gridCol w:w="120"/>
        <w:gridCol w:w="62"/>
        <w:gridCol w:w="82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318,472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318,472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318,472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318,472</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318,472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318,472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242,571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242,571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aggregate numbers of option awards (exercisable and unexercisable) held as of December 31, 2024 by each non-employee director who served during 2024.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595"/>
        <w:gridCol w:w="120"/>
        <w:gridCol w:w="99"/>
        <w:gridCol w:w="1331"/>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br/>
              <w:t>Outstanding</w:t>
              <w:br/>
              <w:t>at Fiscal Year</w:t>
              <w:br/>
              <w:t>End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909,535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920,850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909,535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477,750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approved a compensation program for our non-employee directors (the “Director Compensation Program”), effective as of the closing of the Business Combination. The material terms of the Director Compensation Program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Director Compensation Program, non-employee directors serving on the Board are entitled to cash compensation in the following amounts: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75"/>
        <w:gridCol w:w="110"/>
        <w:gridCol w:w="60"/>
        <w:gridCol w:w="2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Retainer: $80,000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Annual Retainer for Non-Executive Chair: $40,000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Committee Chair Retainers: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$24,000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$20,000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Non-Chair Committee Member Retainers: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$16,000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$14,000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cash retainers will be paid in quarterly installments in arrears and will be pro-rated for any partial calendar quarter of service.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 xml:space="preserve">Initial Awards. </w:t>
      </w:r>
      <w:r>
        <w:rPr>
          <w:rFonts w:ascii="Times New Roman" w:hAnsi="Times New Roman"/>
          <w:sz w:val="20"/>
        </w:rPr>
        <w:t xml:space="preserve">Under the Director Compensation Program, each non-employee director who is initially elected or appointed to serve on the Board 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 </w:t>
      </w:r>
    </w:p>
    <w:p>
      <w:pPr>
        <w:pStyle w:val="TextBody"/>
        <w:bidi w:val="0"/>
        <w:spacing w:before="240" w:after="0"/>
        <w:jc w:val="left"/>
        <w:rPr>
          <w:rFonts w:ascii="Times New Roman" w:hAnsi="Times New Roman"/>
          <w:sz w:val="20"/>
        </w:rPr>
      </w:pPr>
      <w:r>
        <w:rPr>
          <w:rFonts w:ascii="Times New Roman" w:hAnsi="Times New Roman"/>
          <w:i/>
          <w:sz w:val="20"/>
        </w:rPr>
        <w:t xml:space="preserve">Annual Awards. </w:t>
      </w:r>
      <w:r>
        <w:rPr>
          <w:rFonts w:ascii="Times New Roman" w:hAnsi="Times New Roman"/>
          <w:sz w:val="20"/>
        </w:rPr>
        <w:t xml:space="preserve">Under the Director Compensation Program, each non-employee director who is serving on the Board as of the date of each annual 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Compensation under the Director Compensation Program is subject to the annual limits on non-employee director compensation set forth in the Incentive Award Plan (or any successor plan). </w:t>
      </w:r>
    </w:p>
    <w:p>
      <w:pPr>
        <w:pStyle w:val="TextBody"/>
        <w:bidi w:val="0"/>
        <w:spacing w:before="480" w:after="0"/>
        <w:jc w:val="center"/>
        <w:rPr>
          <w:rFonts w:ascii="Times New Roman" w:hAnsi="Times New Roman"/>
          <w:b/>
          <w:sz w:val="20"/>
        </w:rPr>
      </w:pPr>
      <w:bookmarkStart w:id="18" w:name="toc944597_16"/>
      <w:bookmarkEnd w:id="18"/>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with directors and executive officers described under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Management</w:t>
      </w:r>
      <w:r>
        <w:rPr>
          <w:rFonts w:ascii="Times New Roman" w:hAnsi="Times New Roman"/>
          <w:sz w:val="20"/>
        </w:rPr>
        <w:t xml:space="preserve">”, the following is a description of each transaction since January 1, 2022 and each currently proposed transaction in which: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we and certain stockholders of Legacy Blaize, the Sponsor and BurTech entered into a registration rights agreement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Ava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Bess Ventures Secured Promissory Notes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the date of this prospectus, the forbearance period under the Second Forbearance Agreement has expired and the Sponsor is under default under the Bess 2025 Note. </w:t>
      </w:r>
    </w:p>
    <w:p>
      <w:pPr>
        <w:pStyle w:val="TextBody"/>
        <w:bidi w:val="0"/>
        <w:spacing w:before="360" w:after="0"/>
        <w:jc w:val="left"/>
        <w:rPr>
          <w:rFonts w:ascii="Times New Roman" w:hAnsi="Times New Roman"/>
          <w:b/>
          <w:sz w:val="20"/>
        </w:rPr>
      </w:pPr>
      <w:r>
        <w:rPr>
          <w:rFonts w:ascii="Times New Roman" w:hAnsi="Times New Roman"/>
          <w:b/>
          <w:sz w:val="20"/>
        </w:rPr>
        <w:t xml:space="preserve">Secured Promissory Note and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Procedures with Respect to Review and Approval of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Officer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944597_17"/>
      <w:bookmarkEnd w:id="19"/>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us regarding the beneficial ownership of our Common Stock as of July 14, 2025 by: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the beneficial owner of more than 5% of the outstanding shares of our Common Stock;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our Common Stock is based on 101,682,422 shares of Common Stock issued and outstanding as of July 14,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60"/>
        <w:gridCol w:w="120"/>
        <w:gridCol w:w="110"/>
        <w:gridCol w:w="2025"/>
        <w:gridCol w:w="60"/>
        <w:gridCol w:w="120"/>
        <w:gridCol w:w="326"/>
        <w:gridCol w:w="2394"/>
        <w:gridCol w:w="290"/>
      </w:tblGrid>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Common Stock</w:t>
              <w:b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Outstanding</w:t>
              <w:br/>
              <w:t>Common Stock</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0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sz w:val="4"/>
                <w:szCs w:val="4"/>
              </w:rPr>
            </w:pPr>
            <w:r>
              <w:rPr>
                <w:sz w:val="4"/>
                <w:szCs w:val="4"/>
              </w:rPr>
            </w:r>
          </w:p>
        </w:tc>
        <w:tc>
          <w:tcPr>
            <w:tcW w:w="239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Bess Ventures and Advisory, LLC(1)</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9,521,985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9.4</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Funds affiliated with Rizvi Traverse CI Manager, LLC(2)</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7,439,433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7.3</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 Investors SA(3)</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17,716,892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17.4</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Sponsor and related parties(4)</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9,913,874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9.7</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Funds affiliated with DENSO(5)</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9,195,111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9.0</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Anderson Investments Pte. Ltd.(6)</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6,353,023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6.2</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Lane M. Bess(1)</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9,521,985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9.4</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Cannestra(7)</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571,963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Frank(8)</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563,139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Hambrecht(9)</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563,139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Munagala(10)</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3,136,518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Harminder Sehmi(11)</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459,572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de Urioste</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Yoshiaki Fujimori</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394"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pBdr>
                <w:top w:val="single" w:sz="2" w:space="1" w:color="000000"/>
              </w:pBdr>
              <w:bidi w:val="0"/>
              <w:spacing w:before="0" w:after="0"/>
              <w:jc w:val="left"/>
              <w:rPr/>
            </w:pPr>
            <w:r>
              <w:rPr/>
              <w:t> </w:t>
            </w:r>
          </w:p>
        </w:tc>
        <w:tc>
          <w:tcPr>
            <w:tcW w:w="202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pBdr>
                <w:top w:val="single" w:sz="2" w:space="1" w:color="000000"/>
              </w:pBdr>
              <w:bidi w:val="0"/>
              <w:spacing w:before="0" w:after="0"/>
              <w:jc w:val="left"/>
              <w:rPr/>
            </w:pPr>
            <w:r>
              <w:rPr/>
              <w:t> </w:t>
            </w:r>
          </w:p>
        </w:tc>
        <w:tc>
          <w:tcPr>
            <w:tcW w:w="239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 as a group (8 individuals)</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14,816,316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394" w:type="dxa"/>
            <w:tcBorders/>
            <w:shd w:fill="CCEEFF" w:val="clear"/>
            <w:vAlign w:val="center"/>
          </w:tcPr>
          <w:p>
            <w:pPr>
              <w:pStyle w:val="TableContents"/>
              <w:bidi w:val="0"/>
              <w:spacing w:before="0" w:after="283"/>
              <w:jc w:val="right"/>
              <w:rPr/>
            </w:pPr>
            <w:r>
              <w:rPr/>
              <w:t>14.6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8,946,783 shares of Common Stock held by Bess Ventures, (b) 389,968 shares of Common Stock held by the Trust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 </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Lane M. Bess, 1928 Sunset Harbor Drive, Miami Beach, FL 33139. The address of the Trust is 255 Alhambra Circle, Ste 333, Coral Gables, FL 33134.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117</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9,913,874 shares of Common Stock held by BurTech LP LLC and its affiliates (“BurTech LP”). BurTech LP LLC Shahal Khan, Patrick Orlando and Roman Livson are the managing members of our sponsor.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80" w:type="dxa"/>
        <w:jc w:val="left"/>
        <w:tblInd w:w="0" w:type="dxa"/>
        <w:tblLayout w:type="fixed"/>
        <w:tblCellMar>
          <w:top w:w="0" w:type="dxa"/>
          <w:left w:w="0" w:type="dxa"/>
          <w:bottom w:w="0" w:type="dxa"/>
          <w:right w:w="0" w:type="dxa"/>
        </w:tblCellMar>
      </w:tblPr>
      <w:tblGrid>
        <w:gridCol w:w="305"/>
        <w:gridCol w:w="8975"/>
      </w:tblGrid>
      <w:tr>
        <w:trPr/>
        <w:tc>
          <w:tcPr>
            <w:tcW w:w="305" w:type="dxa"/>
            <w:tcBorders/>
            <w:vAlign w:val="center"/>
          </w:tcPr>
          <w:p>
            <w:pPr>
              <w:pStyle w:val="TableContents"/>
              <w:bidi w:val="0"/>
              <w:spacing w:before="0" w:after="283"/>
              <w:jc w:val="left"/>
              <w:rPr/>
            </w:pPr>
            <w:r>
              <w:rPr/>
              <w:t>(7)</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571,963 shares of Common Stock underlying options exercisable within 60 days of July 14, 2025. </w:t>
            </w:r>
          </w:p>
        </w:tc>
      </w:tr>
    </w:tbl>
    <w:tbl>
      <w:tblPr>
        <w:tblW w:w="9280" w:type="dxa"/>
        <w:jc w:val="left"/>
        <w:tblInd w:w="0" w:type="dxa"/>
        <w:tblLayout w:type="fixed"/>
        <w:tblCellMar>
          <w:top w:w="0" w:type="dxa"/>
          <w:left w:w="0" w:type="dxa"/>
          <w:bottom w:w="0" w:type="dxa"/>
          <w:right w:w="0" w:type="dxa"/>
        </w:tblCellMar>
      </w:tblPr>
      <w:tblGrid>
        <w:gridCol w:w="305"/>
        <w:gridCol w:w="8975"/>
      </w:tblGrid>
      <w:tr>
        <w:trPr/>
        <w:tc>
          <w:tcPr>
            <w:tcW w:w="305" w:type="dxa"/>
            <w:tcBorders/>
            <w:vAlign w:val="center"/>
          </w:tcPr>
          <w:p>
            <w:pPr>
              <w:pStyle w:val="TableContents"/>
              <w:bidi w:val="0"/>
              <w:spacing w:before="0" w:after="283"/>
              <w:jc w:val="left"/>
              <w:rPr/>
            </w:pPr>
            <w:r>
              <w:rPr/>
              <w:t>(8)</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563,139 shares of Common Stock underlying options exercisable within 60 days of July 14, 2025. </w:t>
            </w:r>
          </w:p>
        </w:tc>
      </w:tr>
    </w:tbl>
    <w:tbl>
      <w:tblPr>
        <w:tblW w:w="9280" w:type="dxa"/>
        <w:jc w:val="left"/>
        <w:tblInd w:w="0" w:type="dxa"/>
        <w:tblLayout w:type="fixed"/>
        <w:tblCellMar>
          <w:top w:w="0" w:type="dxa"/>
          <w:left w:w="0" w:type="dxa"/>
          <w:bottom w:w="0" w:type="dxa"/>
          <w:right w:w="0" w:type="dxa"/>
        </w:tblCellMar>
      </w:tblPr>
      <w:tblGrid>
        <w:gridCol w:w="305"/>
        <w:gridCol w:w="8975"/>
      </w:tblGrid>
      <w:tr>
        <w:trPr/>
        <w:tc>
          <w:tcPr>
            <w:tcW w:w="305" w:type="dxa"/>
            <w:tcBorders/>
            <w:vAlign w:val="center"/>
          </w:tcPr>
          <w:p>
            <w:pPr>
              <w:pStyle w:val="TableContents"/>
              <w:bidi w:val="0"/>
              <w:spacing w:before="0" w:after="283"/>
              <w:jc w:val="left"/>
              <w:rPr/>
            </w:pPr>
            <w:r>
              <w:rPr/>
              <w:t>(9)</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563,139 shares of Common Stock underlying options exercisable within 60 days of July 14, 2025. </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(10)</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551,422 shares of Common Stock held directly by Dinakar Munagala and (b) 2,585,096 shares of Common Stock underlying options exercisable within 60 days of July 14, 2025. </w:t>
            </w:r>
          </w:p>
        </w:tc>
      </w:tr>
    </w:tbl>
    <w:tbl>
      <w:tblPr>
        <w:tblW w:w="9400" w:type="dxa"/>
        <w:jc w:val="left"/>
        <w:tblInd w:w="0" w:type="dxa"/>
        <w:tblLayout w:type="fixed"/>
        <w:tblCellMar>
          <w:top w:w="0" w:type="dxa"/>
          <w:left w:w="0" w:type="dxa"/>
          <w:bottom w:w="0" w:type="dxa"/>
          <w:right w:w="0" w:type="dxa"/>
        </w:tblCellMar>
      </w:tblPr>
      <w:tblGrid>
        <w:gridCol w:w="425"/>
        <w:gridCol w:w="8975"/>
      </w:tblGrid>
      <w:tr>
        <w:trPr/>
        <w:tc>
          <w:tcPr>
            <w:tcW w:w="425" w:type="dxa"/>
            <w:tcBorders/>
            <w:vAlign w:val="center"/>
          </w:tcPr>
          <w:p>
            <w:pPr>
              <w:pStyle w:val="TableContents"/>
              <w:bidi w:val="0"/>
              <w:spacing w:before="0" w:after="283"/>
              <w:jc w:val="left"/>
              <w:rPr/>
            </w:pPr>
            <w:r>
              <w:rPr/>
              <w:t>(11)</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459,572 shares of Common Stock underlying options exercisable within 60 days of July 14,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944597_18"/>
      <w:bookmarkEnd w:id="20"/>
      <w:r>
        <w:rPr>
          <w:rFonts w:ascii="Times New Roman" w:hAnsi="Times New Roman"/>
          <w:b/>
          <w:sz w:val="20"/>
        </w:rPr>
        <w:t xml:space="preserve">SELLING SECURITYHOLDERS </w:t>
      </w:r>
    </w:p>
    <w:p>
      <w:pPr>
        <w:pStyle w:val="TextBody"/>
        <w:bidi w:val="0"/>
        <w:spacing w:before="240" w:after="0"/>
        <w:jc w:val="left"/>
        <w:rPr>
          <w:rFonts w:ascii="Times New Roman" w:hAnsi="Times New Roman"/>
          <w:b/>
          <w:sz w:val="20"/>
        </w:rPr>
      </w:pPr>
      <w:r>
        <w:rPr>
          <w:rFonts w:ascii="Times New Roman" w:hAnsi="Times New Roman"/>
          <w:b/>
          <w:sz w:val="20"/>
        </w:rPr>
        <w:t xml:space="preserve">Selling Stockholder </w:t>
      </w:r>
    </w:p>
    <w:p>
      <w:pPr>
        <w:pStyle w:val="TextBody"/>
        <w:bidi w:val="0"/>
        <w:spacing w:before="120" w:after="0"/>
        <w:jc w:val="left"/>
        <w:rPr>
          <w:rFonts w:ascii="Times New Roman" w:hAnsi="Times New Roman"/>
          <w:sz w:val="20"/>
        </w:rPr>
      </w:pPr>
      <w:r>
        <w:rPr>
          <w:rFonts w:ascii="Times New Roman" w:hAnsi="Times New Roman"/>
          <w:sz w:val="20"/>
        </w:rPr>
        <w:t>This prospectus relates to the offer and sale by B. Riley Principal Capital II of up to 20,326,158 BRPC Shares that have been and may be issued by us to B. Riley Principal Capital II under the Purchase Agreement. For additional information regarding BRPC Shares included in this prospectus, see the section titled “</w:t>
      </w:r>
      <w:r>
        <w:rPr>
          <w:rFonts w:ascii="Times New Roman" w:hAnsi="Times New Roman"/>
          <w:i/>
          <w:sz w:val="20"/>
        </w:rPr>
        <w:t>The Committed Equity Facility</w:t>
      </w:r>
      <w:r>
        <w:rPr>
          <w:rFonts w:ascii="Times New Roman" w:hAnsi="Times New Roman"/>
          <w:sz w:val="20"/>
        </w:rPr>
        <w:t>” above. We are registering the shares of our Common Stock included in this prospectus pursuant to the provisions of the Registration Rights Agreement we entered into with B. Riley Principal Capital II on July 14, 2025 in order to permit the Selling Stockholder to offer BRPC Shares included in this prospectus for resale from time to time. Except for the transactions contemplated by the Purchase Agreement and the Registration Rights Agreement and as set forth in the section titled “</w:t>
      </w:r>
      <w:r>
        <w:rPr>
          <w:rFonts w:ascii="Times New Roman" w:hAnsi="Times New Roman"/>
          <w:i/>
          <w:sz w:val="20"/>
        </w:rPr>
        <w:t>Plan of Distribution (Conflict of Interest)</w:t>
      </w:r>
      <w:r>
        <w:rPr>
          <w:rFonts w:ascii="Times New Roman" w:hAnsi="Times New Roman"/>
          <w:sz w:val="20"/>
        </w:rPr>
        <w:t xml:space="preserve"> – </w:t>
      </w:r>
      <w:r>
        <w:rPr>
          <w:rFonts w:ascii="Times New Roman" w:hAnsi="Times New Roman"/>
          <w:i/>
          <w:sz w:val="20"/>
        </w:rPr>
        <w:t>Offer and Resale of Common Stock by the Selling Stockholder</w:t>
      </w:r>
      <w:r>
        <w:rPr>
          <w:rFonts w:ascii="Times New Roman" w:hAnsi="Times New Roman"/>
          <w:sz w:val="20"/>
        </w:rPr>
        <w:t xml:space="preserve">” in this prospectus, B. Riley Principal Capital II has not had any material relationship with us within the past three years. As used in this prospectus, the term “Selling Stockholder” means B. Riley Principal Capital II, LLC. </w:t>
      </w:r>
    </w:p>
    <w:p>
      <w:pPr>
        <w:pStyle w:val="TextBody"/>
        <w:bidi w:val="0"/>
        <w:spacing w:before="240" w:after="0"/>
        <w:jc w:val="left"/>
        <w:rPr>
          <w:rFonts w:ascii="Times New Roman" w:hAnsi="Times New Roman"/>
          <w:sz w:val="20"/>
        </w:rPr>
      </w:pPr>
      <w:r>
        <w:rPr>
          <w:rFonts w:ascii="Times New Roman" w:hAnsi="Times New Roman"/>
          <w:sz w:val="20"/>
        </w:rPr>
        <w:t>The table below presents information regarding the Selling Stockholder and BRPC Shares that may be resold by the Selling Stockholder from time to time under this prospectus. This table is prepared based on information supplied to us by the Selling Stockholder, and reflects holdings as of July 14, 2025. The number of shares in the column “Maximum Number of Shares of Common Stock to be Offered Pursuant to this Prospectus” represents all of BRPC Shares being offered for resale by the Selling Stockholder under this prospectus. The Selling Stockholder may sell some, all or none of BRPC Shares being offered for resale in this offering. We do not know how long the Selling Stockholder will hold the shares before selling them and, except as set forth in the section titled “</w:t>
      </w:r>
      <w:r>
        <w:rPr>
          <w:rFonts w:ascii="Times New Roman" w:hAnsi="Times New Roman"/>
          <w:i/>
          <w:sz w:val="20"/>
        </w:rPr>
        <w:t>Plan of Distribution (Conflict of Interest)</w:t>
      </w:r>
      <w:r>
        <w:rPr>
          <w:rFonts w:ascii="Times New Roman" w:hAnsi="Times New Roman"/>
          <w:sz w:val="20"/>
        </w:rPr>
        <w:t xml:space="preserve"> – </w:t>
      </w:r>
      <w:r>
        <w:rPr>
          <w:rFonts w:ascii="Times New Roman" w:hAnsi="Times New Roman"/>
          <w:i/>
          <w:sz w:val="20"/>
        </w:rPr>
        <w:t>Offer and Resale of Common Stock by the Selling Stockholder</w:t>
      </w:r>
      <w:r>
        <w:rPr>
          <w:rFonts w:ascii="Times New Roman" w:hAnsi="Times New Roman"/>
          <w:sz w:val="20"/>
        </w:rPr>
        <w:t xml:space="preserve">” in this prospectus, we are not aware of any existing arrangements between the Selling Stockholder and any other stockholder, broker, dealer, underwriter or agent relating to the sale or distribution of BRPC Shares being offered for resale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101,682,422 shares of our Common Stock outstanding on July 14, 2025. Because the purchase price to be paid by the Selling Stockholder for shares of our Common Stock, if any, that we may elect to sell to the Selling Stockholder in one or more Market Open Purchases and/or one or more Intraday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BRPC Shares being offered for resale pursuant to this 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4"/>
        <w:gridCol w:w="120"/>
        <w:gridCol w:w="113"/>
        <w:gridCol w:w="1168"/>
        <w:gridCol w:w="99"/>
        <w:gridCol w:w="199"/>
        <w:gridCol w:w="297"/>
        <w:gridCol w:w="718"/>
        <w:gridCol w:w="60"/>
        <w:gridCol w:w="120"/>
        <w:gridCol w:w="115"/>
        <w:gridCol w:w="2125"/>
        <w:gridCol w:w="60"/>
        <w:gridCol w:w="120"/>
        <w:gridCol w:w="262"/>
        <w:gridCol w:w="613"/>
        <w:gridCol w:w="183"/>
        <w:gridCol w:w="366"/>
        <w:gridCol w:w="183"/>
        <w:gridCol w:w="793"/>
        <w:gridCol w:w="77"/>
      </w:tblGrid>
      <w:tr>
        <w:trPr/>
        <w:tc>
          <w:tcPr>
            <w:tcW w:w="24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41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center"/>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Common Stock</w:t>
              <w:br/>
              <w:t>Beneficially Owned</w:t>
              <w:br/>
              <w:t>Prior to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 Number of</w:t>
              <w:br/>
              <w:t>Shares of Common</w:t>
              <w:br/>
              <w:t>Stock to be Offered</w:t>
              <w:br/>
              <w:t>Pursuant to this</w:t>
              <w:br/>
              <w:t>Prospectus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Common Stock</w:t>
              <w:br/>
              <w:t>Beneficially Owned</w:t>
              <w:br/>
              <w:t>After Offering(3)</w:t>
            </w:r>
          </w:p>
        </w:tc>
        <w:tc>
          <w:tcPr>
            <w:tcW w:w="77" w:type="dxa"/>
            <w:tcBorders/>
            <w:vAlign w:val="center"/>
          </w:tcPr>
          <w:p>
            <w:pPr>
              <w:pStyle w:val="TableContents"/>
              <w:bidi w:val="0"/>
              <w:spacing w:before="0" w:after="283"/>
              <w:jc w:val="left"/>
              <w:rPr/>
            </w:pPr>
            <w:r>
              <w:rPr/>
              <w:t> </w:t>
            </w:r>
          </w:p>
        </w:tc>
      </w:tr>
      <w:tr>
        <w:trPr/>
        <w:tc>
          <w:tcPr>
            <w:tcW w:w="24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Number(1)</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83"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77" w:type="dxa"/>
            <w:tcBorders/>
            <w:vAlign w:val="center"/>
          </w:tcPr>
          <w:p>
            <w:pPr>
              <w:pStyle w:val="TableContents"/>
              <w:bidi w:val="0"/>
              <w:spacing w:before="0" w:after="283"/>
              <w:jc w:val="left"/>
              <w:rPr/>
            </w:pPr>
            <w:r>
              <w:rPr/>
              <w:t> </w:t>
            </w:r>
          </w:p>
        </w:tc>
      </w:tr>
      <w:tr>
        <w:trPr/>
        <w:tc>
          <w:tcPr>
            <w:tcW w:w="24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 Riley Principal Capital II, LLC(4)</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83,353</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125" w:type="dxa"/>
            <w:tcBorders/>
            <w:shd w:fill="CCEEFF" w:val="clear"/>
            <w:vAlign w:val="center"/>
          </w:tcPr>
          <w:p>
            <w:pPr>
              <w:pStyle w:val="TableContents"/>
              <w:bidi w:val="0"/>
              <w:spacing w:before="0" w:after="283"/>
              <w:jc w:val="right"/>
              <w:rPr/>
            </w:pPr>
            <w:r>
              <w:rPr/>
              <w:t>20,326,158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0</w:t>
            </w:r>
          </w:p>
        </w:tc>
        <w:tc>
          <w:tcPr>
            <w:tcW w:w="183"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230" w:type="dxa"/>
        <w:jc w:val="left"/>
        <w:tblInd w:w="0" w:type="dxa"/>
        <w:tblLayout w:type="fixed"/>
        <w:tblCellMar>
          <w:top w:w="0" w:type="dxa"/>
          <w:left w:w="0" w:type="dxa"/>
          <w:bottom w:w="0" w:type="dxa"/>
          <w:right w:w="0" w:type="dxa"/>
        </w:tblCellMar>
      </w:tblPr>
      <w:tblGrid>
        <w:gridCol w:w="155"/>
        <w:gridCol w:w="8075"/>
      </w:tblGrid>
      <w:tr>
        <w:trPr/>
        <w:tc>
          <w:tcPr>
            <w:tcW w:w="155"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1.0% of the outstanding shares of our Common Stock.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83,353 shares of our Common Stock we issued to B. Riley Principal Capital II on July 14, 2025 as Commitment Shares in consideration for entering into the Purchase Agreement with us. In accordance with Rule 13d-3(d) under the Exchange Act, we have excluded from the number of shares beneficially owned prior to the offering all of the shares of Common Stock that B. Riley Principal Capital II may be required to purchase under the Purchase Agreement, because the issuance of such shares is solely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our discretion and is subject to conditions contained in the Purchase Agreement, the satisfaction of which are entirely outside of B. Riley Principal Capital II’s control, including the registration statement that includes this prospectus becoming and remaining effective. Furthermore, the Market Open Purchases and the Intraday Purchases of our Common Stock under the Purchase Agreement are subject to certain agreed upon maximum amount limitations set forth in the Purchase Agreement. Also, the Purchase Agreement prohibits us from issuing and selling any shares of our Common Stock to B. Riley Principal Capital II to the extent such shares, when aggregated with all other shares of our Common Stock then beneficially owned by B. Riley Principal Capital II, would cause B. Riley Principal Capital II’s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B. Riley Principal Capital II under the Purchase Agreement equals or exceeds $2.91 per share, such that the Exchange Cap limitation would not apply under applicable Nasdaq rules. Neither the Beneficial Ownership Limitation nor the Exchange Cap (to the extent applicable under Nasdaq) may be amended or waived under the Purchase Agreement. </w:t>
            </w:r>
          </w:p>
        </w:tc>
      </w:tr>
    </w:tbl>
    <w:tbl>
      <w:tblPr>
        <w:tblW w:w="10135" w:type="dxa"/>
        <w:jc w:val="left"/>
        <w:tblInd w:w="0" w:type="dxa"/>
        <w:tblLayout w:type="fixed"/>
        <w:tblCellMar>
          <w:top w:w="0" w:type="dxa"/>
          <w:left w:w="0" w:type="dxa"/>
          <w:bottom w:w="0" w:type="dxa"/>
          <w:right w:w="0" w:type="dxa"/>
        </w:tblCellMar>
      </w:tblPr>
      <w:tblGrid>
        <w:gridCol w:w="305"/>
        <w:gridCol w:w="9830"/>
      </w:tblGrid>
      <w:tr>
        <w:trPr/>
        <w:tc>
          <w:tcPr>
            <w:tcW w:w="305" w:type="dxa"/>
            <w:tcBorders/>
            <w:vAlign w:val="center"/>
          </w:tcPr>
          <w:p>
            <w:pPr>
              <w:pStyle w:val="TableContents"/>
              <w:bidi w:val="0"/>
              <w:spacing w:before="0" w:after="283"/>
              <w:jc w:val="left"/>
              <w:rPr/>
            </w:pPr>
            <w:r>
              <w:rPr/>
              <w:t>(2)</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Applicable percentage ownership is based on 101,682,422 shares of our Common Stock outstanding as of July 14, 2025. </w:t>
            </w:r>
          </w:p>
        </w:tc>
      </w:tr>
    </w:tbl>
    <w:tbl>
      <w:tblPr>
        <w:tblW w:w="7510" w:type="dxa"/>
        <w:jc w:val="left"/>
        <w:tblInd w:w="0" w:type="dxa"/>
        <w:tblLayout w:type="fixed"/>
        <w:tblCellMar>
          <w:top w:w="0" w:type="dxa"/>
          <w:left w:w="0" w:type="dxa"/>
          <w:bottom w:w="0" w:type="dxa"/>
          <w:right w:w="0" w:type="dxa"/>
        </w:tblCellMar>
      </w:tblPr>
      <w:tblGrid>
        <w:gridCol w:w="305"/>
        <w:gridCol w:w="7205"/>
      </w:tblGrid>
      <w:tr>
        <w:trPr/>
        <w:tc>
          <w:tcPr>
            <w:tcW w:w="305" w:type="dxa"/>
            <w:tcBorders/>
            <w:vAlign w:val="center"/>
          </w:tcPr>
          <w:p>
            <w:pPr>
              <w:pStyle w:val="TableContents"/>
              <w:bidi w:val="0"/>
              <w:spacing w:before="0" w:after="283"/>
              <w:jc w:val="left"/>
              <w:rPr/>
            </w:pPr>
            <w:r>
              <w:rPr/>
              <w:t>(3)</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the sale of all BRPC Shares being offered for resale pursuant to this prospectus.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business address of B. Riley Principal Capital II, LLC (“BRPC II”) is 11100 Santa Monica Blvd., Suite 800, Los Angeles, California 90025. BRPC II’s principal business is that of a private investor. BRPC II is a wholly owned subsidiary of B. Riley Securities Holdings, LLC (“BRSH”). As a result, BRSH may be deemed to indirectly beneficially own securities held of record by BRPC II. BRSH expressly disclaims beneficial ownership of securities held of record by BRPC II, except to the extent of its pecuniary interest therein. All voting and investment decisions with respect to securities held of record by BRPC II are made by majority vote of an investment policy committee of BRPC II composed of three individuals, each of whom is not involved in the management of BRSH and at least two of whom are not affiliates or associated persons of B. Riley Securities, Inc. (“BRS”), a registered broker-dealer and member of the Financial Industry Regulatory Authority, Inc. (“FINRA”), and a wholly owned subsidiary of BRSH. We have been advised that neither BRSH nor BRPC II is a FINRA member or an independent broker-dealer. Because each of BRPC II and BRS is a wholly owned subsidiary of BRSH, BRPC II is deemed to be an affiliate of BRS. BRS will act as an executing broker that will effectuate resales of BRPC Shares that may be acquired by BRPC II from us pursuant to the Purchase Agreement to the public in this offering. See “</w:t>
            </w:r>
            <w:r>
              <w:rPr>
                <w:rFonts w:ascii="Times New Roman" w:hAnsi="Times New Roman"/>
                <w:i/>
                <w:sz w:val="20"/>
              </w:rPr>
              <w:t>Plan of Distribution (Conflict of Interest)</w:t>
            </w:r>
            <w:r>
              <w:rPr>
                <w:rFonts w:ascii="Times New Roman" w:hAnsi="Times New Roman"/>
                <w:sz w:val="20"/>
              </w:rPr>
              <w:t xml:space="preserve"> – </w:t>
            </w:r>
            <w:r>
              <w:rPr>
                <w:rFonts w:ascii="Times New Roman" w:hAnsi="Times New Roman"/>
                <w:i/>
                <w:sz w:val="20"/>
              </w:rPr>
              <w:t>Offer and Resale of Common Stock by the Selling Stockholder</w:t>
            </w:r>
            <w:r>
              <w:rPr>
                <w:rFonts w:ascii="Times New Roman" w:hAnsi="Times New Roman"/>
                <w:sz w:val="20"/>
              </w:rPr>
              <w:t xml:space="preserve">” for more information about the relationship between BRPC II and BRS.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Cantor Fitzgerald </w:t>
      </w:r>
    </w:p>
    <w:p>
      <w:pPr>
        <w:pStyle w:val="TextBody"/>
        <w:bidi w:val="0"/>
        <w:spacing w:before="120" w:after="0"/>
        <w:jc w:val="left"/>
        <w:rPr>
          <w:rFonts w:ascii="Times New Roman" w:hAnsi="Times New Roman"/>
          <w:sz w:val="20"/>
        </w:rPr>
      </w:pPr>
      <w:r>
        <w:rPr>
          <w:rFonts w:ascii="Times New Roman" w:hAnsi="Times New Roman"/>
          <w:sz w:val="20"/>
        </w:rPr>
        <w:t>This prospectus also relates in part to the offer and sale by Cantor Fitzgerald of an aggregate of up to 769,231 shares of our Common Stock. We are registering the shares of our Common Stock included in this prospectus pursuant to the provisions of the Engagement Letter in order to permit Cantor Fitzgerald to offer the shares included in this prospectus for resale from time to time. Except for the transactions contemplated by the Engagement Letter and as set forth in this section and in the section titled “</w:t>
      </w:r>
      <w:r>
        <w:rPr>
          <w:rFonts w:ascii="Times New Roman" w:hAnsi="Times New Roman"/>
          <w:i/>
          <w:sz w:val="20"/>
        </w:rPr>
        <w:t>Plan of Distribution (Conflict of Interest) – Offer and Resale of Common Stock by Cantor Fitzgerald</w:t>
      </w:r>
      <w:r>
        <w:rPr>
          <w:rFonts w:ascii="Times New Roman" w:hAnsi="Times New Roman"/>
          <w:sz w:val="20"/>
        </w:rPr>
        <w:t xml:space="preserve">” in this prospectus, Cantor Fitzgerald has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may from time to time offer and sell any or all of the Common Stock set forth below pursuant to this prospectus. In this prospectus, the term “Cantor Fitzgerald” includes (i) the entity identified in the table below (as such table may be amended from time to time by means of an amendment to the registration statement of which this prospectus forms a part or by a supplement to this prospectus) and (ii) any donees, pledgees, transferees or other successors-in-interest (as a gift, pledge, partnership distribution or other non-sale related transfer) that acquire any of the securities covered by this prospectus after the date of this prospectus from Cantor Fitzgerald.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as of the date of this prospectus, Cantor Fitzgerald’s name for which we are registering Common Stock for resale to the public, and the aggregate principal amount that Cantor Fitzgerald may offer pursuant to this prospectus. In accordance with SEC rules, the entity below is shown as having beneficial ownership over the securities it owns or has the right to acquire within 60 days, as well as securities for which it has the right to vote or dispose of such securities. Also in accordance with SEC rules, for purposes of calculating percentages of beneficial ownership, Common Stock, which a person has the right to acquire within 60 days of the date of this prospectus, are included both in that person’s beneficial ownership as well as in the total number of Common Stock issued used to calculate that person’s percentage ownership but not for purposes of calculating the percentage for other persons. </w:t>
      </w:r>
    </w:p>
    <w:p>
      <w:pPr>
        <w:pStyle w:val="TextBody"/>
        <w:bidi w:val="0"/>
        <w:spacing w:before="240" w:after="0"/>
        <w:jc w:val="left"/>
        <w:rPr>
          <w:rFonts w:ascii="Times New Roman" w:hAnsi="Times New Roman"/>
          <w:sz w:val="20"/>
        </w:rPr>
      </w:pPr>
      <w:r>
        <w:rPr>
          <w:rFonts w:ascii="Times New Roman" w:hAnsi="Times New Roman"/>
          <w:sz w:val="20"/>
        </w:rPr>
        <w:t xml:space="preserve">We cannot advise you as to whether Cantor Fitzgerald will in fact sell any or all of such securities. In addition, Cantor Fitzgerald may sell, transfer or otherwise dispose of, at any time and from time to time, the Common Stock in transactions exempt from the registration requirements of the Securities Act after the date of this prospectus,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is not a party to, and has no involvement in, the committed equity facility entered into between the Company and B. Riley Principal Capital II. The 769,231 shares of Common Stock being registered for resale by Cantor Fitzgerald under this registration statement are entirely unrelated to the committed equity facility with B. Riley Principal Capital II and were acquired independently of that arrangement. No proceeds from the equity facility will be used in connection with Cantor Fitzgerald and Cantor Fitzgerald has no rights or obligations under the Purchase Agreement or Registration Rights Agreement with B. Riley. </w:t>
      </w:r>
    </w:p>
    <w:p>
      <w:pPr>
        <w:pStyle w:val="TextBody"/>
        <w:bidi w:val="0"/>
        <w:spacing w:before="240" w:after="0"/>
        <w:jc w:val="left"/>
        <w:rPr>
          <w:rFonts w:ascii="Times New Roman" w:hAnsi="Times New Roman"/>
          <w:sz w:val="20"/>
        </w:rPr>
      </w:pPr>
      <w:r>
        <w:rPr>
          <w:rFonts w:ascii="Times New Roman" w:hAnsi="Times New Roman"/>
          <w:sz w:val="20"/>
        </w:rPr>
        <w:t>Cantor Fitzgerald’s information for each additional Cantor Fitzgerald successor-in-interest, if any, will be set forth by prospectus supplement to the extent required prior to the time of any offer or sale of such Cantor Fitzgerald successor-in-interest’s securities pursuant to this prospectus. Any prospectus supplement may add, update, substitute, or change the information contained in this prospectus, including the identity of each Cantor Fitzgerald successor-in-interest and the number of securities registered on its behalf. Cantor Fitzgerald may sell all, some or none of such securities in this offering. See “</w:t>
      </w:r>
      <w:r>
        <w:rPr>
          <w:rFonts w:ascii="Times New Roman" w:hAnsi="Times New Roman"/>
          <w:i/>
          <w:sz w:val="20"/>
        </w:rPr>
        <w:t>Plan of Distribution (Conflict of Interest) – Offer and Sale of Class</w:t>
      </w:r>
      <w:r>
        <w:rPr>
          <w:rFonts w:ascii="Times New Roman" w:hAnsi="Times New Roman"/>
          <w:sz w:val="20"/>
        </w:rPr>
        <w:t> </w:t>
      </w:r>
      <w:r>
        <w:rPr>
          <w:rFonts w:ascii="Times New Roman" w:hAnsi="Times New Roman"/>
          <w:i/>
          <w:sz w:val="20"/>
        </w:rPr>
        <w:t>A Common Stock by Cantor Fitzgerald.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is based upon information provided by Cantor Fitzgerald.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7"/>
        <w:gridCol w:w="120"/>
        <w:gridCol w:w="103"/>
        <w:gridCol w:w="1342"/>
        <w:gridCol w:w="100"/>
        <w:gridCol w:w="200"/>
        <w:gridCol w:w="316"/>
        <w:gridCol w:w="740"/>
        <w:gridCol w:w="60"/>
        <w:gridCol w:w="120"/>
        <w:gridCol w:w="156"/>
        <w:gridCol w:w="2084"/>
        <w:gridCol w:w="60"/>
        <w:gridCol w:w="120"/>
        <w:gridCol w:w="262"/>
        <w:gridCol w:w="613"/>
        <w:gridCol w:w="183"/>
        <w:gridCol w:w="366"/>
        <w:gridCol w:w="183"/>
        <w:gridCol w:w="793"/>
        <w:gridCol w:w="77"/>
      </w:tblGrid>
      <w:tr>
        <w:trPr/>
        <w:tc>
          <w:tcPr>
            <w:tcW w:w="2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20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Securityholder</w:t>
            </w:r>
          </w:p>
        </w:tc>
        <w:tc>
          <w:tcPr>
            <w:tcW w:w="120" w:type="dxa"/>
            <w:tcBorders/>
            <w:vAlign w:val="center"/>
          </w:tcPr>
          <w:p>
            <w:pPr>
              <w:pStyle w:val="TableContents"/>
              <w:bidi w:val="0"/>
              <w:spacing w:before="0" w:after="283"/>
              <w:jc w:val="left"/>
              <w:rPr/>
            </w:pPr>
            <w:r>
              <w:rPr/>
              <w:t>  </w:t>
            </w:r>
          </w:p>
        </w:tc>
        <w:tc>
          <w:tcPr>
            <w:tcW w:w="280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Common Stock</w:t>
              <w:br/>
              <w:t>Beneficially Owned</w:t>
              <w:br/>
              <w:t>Prior to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 Number of</w:t>
              <w:br/>
              <w:t>Shares of Common</w:t>
              <w:br/>
              <w:t>Stock to be Offered</w:t>
              <w:br/>
              <w:t>Pursuant to this</w:t>
              <w:br/>
              <w:t>Prospectus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Common Stock</w:t>
              <w:br/>
              <w:t>Beneficially Owned</w:t>
              <w:br/>
              <w:t>After Offering(3)</w:t>
            </w:r>
          </w:p>
        </w:tc>
        <w:tc>
          <w:tcPr>
            <w:tcW w:w="77" w:type="dxa"/>
            <w:tcBorders/>
            <w:vAlign w:val="center"/>
          </w:tcPr>
          <w:p>
            <w:pPr>
              <w:pStyle w:val="TableContents"/>
              <w:bidi w:val="0"/>
              <w:spacing w:before="0" w:after="283"/>
              <w:jc w:val="left"/>
              <w:rPr/>
            </w:pPr>
            <w:r>
              <w:rPr/>
              <w:t> </w:t>
            </w:r>
          </w:p>
        </w:tc>
      </w:tr>
      <w:tr>
        <w:trPr/>
        <w:tc>
          <w:tcPr>
            <w:tcW w:w="22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Number(1)</w:t>
            </w:r>
          </w:p>
        </w:tc>
        <w:tc>
          <w:tcPr>
            <w:tcW w:w="1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83"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77" w:type="dxa"/>
            <w:tcBorders/>
            <w:vAlign w:val="center"/>
          </w:tcPr>
          <w:p>
            <w:pPr>
              <w:pStyle w:val="TableContents"/>
              <w:bidi w:val="0"/>
              <w:spacing w:before="0" w:after="283"/>
              <w:jc w:val="left"/>
              <w:rPr/>
            </w:pPr>
            <w:r>
              <w:rPr/>
              <w:t> </w:t>
            </w:r>
          </w:p>
        </w:tc>
      </w:tr>
      <w:tr>
        <w:trPr/>
        <w:tc>
          <w:tcPr>
            <w:tcW w:w="2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Cantor Fitzgerald &amp; Co.(4)</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769,231</w:t>
            </w:r>
          </w:p>
        </w:tc>
        <w:tc>
          <w:tcPr>
            <w:tcW w:w="1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084" w:type="dxa"/>
            <w:tcBorders/>
            <w:shd w:fill="CCEEFF" w:val="clear"/>
            <w:vAlign w:val="center"/>
          </w:tcPr>
          <w:p>
            <w:pPr>
              <w:pStyle w:val="TableContents"/>
              <w:bidi w:val="0"/>
              <w:spacing w:before="0" w:after="283"/>
              <w:jc w:val="right"/>
              <w:rPr/>
            </w:pPr>
            <w:r>
              <w:rPr/>
              <w:t>769,231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0</w:t>
            </w:r>
          </w:p>
        </w:tc>
        <w:tc>
          <w:tcPr>
            <w:tcW w:w="183"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230" w:type="dxa"/>
        <w:jc w:val="left"/>
        <w:tblInd w:w="0" w:type="dxa"/>
        <w:tblLayout w:type="fixed"/>
        <w:tblCellMar>
          <w:top w:w="0" w:type="dxa"/>
          <w:left w:w="0" w:type="dxa"/>
          <w:bottom w:w="0" w:type="dxa"/>
          <w:right w:w="0" w:type="dxa"/>
        </w:tblCellMar>
      </w:tblPr>
      <w:tblGrid>
        <w:gridCol w:w="155"/>
        <w:gridCol w:w="8075"/>
      </w:tblGrid>
      <w:tr>
        <w:trPr/>
        <w:tc>
          <w:tcPr>
            <w:tcW w:w="155"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1.0% of the outstanding shares of our Common Stock.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769,231 shares of our Common Stock we issued to Cantor Fitzgerald on July 15, 2025 as in consideration for acting as our capital markets advisor pursuant to the Engagement Letter. </w:t>
            </w:r>
          </w:p>
        </w:tc>
      </w:tr>
    </w:tbl>
    <w:tbl>
      <w:tblPr>
        <w:tblW w:w="10135" w:type="dxa"/>
        <w:jc w:val="left"/>
        <w:tblInd w:w="0" w:type="dxa"/>
        <w:tblLayout w:type="fixed"/>
        <w:tblCellMar>
          <w:top w:w="0" w:type="dxa"/>
          <w:left w:w="0" w:type="dxa"/>
          <w:bottom w:w="0" w:type="dxa"/>
          <w:right w:w="0" w:type="dxa"/>
        </w:tblCellMar>
      </w:tblPr>
      <w:tblGrid>
        <w:gridCol w:w="305"/>
        <w:gridCol w:w="9830"/>
      </w:tblGrid>
      <w:tr>
        <w:trPr/>
        <w:tc>
          <w:tcPr>
            <w:tcW w:w="305" w:type="dxa"/>
            <w:tcBorders/>
            <w:vAlign w:val="center"/>
          </w:tcPr>
          <w:p>
            <w:pPr>
              <w:pStyle w:val="TableContents"/>
              <w:bidi w:val="0"/>
              <w:spacing w:before="0" w:after="283"/>
              <w:jc w:val="left"/>
              <w:rPr/>
            </w:pPr>
            <w:r>
              <w:rPr/>
              <w:t>(2)</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Applicable percentage ownership is based on 101,682,422 shares of our Common Stock outstanding as of July 14, 2025.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the sale of all 769,231 shares of our Common Stock held by Cantor Fitzgerald being offered for resale pursuant to this prospectus.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Cantor Fitzgerald is the record owner of the securities reported herein. The business address of Cantor Fitzgerald is 110 East 59th Street, New York, NY 10022. Cantor Fitzgerald Securities (“CFS”) controls the managing general partner of Cantor Fitzgerald. Cantor Fitzgerald, L.P. (“CFLP”) indirectly controls each of CFS and Cantor Fitzgerald. CFLP is controlled by CF Group Management, Inc. (“CFGM”), its managing general partner. Mr. Howard W. Lutnick is the trustee of the sole stockholder of CFGM and therefore controls CFGM. As such, each of CFS, CFLP, CFGM and Mr. Lutnick may be deemed to have beneficial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ownership of the securities directly held by Cantor Fitzgerald. Each such entity or person disclaims any beneficial ownership of the reported shares other than to the extent of any pecuniary interest they may have therein, directly or indirectly. On May 16, 2025, Howard W. Lutnick, in his capacity as trustee of a trust, entered into agreements to sell to trusts controlled by Brandon G. Lutnick all of the voting shares of CFGM. Following the closing of the transactions contemplated by such agreements, Brandon G. Lutnick will be deemed to have voting or dispositive power over the shares reported herein, and Howard W. Lutnick will no longer have voting or dispositive power over such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944597_19"/>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have no preemptive or other subscription rights.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Proposed Bylaws and except as otherwise provided by the Proposed Charter, at all meetings of stockholders called for the election of directors at which a quorum is present, a plurality of the votes properly cast is sufficient to elect such directors to the Board. </w:t>
      </w:r>
    </w:p>
    <w:p>
      <w:pPr>
        <w:pStyle w:val="TextBody"/>
        <w:bidi w:val="0"/>
        <w:spacing w:before="240" w:after="0"/>
        <w:jc w:val="left"/>
        <w:rPr>
          <w:rFonts w:ascii="Times New Roman" w:hAnsi="Times New Roman"/>
          <w:sz w:val="20"/>
        </w:rPr>
      </w:pPr>
      <w:r>
        <w:rPr>
          <w:rFonts w:ascii="Times New Roman" w:hAnsi="Times New Roman"/>
          <w:sz w:val="20"/>
        </w:rPr>
        <w:t xml:space="preserve">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 </w:t>
      </w:r>
    </w:p>
    <w:p>
      <w:pPr>
        <w:pStyle w:val="TextBody"/>
        <w:bidi w:val="0"/>
        <w:spacing w:before="360" w:after="0"/>
        <w:jc w:val="left"/>
        <w:rPr>
          <w:rFonts w:ascii="Times New Roman" w:hAnsi="Times New Roman"/>
          <w:b/>
          <w:sz w:val="20"/>
        </w:rPr>
      </w:pPr>
      <w:r>
        <w:rPr>
          <w:rFonts w:ascii="Times New Roman" w:hAnsi="Times New Roman"/>
          <w:b/>
          <w:sz w:val="20"/>
        </w:rPr>
        <w:t xml:space="preserve">Quorum; 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Proposed Charter and the Proposed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that may be issued in the future may be used for a variety of corporate purposes, including future public offerings, to raise additional capital or to facilitate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 Action by Written Consent and Advance Notice Requirements for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stockholder meeting any stockholder actions, even if they are favored by the holders of a majority of our outstanding voting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two classes of capital stock of Blaize and the designations and the powers, privileges and rights, and the qualifications, limitations or restrictions thereof in respect of each class of capital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management of Blaize, the size of our Board, the election and removal of directors to our Board, the filling of vacancies, preferred stockholder election rights, and bylaw amendments;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actions of stockholders of Blaize, advance notice of business to be brought by stockholders and special meetings of stockholders;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limited liability of directors or officers of Blaize;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indemnification of the current and former officers, directors, employees and agents of Blaize;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exclusive forums for certain actions; and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amending our certificate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Public Warrants when the price per share of Common Stock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We may call the Public Warrants for redemption for cash: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Public Warrants become exercisable (the “30-day redemption period”) to each Public Warrant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Common Stock underlying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established the last of the redemption criteria discussed above to prevent a redemption call unless there is at the time of the call a significant premium to the Public Warrant exercise price. If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Common Stock is decreased by a consolidation, combination, reverse stock split or reclassification of shares of Common Stock or other similar event, then, on the effective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consolidation, combination, reverse stock split, reclassification or similar event, the number of shares of Common Stock issuable on exercise of each Public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w:t>
      </w:r>
    </w:p>
    <w:p>
      <w:pPr>
        <w:pStyle w:val="TextBody"/>
        <w:bidi w:val="0"/>
        <w:spacing w:before="120" w:after="0"/>
        <w:jc w:val="left"/>
        <w:rPr>
          <w:rFonts w:ascii="Times New Roman" w:hAnsi="Times New Roman"/>
          <w:sz w:val="20"/>
        </w:rPr>
      </w:pPr>
      <w:r>
        <w:rPr>
          <w:rFonts w:ascii="Times New Roman" w:hAnsi="Times New Roman"/>
          <w:sz w:val="20"/>
        </w:rPr>
        <w:t xml:space="preserve">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voting rights until they exercise their Public Warrants and receive Common Stock. After the issuance of Common Stock upon exercise of the Public Warrants, each holder will be entitled to one vote for each share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hAnsi="Times New Roman"/>
          <w:i/>
          <w:sz w:val="20"/>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Warrant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and warrant agent for the Public Warrants and Private Placement Warrants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Symbols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Warrants are listed on the Nasdaq Global Market under the symbol “BZAI” and “BZAIW,”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44597_20"/>
      <w:bookmarkEnd w:id="22"/>
      <w:r>
        <w:rPr>
          <w:rFonts w:ascii="Times New Roman" w:hAnsi="Times New Roman"/>
          <w:b/>
          <w:sz w:val="20"/>
        </w:rPr>
        <w:t xml:space="preserve">SECURITIES ACT RESTRICTIONS ON RESALE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 outstanding;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our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of Blaize under Rule 144 are also limited by manner of sale provisions and notice requirements and to the availability of current public information about Blaize.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Form 8-K reports;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consummation of the Business Combination, we are no longer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944597_21"/>
      <w:bookmarkEnd w:id="23"/>
      <w:r>
        <w:rPr>
          <w:rFonts w:ascii="Times New Roman" w:hAnsi="Times New Roman"/>
          <w:b/>
          <w:sz w:val="20"/>
        </w:rPr>
        <w:t xml:space="preserve">PLAN OF DISTRIBUTION (CONFLICT OF INTEREST) </w:t>
      </w:r>
    </w:p>
    <w:p>
      <w:pPr>
        <w:pStyle w:val="TextBody"/>
        <w:bidi w:val="0"/>
        <w:spacing w:before="240" w:after="0"/>
        <w:jc w:val="left"/>
        <w:rPr>
          <w:rFonts w:ascii="Times New Roman" w:hAnsi="Times New Roman"/>
          <w:b/>
          <w:sz w:val="20"/>
        </w:rPr>
      </w:pPr>
      <w:r>
        <w:rPr>
          <w:rFonts w:ascii="Times New Roman" w:hAnsi="Times New Roman"/>
          <w:b/>
          <w:sz w:val="20"/>
        </w:rPr>
        <w:t xml:space="preserve">Offer and Resale of Common Stock by the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BRPC Shares offered by this prospectus are being offered by the Selling Stockholder, B. Riley Principal Capital II,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BRPC Shares offered by this prospectus could be effected in one or more of the following methods: </w:t>
      </w:r>
    </w:p>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ordinary brokers’ transactions;</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involving cross or block trades;</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through brokers, dealers, or underwriters who may act solely as agents;</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pPr>
            <w:r>
              <w:rPr/>
              <w:t>“</w:t>
            </w:r>
            <w:r>
              <w:rPr>
                <w:rFonts w:ascii="Times New Roman" w:hAnsi="Times New Roman"/>
                <w:sz w:val="20"/>
              </w:rPr>
              <w:t>at the market” into an existing market for our Common Stock;</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other ways not involving market makers or established business markets, including direct sales to purchasers or sales effected through agents;</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privately negotiated transactions; or</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combination of the foregoing.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B. Riley Principal Capital II is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Riley Principal Capital II has informed us that it presently anticipates using, but is not required to use, B. Riley Securities, Inc. (“BRS”), a registered broker-dealer and FINRA member and an affiliate of B. Riley Principal Capital II, as a broker to effectuate resales, if any, of BRPC Shares that it may acquire from us pursuant to the Purchase Agreement, and that it may also engage one or more other registered broker-dealers to effectuate resales, if any, of BRPC Shares that it may acquire from us. Such resales will be made at prices and at terms then prevailing or at prices related to the then current market price. Each such registered broker-dealer will be an underwriter within the meaning of Section 2(a)(11) of the Securities Act. B. Riley Principal Capital II has informed us that each such broker-dealer it engages to effectuate resales of BRPC Shares on its behalf, excluding BRS, may receive commissions from B. Riley Principal Capital II for executing such resales for B. Riley Principal Capital II and, if so, such commissions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 Riley Principal Capital II is an affiliate of BRS, a registered broker-dealer and FINRA member, which will act as an executing broker that will effectuate resales of BRPC Shares that may be acquired by B. Riley Principal Capital II from us pursuant to the Purchase Agreement to the public in this offering. Because B. Riley Principal Capital II will receive all the net proceeds from such resales of BRPC Shares made to the public through BRS, BRS is deemed to have a “conflict of interest” within the meaning of FINRA Rule 5121. Consequently, this offering will be conducted in compliance with the provisions of FINRA Rule 5121. In accordance with FINRA Rule 5121, BRS is not permitted to sell shares of BRPC Shares in this offering to an account over which it exercises discretionary authority without the prior specific written approval of the account holder.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we know of no existing arrangements between the Selling Stockholder and any other stockholder, broker, dealer, underwriter or agent relating to the sale or distribution of BRPC Shares offered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Brokers, dealers, underwriters or agents participating in the distribution of the shares of our Common Stock offered by this prospectus may receive compensation in the form of commissions, discounts, or concessions from the purchasers, for whom the broker-dealers may act as agent, of BRPC Shares sold by the Selling Stockholder through this prospectus. The compensation paid to any such particular broker-dealer by any such purchasers of BRPC Shares sold by the Selling Stockholder may be less than or in excess of customary commissions. Neither we nor the Selling Stockholder can presently estimate the amount of compensation that any agent will receive from any purchasers of BRPC Shares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incident to the registration under the Securities Act of the offer and sale of BRPC Shares covered by this prospectus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its irrevocable commitment to purchase our Common Stock at our direction under the Purchase Agreement, we agreed to (i) pay B. Riley Principal Capital II the Cash Commitment Fee of $200,000, which is equal to 0.4% of B. Riley Principal Capital II’s $50,000,000 total aggregate dollar amount purchase commitment under the Purchase Agreement, and (ii) issue to B. Riley Principal Capital II 83,353 shares of our Common Stock as Commitment Shares, which Commitment Shares have a total aggregate dollar value equal to $250,000, or 0.5% of B. Riley Principal Capital II’s $50,000,000 total aggregate dollar amount purchase commitment under the Purchase Agreement (assuming a purchase price of $2.9993 per Commitment Share, representing the VWAP for the five consecutive days immediately prior to signing of the Purchase Agreement, rounded to the nearest whole, in each case upon our execution of the Purchase Agreement and the Registration Rights Agreement. In accordance with FINRA Rule 5110, the Cash Commitment Fee we paid to B. Riley Principal Capital II and the 83,353 Commitment Shares we issued to B. Riley Principal Capital II upon our execution of the Purchase Agreement are deemed to be underwriting compensation in connection with sales of BRPC Shares by B. Riley Principal Capital II to the public.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agreed to reimburse B. Riley Principal Capital II the Initial Legal Fee Reimbursement Amount of $125,000 upon our execution of the Purchase Agreement and Registration Rights Agreement and the Additional Investor Legal Fee Reimbursement Amount of up to $5,000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BRPC Shares by B. Riley Principal Capital II to the public. Moreover, in accordance with FINRA Rule 5110, the 3.0% fixed discount to current market prices of our Common Stock reflected in the purchase prices payable by B. Riley Principal Capital II for our Common Stock that we may require it to purchase from us from time to time in one or more Market Open Purchases and/or one or more Intraday Purchases under the Purchase Agreement is deemed to be underwriting compensation in connection with sales of BRPC Shares by B. Riley Principal Capital II to the public.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B. Riley Principal Capital II and certain other persons against certain liabilities in connection with the offering of BRPC Shares offered hereby, including liabilities arising under the Securities Act or, if such indemnity is unavailable, to contribute amounts required to be paid in respect of such liabilities. B. Riley Principal Capital II has agreed to indemnify us against liabilities under the Securities Act that may arise from certain written information furnished to us by B. Riley Principal Capital II specifically for use in this prospectus or, if such indemnity is unavailable, to contribute amounts required to be paid in respect of such liabilities. Insofar as indemnification for liabilities arising under the Securities Act may be permitted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for the offering will be approximately $650,000. </w:t>
      </w:r>
    </w:p>
    <w:p>
      <w:pPr>
        <w:pStyle w:val="TextBody"/>
        <w:bidi w:val="0"/>
        <w:spacing w:before="240" w:after="0"/>
        <w:jc w:val="left"/>
        <w:rPr>
          <w:rFonts w:ascii="Times New Roman" w:hAnsi="Times New Roman"/>
          <w:sz w:val="20"/>
        </w:rPr>
      </w:pPr>
      <w:r>
        <w:rPr>
          <w:rFonts w:ascii="Times New Roman" w:hAnsi="Times New Roman"/>
          <w:sz w:val="20"/>
        </w:rPr>
        <w:t xml:space="preserve">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enter into or effect, directly or indirectly, any of the foregoing transactions either for B. Riley Principal Capital II’s own principal account or for the principal account of any such entity managed or controlled by B. Riley Principal Capital II.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BRPC Shares offered by this prospectus have been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Nasdaq under the symbol “BZAI”. </w:t>
      </w:r>
    </w:p>
    <w:p>
      <w:pPr>
        <w:pStyle w:val="TextBody"/>
        <w:bidi w:val="0"/>
        <w:spacing w:before="240" w:after="0"/>
        <w:jc w:val="left"/>
        <w:rPr>
          <w:rFonts w:ascii="Times New Roman" w:hAnsi="Times New Roman"/>
          <w:sz w:val="20"/>
        </w:rPr>
      </w:pPr>
      <w:r>
        <w:rPr>
          <w:rFonts w:ascii="Times New Roman" w:hAnsi="Times New Roman"/>
          <w:sz w:val="20"/>
        </w:rPr>
        <w:t xml:space="preserve">B. Riley Principal Capital II and/or one or more of its affiliates, including BRS,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BRPC Shares for resale by B. Riley Principal Capital II to which this prospectus relates, for which investment banking and other financial services they have received and may continue to receive customary fees, commissions and other compensation from us, aside from any discounts, fees and other compensation that B. Riley Principal Capital II has received and may receive in connection with the transactions contemplated by the Purchase Agreement, including (i) the $200,000 Cash Commitment Fee we paid to B. Riley Principal Capital II and the 83,353 Commitment Shares we issued to B. Riley Principal Capital II as consideration for its irrevocable commitment to purchase shares of our Common Stock from us at our direction under the Purchase Agreement, (ii) the 3.0% fixed discount to current market prices of our Common Stock reflected in the purchase prices payable by B. Riley Principal Capital II for our Common Stock that we may require it to purchase from us from time to time in one or more Open Market Purchases and/or one or more Intraday Purchases under the Purchase Agreement, and (iii) our reimbursement of B. Riley Principal Capital II’s legal fees up to $185,000 in the aggregate ($125,000 upon execution of the Purchase Agreement and $5,000 per fiscal quarter for the maximum three year term of the Purchase Agreement) in connection with the transactions contemplated by the Purchase Agreement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total underwriting compensation to be received by all participating FINRA members, in the aggregate, in connection with this offering, as determined under FINRA Rule 5110, will not exceed 8.0% of the maximum aggregate offering price of all BRPC Shares that may be resold by B. Riley Principal Capital II to the public through this prospectus. Accordingly, the total amount of any specific item of underwriting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 </w:t>
      </w:r>
    </w:p>
    <w:p>
      <w:pPr>
        <w:pStyle w:val="TextBody"/>
        <w:bidi w:val="0"/>
        <w:spacing w:before="360" w:after="0"/>
        <w:jc w:val="left"/>
        <w:rPr>
          <w:rFonts w:ascii="Times New Roman" w:hAnsi="Times New Roman"/>
          <w:b/>
          <w:sz w:val="20"/>
        </w:rPr>
      </w:pPr>
      <w:r>
        <w:rPr>
          <w:rFonts w:ascii="Times New Roman" w:hAnsi="Times New Roman"/>
          <w:b/>
          <w:sz w:val="20"/>
        </w:rPr>
        <w:t xml:space="preserve">Offer and Resale of Common Stock by Cantor Fitzgerald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also related in part to the offer and sale of up to 769,231 shares of our Common Stock by Cantor Fitzgerald (including its donees, pledgees, transferees and other successors-in-interest) named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by Cantor Fitzgerald of the Common Stock being registered for sale hereunder. We will bear all costs, expenses and fees in connection with the registration of the Common Stock offered by this prospectus, including, without limitation, all registration and filing fees, fees and expenses of our counsel and fees and expenses of our independent registered public accountants. Cantor Fitzgerald will bear all incremental selling expenses, including commissions, brokerage fees and other similar selling expenses.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may offer and sell, from time to time, some or all of the Common Stock to which this prospectus relates in part. As used herein, “Cantor Fitzgerald” includes donees, pledgees, transferees or other successors-in-interest (as a gift, pledge, partnership distribution or other non-sale related transfer) selling shares of Common Stock received after the date of this prospectus from Cantor Fitzgerald. We have registered the shares of Common Stock to which this prospectus relates in part for offer and sale so that those shares may be freely sold to the public by Cantor Fitzgerald. Registration of the shares of Common Stock to which this prospectus relates in part does not mean, however, that those shares necessarily will be offered or resold by Cantor Fitzgerald. </w:t>
      </w:r>
    </w:p>
    <w:p>
      <w:pPr>
        <w:pStyle w:val="TextBody"/>
        <w:bidi w:val="0"/>
        <w:spacing w:before="240" w:after="0"/>
        <w:jc w:val="left"/>
        <w:rPr>
          <w:rFonts w:ascii="Times New Roman" w:hAnsi="Times New Roman"/>
          <w:sz w:val="20"/>
        </w:rPr>
      </w:pPr>
      <w:r>
        <w:rPr>
          <w:rFonts w:ascii="Times New Roman" w:hAnsi="Times New Roman"/>
          <w:sz w:val="20"/>
        </w:rPr>
        <w:t xml:space="preserve">Sales of the Common Stock offered hereby may be effected by Cantor Fitzgerald from time to time in one or more types of transactions (which may include block transactions), including but not limited to, in negotiated transactions, through put or call options transactions relating to the securities offered hereby, through short sales of the securities offered hereby, or a combination of such methods of sale. Such transactions may or may not involve brokers or dealers. In effecting sales, brokers or dealers engaged by Cantor Fitzgerald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or transactions in which the broker-dealer solicits purchasers. Such broker-dealers may receive compensation in the form of discounts, concessions or commissions from Cantor Fitzgerald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Cantor Fitzgerald has not advised us that they have entered into any agreements, understandings or arrangements with any broker-dealers regarding the sale of the Common Stock to which this prospectus relates in part. </w:t>
      </w:r>
    </w:p>
    <w:p>
      <w:pPr>
        <w:pStyle w:val="TextBody"/>
        <w:bidi w:val="0"/>
        <w:spacing w:before="240" w:after="0"/>
        <w:jc w:val="left"/>
        <w:rPr>
          <w:rFonts w:ascii="Times New Roman" w:hAnsi="Times New Roman"/>
          <w:sz w:val="20"/>
        </w:rPr>
      </w:pPr>
      <w:r>
        <w:rPr>
          <w:rFonts w:ascii="Times New Roman" w:hAnsi="Times New Roman"/>
          <w:sz w:val="20"/>
        </w:rPr>
        <w:t xml:space="preserve">In addition, Cantor Fitzgerald may elect to make a pro rata in-kind distribution of Common Stock to its members, partners or shareholders pursuant to the registration statement of which this prospectus is a part by delivering a prospectus with a plan of distribution. Such members, partners or shareholders would thereby 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shares of Common Stock acquired in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Cantor Fitzgerald will sell all or any of the Common Stock offered by this prospectus. In addition, any shares that qualify for sale pursuant to Rule 144 may be sold under Rule 144 of the Securities Act, if available, or in other transactions exempt from registration, rather than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may enter into hedging transactions with broker-dealers or other financial institutions. In connection with such transactions, broker-dealers or other financial institutions may engage in short sales of shares of Common Stock offered hereby in the course of hedging positions they assume with Cantor Fitzgerald. Cantor Fitzgerald may also enter into options or other transactions with broker-dealers or other financial institutions which require the delivery to such broker-dealers or other financial institutions of the shares offered by this prospectus, which shares such broker-dealer or other financial institution may resell pursuant to this prospectus (as amended or supplemented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Cantor Fitzgerald or borrowed from Cantor Fitzgerald or others to settle those sales or to close out any related open borrowings of stock, and may use securities received from Cantor Fitzgerald in settlement of those derivatives to close out any related open borrowings of securities. The third party in such sale transactions will be an underwriter and will be identified in the applicable prospectus supplement (or a post-effective amendment). In addition, Cantor Fitzgerald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is not a party to, and has no involvement in, the committed equity facility entered into between the Company and B. Riley Principal Capital II. The 769,231 shares of Common Stock being registered for resale by Cantor Fitzgerald under this registration statement are entirely unrelated to the committed equity facility with B. Riley Principal Capital II and were acquired independently of that arrangement. No proceeds from the equity facility will be used in connection with Cantor Fitzgerald and Cantor Fitzgerald has no rights or obligations under the Purchase Agreement or Registration Rights Agreement with B. Riley.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we will use our best efforts to file one or more supplements to this prospectus to describe any material information with respect to the plan of distribution not previously disclosed in this prospectus or any material change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944597_22"/>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Houston,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944597_2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944597_24"/>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hAnsi="Times New Roman"/>
          <w:i/>
          <w:sz w:val="20"/>
        </w:rPr>
        <w:t>http:// www.sec.gov</w:t>
      </w:r>
      <w:r>
        <w:rPr>
          <w:rFonts w:ascii="Times New Roman" w:hAnsi="Times New Roman"/>
          <w:sz w:val="20"/>
        </w:rPr>
        <w:t xml:space="preserve">. Those filings are also available to the public on, or accessible through, our website under the heading “Investors Relations” at www.blaize.com. The information on our web site, however, is not, and should not be deemed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INDEX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483"/>
        <w:gridCol w:w="120"/>
        <w:gridCol w:w="60"/>
        <w:gridCol w:w="466"/>
        <w:gridCol w:w="76"/>
      </w:tblGrid>
      <w:tr>
        <w:trPr/>
        <w:tc>
          <w:tcPr>
            <w:tcW w:w="9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gridSpan w:val="2"/>
            <w:tcBorders/>
            <w:vAlign w:val="center"/>
          </w:tcPr>
          <w:p>
            <w:pPr>
              <w:pStyle w:val="TableContents"/>
              <w:bidi w:val="0"/>
              <w:spacing w:before="0" w:after="0"/>
              <w:jc w:val="center"/>
              <w:rPr>
                <w:b/>
                <w:spacing w:val="0"/>
              </w:rPr>
            </w:pPr>
            <w:r>
              <w:rPr>
                <w:b/>
                <w:spacing w:val="0"/>
              </w:rPr>
              <w:t>Page</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BLAIZE HOLDINGS, INC. FINANCIAL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Unaudited Financial Statements of Blaize Holdings, Inc.: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0"/>
              <w:jc w:val="left"/>
              <w:rPr/>
            </w:pPr>
            <w:hyperlink w:anchor="fin944597_1">
              <w:r>
                <w:rPr>
                  <w:rStyle w:val="InternetLink"/>
                  <w:rFonts w:ascii="Times New Roman" w:hAnsi="Times New Roman"/>
                  <w:sz w:val="20"/>
                </w:rPr>
                <w:t>Condensed Consolidated Balance Sheets as of March 31, 2025 and December 31, 2024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right"/>
              <w:rPr>
                <w:spacing w:val="0"/>
              </w:rPr>
            </w:pPr>
            <w:r>
              <w:rPr>
                <w:spacing w:val="0"/>
              </w:rPr>
              <w:t>F-2</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2">
              <w:r>
                <w:rPr>
                  <w:rStyle w:val="InternetLink"/>
                  <w:rFonts w:ascii="Times New Roman" w:hAnsi="Times New Roman"/>
                  <w:spacing w:val="0"/>
                  <w:sz w:val="20"/>
                </w:rPr>
                <w:t>Condensed Consolidated Statements of Operations for the Three Months Ended March 31, 2025 and 2024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right"/>
              <w:rPr>
                <w:spacing w:val="0"/>
              </w:rPr>
            </w:pPr>
            <w:r>
              <w:rPr>
                <w:spacing w:val="0"/>
              </w:rPr>
              <w:t>F-3</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3">
              <w:r>
                <w:rPr>
                  <w:rStyle w:val="InternetLink"/>
                  <w:rFonts w:ascii="Times New Roman" w:hAnsi="Times New Roman"/>
                  <w:sz w:val="20"/>
                </w:rPr>
                <w:t>Condensed Consolidated Statements of Stockholders’ Equity (Deficit) for the Three Months ended March 31, 2025 and 2024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right"/>
              <w:rPr>
                <w:spacing w:val="0"/>
              </w:rPr>
            </w:pPr>
            <w:r>
              <w:rPr>
                <w:spacing w:val="0"/>
              </w:rPr>
              <w:t>F-4</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4">
              <w:r>
                <w:rPr>
                  <w:rStyle w:val="InternetLink"/>
                  <w:rFonts w:ascii="Times New Roman" w:hAnsi="Times New Roman"/>
                  <w:spacing w:val="0"/>
                  <w:sz w:val="20"/>
                </w:rPr>
                <w:t>Condensed Consolidated Statements of Cash Flows for the Three Months Ended March 31, 2025 and 2024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right"/>
              <w:rPr>
                <w:spacing w:val="0"/>
              </w:rPr>
            </w:pPr>
            <w:r>
              <w:rPr>
                <w:spacing w:val="0"/>
              </w:rPr>
              <w:t>F-5</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5">
              <w:r>
                <w:rPr>
                  <w:rStyle w:val="InternetLink"/>
                  <w:rFonts w:ascii="Times New Roman" w:hAnsi="Times New Roman"/>
                  <w:spacing w:val="0"/>
                  <w:sz w:val="20"/>
                </w:rPr>
                <w:t>Notes to the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right"/>
              <w:rPr>
                <w:spacing w:val="0"/>
              </w:rPr>
            </w:pPr>
            <w:r>
              <w:rPr>
                <w:spacing w:val="0"/>
              </w:rPr>
              <w:t>F-6</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BLAIZE, INC.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Audited Financial Statements of Blaize, Inc. and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3" w:type="dxa"/>
            <w:tcBorders/>
            <w:vAlign w:val="center"/>
          </w:tcPr>
          <w:p>
            <w:pPr>
              <w:pStyle w:val="TableContents"/>
              <w:bidi w:val="0"/>
              <w:spacing w:before="0" w:after="0"/>
              <w:jc w:val="left"/>
              <w:rPr/>
            </w:pPr>
            <w:hyperlink w:anchor="fin944597_6">
              <w:r>
                <w:rPr>
                  <w:rStyle w:val="InternetLink"/>
                  <w:rFonts w:ascii="Times New Roman" w:hAnsi="Times New Roman"/>
                  <w:spacing w:val="0"/>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spacing w:val="0"/>
              </w:rPr>
            </w:pPr>
            <w:r>
              <w:rPr>
                <w:spacing w:val="0"/>
              </w:rPr>
              <w:t>F-38</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7">
              <w:r>
                <w:rPr>
                  <w:rStyle w:val="InternetLink"/>
                  <w:rFonts w:ascii="Times New Roman" w:hAnsi="Times New Roman"/>
                  <w:spacing w:val="0"/>
                  <w:sz w:val="20"/>
                </w:rPr>
                <w:t>Consolidated Balance Sheets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spacing w:val="0"/>
              </w:rPr>
            </w:pPr>
            <w:r>
              <w:rPr>
                <w:spacing w:val="0"/>
              </w:rPr>
              <w:t>F-39</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8">
              <w:r>
                <w:rPr>
                  <w:rStyle w:val="InternetLink"/>
                  <w:rFonts w:ascii="Times New Roman" w:hAnsi="Times New Roman"/>
                  <w:spacing w:val="0"/>
                  <w:sz w:val="20"/>
                </w:rPr>
                <w:t>Consolidated Statements of Operations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spacing w:val="0"/>
              </w:rPr>
            </w:pPr>
            <w:r>
              <w:rPr>
                <w:spacing w:val="0"/>
              </w:rPr>
              <w:t>F-40</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9">
              <w:r>
                <w:rPr>
                  <w:rStyle w:val="InternetLink"/>
                  <w:rFonts w:ascii="Times New Roman" w:hAnsi="Times New Roman"/>
                  <w:spacing w:val="0"/>
                  <w:sz w:val="20"/>
                </w:rPr>
                <w:t>Consolidated Statements of Redeemable Convertible Preferred Stock and Stockholders’ Deficit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spacing w:val="0"/>
              </w:rPr>
            </w:pPr>
            <w:r>
              <w:rPr>
                <w:spacing w:val="0"/>
              </w:rPr>
              <w:t>F-41</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10">
              <w:r>
                <w:rPr>
                  <w:rStyle w:val="InternetLink"/>
                  <w:rFonts w:ascii="Times New Roman" w:hAnsi="Times New Roman"/>
                  <w:spacing w:val="0"/>
                  <w:sz w:val="20"/>
                </w:rPr>
                <w:t>Consolidated Statements of Cash Flows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spacing w:val="0"/>
              </w:rPr>
            </w:pPr>
            <w:r>
              <w:rPr>
                <w:spacing w:val="0"/>
              </w:rPr>
              <w:t>F-42</w:t>
            </w:r>
          </w:p>
        </w:tc>
        <w:tc>
          <w:tcPr>
            <w:tcW w:w="76" w:type="dxa"/>
            <w:tcBorders/>
            <w:vAlign w:val="center"/>
          </w:tcPr>
          <w:p>
            <w:pPr>
              <w:pStyle w:val="TableContents"/>
              <w:bidi w:val="0"/>
              <w:spacing w:before="0" w:after="283"/>
              <w:jc w:val="left"/>
              <w:rPr/>
            </w:pPr>
            <w:r>
              <w:rPr/>
              <w:t> </w:t>
            </w:r>
          </w:p>
        </w:tc>
      </w:tr>
      <w:tr>
        <w:trPr/>
        <w:tc>
          <w:tcPr>
            <w:tcW w:w="9483" w:type="dxa"/>
            <w:tcBorders/>
            <w:vAlign w:val="center"/>
          </w:tcPr>
          <w:p>
            <w:pPr>
              <w:pStyle w:val="TableContents"/>
              <w:bidi w:val="0"/>
              <w:spacing w:before="0" w:after="0"/>
              <w:jc w:val="left"/>
              <w:rPr/>
            </w:pPr>
            <w:hyperlink w:anchor="fin944597_11">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spacing w:val="0"/>
              </w:rPr>
            </w:pPr>
            <w:r>
              <w:rPr>
                <w:spacing w:val="0"/>
              </w:rPr>
              <w:t>F-43</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HOLDINGS,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pStyle w:val="TextBody"/>
        <w:bidi w:val="0"/>
        <w:spacing w:before="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15"/>
        <w:gridCol w:w="120"/>
        <w:gridCol w:w="147"/>
        <w:gridCol w:w="923"/>
        <w:gridCol w:w="155"/>
        <w:gridCol w:w="60"/>
        <w:gridCol w:w="195"/>
        <w:gridCol w:w="1220"/>
        <w:gridCol w:w="170"/>
      </w:tblGrid>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 except shares and per share amounts)</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As of</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As of</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and cash equivalents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44,967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50,237</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Funds held in escrow</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33,350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receivable, net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1,008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Inventories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8,383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8,561</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5,836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14,837</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Total 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93,544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73,690</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2,054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2,081</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Deferred income tax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2,167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2,157</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Operating lease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right-of-use</w:t>
            </w:r>
          </w:p>
          <w:p>
            <w:pPr>
              <w:pStyle w:val="TableContents"/>
              <w:bidi w:val="0"/>
              <w:spacing w:before="0" w:after="0"/>
              <w:jc w:val="left"/>
              <w:rPr>
                <w:rFonts w:ascii="Times New Roman" w:hAnsi="Times New Roman"/>
                <w:sz w:val="16"/>
              </w:rPr>
            </w:pPr>
            <w:r>
              <w:rPr>
                <w:rFonts w:ascii="Times New Roman" w:hAnsi="Times New Roman"/>
                <w:sz w:val="16"/>
              </w:rPr>
              <w:t>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1,773</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815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815</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0"/>
              <w:jc w:val="left"/>
              <w:rPr>
                <w:b/>
                <w:spacing w:val="0"/>
              </w:rPr>
            </w:pPr>
            <w:r>
              <w:rPr>
                <w:b/>
                <w:spacing w:val="0"/>
              </w:rPr>
              <w:t>$</w:t>
            </w:r>
          </w:p>
        </w:tc>
        <w:tc>
          <w:tcPr>
            <w:tcW w:w="923" w:type="dxa"/>
            <w:tcBorders/>
            <w:shd w:fill="CCEEFF" w:val="clear"/>
            <w:vAlign w:val="center"/>
          </w:tcPr>
          <w:p>
            <w:pPr>
              <w:pStyle w:val="TableContents"/>
              <w:bidi w:val="0"/>
              <w:spacing w:before="0" w:after="0"/>
              <w:jc w:val="right"/>
              <w:rPr>
                <w:b/>
                <w:spacing w:val="0"/>
              </w:rPr>
            </w:pPr>
            <w:r>
              <w:rPr>
                <w:b/>
                <w:spacing w:val="0"/>
              </w:rPr>
              <w:t>100,203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b/>
                <w:spacing w:val="0"/>
              </w:rPr>
            </w:pPr>
            <w:r>
              <w:rPr>
                <w:b/>
                <w:spacing w:val="0"/>
              </w:rPr>
              <w:t>$</w:t>
            </w:r>
          </w:p>
        </w:tc>
        <w:tc>
          <w:tcPr>
            <w:tcW w:w="1220" w:type="dxa"/>
            <w:tcBorders/>
            <w:shd w:fill="CCEEFF" w:val="clear"/>
            <w:vAlign w:val="center"/>
          </w:tcPr>
          <w:p>
            <w:pPr>
              <w:pStyle w:val="TableContents"/>
              <w:bidi w:val="0"/>
              <w:spacing w:before="0" w:after="0"/>
              <w:jc w:val="right"/>
              <w:rPr>
                <w:b/>
                <w:spacing w:val="0"/>
              </w:rPr>
            </w:pPr>
            <w:r>
              <w:rPr>
                <w:b/>
                <w:spacing w:val="0"/>
              </w:rPr>
              <w:t>80,516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Liabilities, common stock subject to possible redemption, and stockholders’ equity (deficit)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Current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payable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17,115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7,904</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11,524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11,996</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loss on purchase commitments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601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603</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compensation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1,763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1,613</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Income tax payable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2,537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2,109</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Operating lease liabilities, current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578</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Working capital loan (Note 8)</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Advances from related party (Note 8)</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Warrant liabilities, current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14,711</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Convertible notes, current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148,629</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Total current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38,439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188,143</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1,050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1,166</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Earnout share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9,507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1,436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rPr>
            </w:pPr>
            <w:r>
              <w:rPr>
                <w:spacing w:val="0"/>
              </w:rPr>
              <w:t> </w:t>
            </w:r>
          </w:p>
        </w:tc>
        <w:tc>
          <w:tcPr>
            <w:tcW w:w="923" w:type="dxa"/>
            <w:tcBorders/>
            <w:vAlign w:val="center"/>
          </w:tcPr>
          <w:p>
            <w:pPr>
              <w:pStyle w:val="TableContents"/>
              <w:bidi w:val="0"/>
              <w:spacing w:before="0" w:after="0"/>
              <w:jc w:val="right"/>
              <w:rPr>
                <w:b/>
                <w:spacing w:val="0"/>
              </w:rPr>
            </w:pPr>
            <w:r>
              <w:rPr>
                <w:b/>
                <w:spacing w:val="0"/>
              </w:rPr>
              <w:t>50,432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190,979</w:t>
            </w:r>
          </w:p>
        </w:tc>
        <w:tc>
          <w:tcPr>
            <w:tcW w:w="170" w:type="dxa"/>
            <w:tcBorders/>
            <w:vAlign w:val="center"/>
          </w:tcPr>
          <w:p>
            <w:pPr>
              <w:pStyle w:val="TableContents"/>
              <w:bidi w:val="0"/>
              <w:spacing w:before="0" w:after="0"/>
              <w:jc w:val="left"/>
              <w:rPr>
                <w:spacing w:val="0"/>
              </w:rPr>
            </w:pPr>
            <w:r>
              <w:rPr>
                <w:spacing w:val="0"/>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Commitments and contingencies (Note 14)</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Common stock subject to possible redemption,</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2,854,242</w:t>
            </w:r>
          </w:p>
          <w:p>
            <w:pPr>
              <w:pStyle w:val="TableContents"/>
              <w:bidi w:val="0"/>
              <w:spacing w:before="0" w:after="0"/>
              <w:jc w:val="left"/>
              <w:rPr>
                <w:spacing w:val="0"/>
              </w:rPr>
            </w:pPr>
            <w:r>
              <w:rPr>
                <w:spacing w:val="0"/>
              </w:rPr>
              <w:t> </w:t>
            </w:r>
            <w:r>
              <w:rPr>
                <w:rFonts w:ascii="Times New Roman" w:hAnsi="Times New Roman"/>
                <w:spacing w:val="0"/>
                <w:sz w:val="16"/>
              </w:rPr>
              <w:t>and zero outstanding at a redemption value of approximately $33,061 and $0 as of March 31, 2025 and December 31, 2024, respectively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33,061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Stockholders’ equity (deficit):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 xml:space="preserve">Common stock - $0.0001 par value;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600,000,000</w:t>
            </w:r>
          </w:p>
          <w:p>
            <w:pPr>
              <w:pStyle w:val="TableContents"/>
              <w:bidi w:val="0"/>
              <w:spacing w:before="0" w:after="0"/>
              <w:jc w:val="left"/>
              <w:rPr>
                <w:spacing w:val="0"/>
              </w:rPr>
            </w:pPr>
            <w:r>
              <w:rPr>
                <w:spacing w:val="0"/>
              </w:rPr>
              <w:t> </w:t>
            </w:r>
            <w:r>
              <w:rPr>
                <w:rFonts w:ascii="Times New Roman" w:hAnsi="Times New Roman"/>
                <w:spacing w:val="0"/>
                <w:sz w:val="16"/>
              </w:rPr>
              <w:t xml:space="preserve">and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136,562,809</w:t>
            </w:r>
          </w:p>
          <w:p>
            <w:pPr>
              <w:pStyle w:val="TableContents"/>
              <w:bidi w:val="0"/>
              <w:spacing w:before="0" w:after="0"/>
              <w:jc w:val="left"/>
              <w:rPr>
                <w:spacing w:val="0"/>
              </w:rPr>
            </w:pPr>
            <w:r>
              <w:rPr>
                <w:spacing w:val="0"/>
              </w:rPr>
              <w:t> </w:t>
            </w:r>
            <w:r>
              <w:rPr>
                <w:rFonts w:ascii="Times New Roman" w:hAnsi="Times New Roman"/>
                <w:spacing w:val="0"/>
                <w:sz w:val="16"/>
              </w:rPr>
              <w:t>shares authorized as of March 31, 2025 and December 31, 2024, respectively; 98,818,874 and 48,376,052 shares issued and outstanding as of March 31, 2025 and December 31, 2024, respectively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Additional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paid-in</w:t>
            </w:r>
          </w:p>
          <w:p>
            <w:pPr>
              <w:pStyle w:val="TableContents"/>
              <w:bidi w:val="0"/>
              <w:spacing w:before="0" w:after="0"/>
              <w:jc w:val="left"/>
              <w:rPr>
                <w:rFonts w:ascii="Times New Roman" w:hAnsi="Times New Roman"/>
                <w:sz w:val="16"/>
              </w:rPr>
            </w:pPr>
            <w:r>
              <w:rPr>
                <w:rFonts w:ascii="Times New Roman" w:hAnsi="Times New Roman"/>
                <w:sz w:val="16"/>
              </w:rPr>
              <w:t>capital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602,266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318,783</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Shareholder note receivable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(8,554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Accumulated deficit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(577,012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(429,251</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stockholders’ equity (deficit)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rPr>
            </w:pPr>
            <w:r>
              <w:rPr>
                <w:spacing w:val="0"/>
              </w:rPr>
              <w:t> </w:t>
            </w:r>
          </w:p>
        </w:tc>
        <w:tc>
          <w:tcPr>
            <w:tcW w:w="923" w:type="dxa"/>
            <w:tcBorders/>
            <w:vAlign w:val="center"/>
          </w:tcPr>
          <w:p>
            <w:pPr>
              <w:pStyle w:val="TableContents"/>
              <w:bidi w:val="0"/>
              <w:spacing w:before="0" w:after="0"/>
              <w:jc w:val="right"/>
              <w:rPr>
                <w:b/>
                <w:spacing w:val="0"/>
              </w:rPr>
            </w:pPr>
            <w:r>
              <w:rPr>
                <w:b/>
                <w:spacing w:val="0"/>
              </w:rPr>
              <w:t>16,710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(110,463</w:t>
            </w:r>
          </w:p>
        </w:tc>
        <w:tc>
          <w:tcPr>
            <w:tcW w:w="170" w:type="dxa"/>
            <w:tcBorders/>
            <w:vAlign w:val="center"/>
          </w:tcPr>
          <w:p>
            <w:pPr>
              <w:pStyle w:val="TableContents"/>
              <w:bidi w:val="0"/>
              <w:spacing w:before="0" w:after="0"/>
              <w:jc w:val="left"/>
              <w:rPr>
                <w:b/>
                <w:spacing w:val="0"/>
              </w:rPr>
            </w:pPr>
            <w:r>
              <w:rPr>
                <w:b/>
                <w:spacing w:val="0"/>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liabilities, common stock subject to redemption, and stockholders’ equity (deficit)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0"/>
              <w:jc w:val="left"/>
              <w:rPr>
                <w:b/>
                <w:spacing w:val="0"/>
              </w:rPr>
            </w:pPr>
            <w:r>
              <w:rPr>
                <w:b/>
                <w:spacing w:val="0"/>
              </w:rPr>
              <w:t>$</w:t>
            </w:r>
          </w:p>
        </w:tc>
        <w:tc>
          <w:tcPr>
            <w:tcW w:w="923" w:type="dxa"/>
            <w:tcBorders/>
            <w:shd w:fill="CCEEFF" w:val="clear"/>
            <w:vAlign w:val="center"/>
          </w:tcPr>
          <w:p>
            <w:pPr>
              <w:pStyle w:val="TableContents"/>
              <w:bidi w:val="0"/>
              <w:spacing w:before="0" w:after="0"/>
              <w:jc w:val="right"/>
              <w:rPr>
                <w:b/>
                <w:spacing w:val="0"/>
              </w:rPr>
            </w:pPr>
            <w:r>
              <w:rPr>
                <w:b/>
                <w:spacing w:val="0"/>
              </w:rPr>
              <w:t>100,203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b/>
                <w:spacing w:val="0"/>
              </w:rPr>
            </w:pPr>
            <w:r>
              <w:rPr>
                <w:b/>
                <w:spacing w:val="0"/>
              </w:rPr>
              <w:t>$</w:t>
            </w:r>
          </w:p>
        </w:tc>
        <w:tc>
          <w:tcPr>
            <w:tcW w:w="1220" w:type="dxa"/>
            <w:tcBorders/>
            <w:shd w:fill="CCEEFF" w:val="clear"/>
            <w:vAlign w:val="center"/>
          </w:tcPr>
          <w:p>
            <w:pPr>
              <w:pStyle w:val="TableContents"/>
              <w:bidi w:val="0"/>
              <w:spacing w:before="0" w:after="0"/>
              <w:jc w:val="right"/>
              <w:rPr>
                <w:b/>
                <w:spacing w:val="0"/>
              </w:rPr>
            </w:pPr>
            <w:r>
              <w:rPr>
                <w:b/>
                <w:spacing w:val="0"/>
              </w:rPr>
              <w:t>80,516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40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HOLDINGS,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OPERATIONS </w:t>
      </w:r>
    </w:p>
    <w:p>
      <w:pPr>
        <w:pStyle w:val="TextBody"/>
        <w:bidi w:val="0"/>
        <w:spacing w:before="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tbl>
      <w:tblPr>
        <w:tblW w:w="9732" w:type="dxa"/>
        <w:jc w:val="left"/>
        <w:tblInd w:w="0" w:type="dxa"/>
        <w:tblLayout w:type="fixed"/>
        <w:tblCellMar>
          <w:top w:w="0" w:type="dxa"/>
          <w:left w:w="0" w:type="dxa"/>
          <w:bottom w:w="0" w:type="dxa"/>
          <w:right w:w="0" w:type="dxa"/>
        </w:tblCellMar>
      </w:tblPr>
      <w:tblGrid>
        <w:gridCol w:w="6125"/>
        <w:gridCol w:w="120"/>
        <w:gridCol w:w="172"/>
        <w:gridCol w:w="1355"/>
        <w:gridCol w:w="190"/>
        <w:gridCol w:w="73"/>
        <w:gridCol w:w="172"/>
        <w:gridCol w:w="1355"/>
        <w:gridCol w:w="170"/>
      </w:tblGrid>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7" w:type="dxa"/>
            <w:gridSpan w:val="6"/>
            <w:tcBorders/>
            <w:vAlign w:val="center"/>
          </w:tcPr>
          <w:p>
            <w:pPr>
              <w:pStyle w:val="TableContents"/>
              <w:bidi w:val="0"/>
              <w:spacing w:before="0" w:after="0"/>
              <w:jc w:val="center"/>
              <w:rPr>
                <w:b/>
                <w:spacing w:val="0"/>
              </w:rPr>
            </w:pPr>
            <w:r>
              <w:rPr>
                <w:b/>
                <w:spacing w:val="0"/>
              </w:rPr>
              <w:t>Three Months Ended March 31,</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 except shares and per share amounts)</w:t>
            </w:r>
          </w:p>
        </w:tc>
        <w:tc>
          <w:tcPr>
            <w:tcW w:w="120" w:type="dxa"/>
            <w:tcBorders/>
            <w:vAlign w:val="center"/>
          </w:tcPr>
          <w:p>
            <w:pPr>
              <w:pStyle w:val="TableContents"/>
              <w:bidi w:val="0"/>
              <w:spacing w:before="0" w:after="283"/>
              <w:jc w:val="left"/>
              <w:rPr/>
            </w:pPr>
            <w:r>
              <w:rPr/>
              <w:t>  </w:t>
            </w:r>
          </w:p>
        </w:tc>
        <w:tc>
          <w:tcPr>
            <w:tcW w:w="1527" w:type="dxa"/>
            <w:gridSpan w:val="2"/>
            <w:tcBorders/>
            <w:vAlign w:val="center"/>
          </w:tcPr>
          <w:p>
            <w:pPr>
              <w:pStyle w:val="TableContents"/>
              <w:bidi w:val="0"/>
              <w:spacing w:before="0" w:after="0"/>
              <w:jc w:val="center"/>
              <w:rPr>
                <w:b/>
                <w:spacing w:val="0"/>
              </w:rPr>
            </w:pPr>
            <w:r>
              <w:rPr>
                <w:b/>
                <w:spacing w:val="0"/>
              </w:rPr>
              <w:t>2025</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7"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Revenue</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Hardware revenue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right"/>
              <w:rPr/>
            </w:pPr>
            <w:r>
              <w:rPr/>
              <w:t>1,007</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Engineering services revenue - related party (Note 15)</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546</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1,007</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549</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 (exclusive of depreciation and amortization)</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327</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306</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13,118</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4,094</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13,357</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3,988</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191</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253</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Transaction costs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12,035</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45</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39,028</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8,686</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from operations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right"/>
              <w:rPr>
                <w:b/>
                <w:spacing w:val="0"/>
              </w:rPr>
            </w:pPr>
            <w:r>
              <w:rPr>
                <w:b/>
                <w:spacing w:val="0"/>
              </w:rPr>
              <w:t>(38,021</w:t>
            </w:r>
          </w:p>
        </w:tc>
        <w:tc>
          <w:tcPr>
            <w:tcW w:w="190" w:type="dxa"/>
            <w:tcBorders/>
            <w:vAlign w:val="center"/>
          </w:tcPr>
          <w:p>
            <w:pPr>
              <w:pStyle w:val="TableContents"/>
              <w:bidi w:val="0"/>
              <w:spacing w:before="0" w:after="0"/>
              <w:jc w:val="left"/>
              <w:rPr>
                <w:b/>
                <w:spacing w:val="0"/>
              </w:rPr>
            </w:pPr>
            <w:r>
              <w:rPr>
                <w:b/>
                <w:spacing w:val="0"/>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right"/>
              <w:rPr>
                <w:b/>
                <w:spacing w:val="0"/>
              </w:rPr>
            </w:pPr>
            <w:r>
              <w:rPr>
                <w:b/>
                <w:spacing w:val="0"/>
              </w:rPr>
              <w:t>(8,137</w:t>
            </w:r>
          </w:p>
        </w:tc>
        <w:tc>
          <w:tcPr>
            <w:tcW w:w="170" w:type="dxa"/>
            <w:tcBorders/>
            <w:vAlign w:val="center"/>
          </w:tcPr>
          <w:p>
            <w:pPr>
              <w:pStyle w:val="TableContents"/>
              <w:bidi w:val="0"/>
              <w:spacing w:before="0" w:after="0"/>
              <w:jc w:val="left"/>
              <w:rPr>
                <w:b/>
                <w:spacing w:val="0"/>
              </w:rPr>
            </w:pPr>
            <w:r>
              <w:rPr>
                <w:b/>
                <w:spacing w:val="0"/>
              </w:rPr>
              <w:t>) </w:t>
            </w:r>
          </w:p>
        </w:tc>
      </w:tr>
      <w:tr>
        <w:trPr/>
        <w:tc>
          <w:tcPr>
            <w:tcW w:w="61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expense, net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foreign exchange transactions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(29</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(49</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convertible notes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(165,703</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(4,651</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(60,345</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(3,515</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earnout share liabilities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116,518</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net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(19</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(229</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expense, net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(109,578</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(8,444</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before income taxes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(147,599</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(16,581</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162</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162</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loss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
                <w:spacing w:val="0"/>
              </w:rPr>
            </w:pPr>
            <w:r>
              <w:rPr>
                <w:b/>
                <w:spacing w:val="0"/>
              </w:rPr>
              <w:t>$</w:t>
            </w:r>
          </w:p>
        </w:tc>
        <w:tc>
          <w:tcPr>
            <w:tcW w:w="1355" w:type="dxa"/>
            <w:tcBorders/>
            <w:vAlign w:val="center"/>
          </w:tcPr>
          <w:p>
            <w:pPr>
              <w:pStyle w:val="TableContents"/>
              <w:bidi w:val="0"/>
              <w:spacing w:before="0" w:after="0"/>
              <w:jc w:val="right"/>
              <w:rPr>
                <w:b/>
                <w:spacing w:val="0"/>
              </w:rPr>
            </w:pPr>
            <w:r>
              <w:rPr>
                <w:b/>
                <w:spacing w:val="0"/>
              </w:rPr>
              <w:t>(147,761</w:t>
            </w:r>
          </w:p>
        </w:tc>
        <w:tc>
          <w:tcPr>
            <w:tcW w:w="190" w:type="dxa"/>
            <w:tcBorders/>
            <w:vAlign w:val="center"/>
          </w:tcPr>
          <w:p>
            <w:pPr>
              <w:pStyle w:val="TableContents"/>
              <w:bidi w:val="0"/>
              <w:spacing w:before="0" w:after="0"/>
              <w:jc w:val="left"/>
              <w:rPr>
                <w:b/>
                <w:spacing w:val="0"/>
              </w:rPr>
            </w:pPr>
            <w:r>
              <w:rPr>
                <w:b/>
                <w:spacing w:val="0"/>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
                <w:spacing w:val="0"/>
              </w:rPr>
            </w:pPr>
            <w:r>
              <w:rPr>
                <w:b/>
                <w:spacing w:val="0"/>
              </w:rPr>
              <w:t>$</w:t>
            </w:r>
          </w:p>
        </w:tc>
        <w:tc>
          <w:tcPr>
            <w:tcW w:w="1355" w:type="dxa"/>
            <w:tcBorders/>
            <w:vAlign w:val="center"/>
          </w:tcPr>
          <w:p>
            <w:pPr>
              <w:pStyle w:val="TableContents"/>
              <w:bidi w:val="0"/>
              <w:spacing w:before="0" w:after="0"/>
              <w:jc w:val="right"/>
              <w:rPr>
                <w:b/>
                <w:spacing w:val="0"/>
              </w:rPr>
            </w:pPr>
            <w:r>
              <w:rPr>
                <w:b/>
                <w:spacing w:val="0"/>
              </w:rPr>
              <w:t>(16,743</w:t>
            </w:r>
          </w:p>
        </w:tc>
        <w:tc>
          <w:tcPr>
            <w:tcW w:w="170" w:type="dxa"/>
            <w:tcBorders/>
            <w:vAlign w:val="center"/>
          </w:tcPr>
          <w:p>
            <w:pPr>
              <w:pStyle w:val="TableContents"/>
              <w:bidi w:val="0"/>
              <w:spacing w:before="0" w:after="0"/>
              <w:jc w:val="left"/>
              <w:rPr>
                <w:b/>
                <w:spacing w:val="0"/>
              </w:rPr>
            </w:pPr>
            <w:r>
              <w:rPr>
                <w:b/>
                <w:spacing w:val="0"/>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(1.61</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(1.23</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outstanding - basic and diluted</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91,747,685</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13,613,270</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400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HOLDINGS,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SHAREHOLDERS’ EQUITY (DEFICIT) </w:t>
      </w:r>
    </w:p>
    <w:p>
      <w:pPr>
        <w:pStyle w:val="TextBody"/>
        <w:bidi w:val="0"/>
        <w:spacing w:before="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tbl>
      <w:tblPr>
        <w:tblW w:w="16140" w:type="dxa"/>
        <w:jc w:val="left"/>
        <w:tblInd w:w="0" w:type="dxa"/>
        <w:tblLayout w:type="fixed"/>
        <w:tblCellMar>
          <w:top w:w="0" w:type="dxa"/>
          <w:left w:w="0" w:type="dxa"/>
          <w:bottom w:w="0" w:type="dxa"/>
          <w:right w:w="0" w:type="dxa"/>
        </w:tblCellMar>
      </w:tblPr>
      <w:tblGrid>
        <w:gridCol w:w="1085"/>
        <w:gridCol w:w="60"/>
        <w:gridCol w:w="60"/>
        <w:gridCol w:w="1175"/>
        <w:gridCol w:w="155"/>
        <w:gridCol w:w="60"/>
        <w:gridCol w:w="140"/>
        <w:gridCol w:w="875"/>
        <w:gridCol w:w="155"/>
        <w:gridCol w:w="60"/>
        <w:gridCol w:w="60"/>
        <w:gridCol w:w="980"/>
        <w:gridCol w:w="60"/>
        <w:gridCol w:w="60"/>
        <w:gridCol w:w="146"/>
        <w:gridCol w:w="714"/>
        <w:gridCol w:w="60"/>
        <w:gridCol w:w="60"/>
        <w:gridCol w:w="60"/>
        <w:gridCol w:w="1100"/>
        <w:gridCol w:w="60"/>
        <w:gridCol w:w="60"/>
        <w:gridCol w:w="301"/>
        <w:gridCol w:w="559"/>
        <w:gridCol w:w="60"/>
        <w:gridCol w:w="60"/>
        <w:gridCol w:w="60"/>
        <w:gridCol w:w="755"/>
        <w:gridCol w:w="155"/>
        <w:gridCol w:w="60"/>
        <w:gridCol w:w="301"/>
        <w:gridCol w:w="559"/>
        <w:gridCol w:w="60"/>
        <w:gridCol w:w="60"/>
        <w:gridCol w:w="151"/>
        <w:gridCol w:w="949"/>
        <w:gridCol w:w="155"/>
        <w:gridCol w:w="60"/>
        <w:gridCol w:w="231"/>
        <w:gridCol w:w="1049"/>
        <w:gridCol w:w="155"/>
        <w:gridCol w:w="60"/>
        <w:gridCol w:w="188"/>
        <w:gridCol w:w="1182"/>
        <w:gridCol w:w="155"/>
        <w:gridCol w:w="60"/>
        <w:gridCol w:w="184"/>
        <w:gridCol w:w="1156"/>
        <w:gridCol w:w="17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5" w:type="dxa"/>
            <w:gridSpan w:val="30"/>
            <w:tcBorders/>
            <w:vAlign w:val="center"/>
          </w:tcPr>
          <w:p>
            <w:pPr>
              <w:pStyle w:val="TableContents"/>
              <w:bidi w:val="0"/>
              <w:spacing w:before="0" w:after="0"/>
              <w:jc w:val="center"/>
              <w:rPr>
                <w:b/>
                <w:spacing w:val="0"/>
              </w:rPr>
            </w:pPr>
            <w:r>
              <w:rPr>
                <w:b/>
                <w:spacing w:val="0"/>
              </w:rPr>
              <w:t>Stockholder’s Equity/(Deficit)</w:t>
            </w:r>
          </w:p>
        </w:tc>
        <w:tc>
          <w:tcPr>
            <w:tcW w:w="17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0"/>
              <w:jc w:val="center"/>
              <w:rPr>
                <w:b/>
                <w:spacing w:val="0"/>
              </w:rPr>
            </w:pPr>
            <w:r>
              <w:rPr>
                <w:b/>
                <w:spacing w:val="0"/>
              </w:rPr>
              <w:t>Redeemable</w:t>
            </w:r>
          </w:p>
          <w:p>
            <w:pPr>
              <w:pStyle w:val="TableContents"/>
              <w:bidi w:val="0"/>
              <w:spacing w:before="0" w:after="0"/>
              <w:jc w:val="center"/>
              <w:rPr/>
            </w:pPr>
            <w:r>
              <w:rPr/>
            </w:r>
          </w:p>
          <w:p>
            <w:pPr>
              <w:pStyle w:val="TableContents"/>
              <w:bidi w:val="0"/>
              <w:spacing w:before="0" w:after="0"/>
              <w:jc w:val="center"/>
              <w:rPr>
                <w:b/>
                <w:spacing w:val="0"/>
              </w:rPr>
            </w:pPr>
            <w:r>
              <w:rPr>
                <w:b/>
                <w:spacing w:val="0"/>
              </w:rPr>
              <w:t>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p>
            <w:pPr>
              <w:pStyle w:val="TableContents"/>
              <w:bidi w:val="0"/>
              <w:spacing w:before="0" w:after="0"/>
              <w:jc w:val="center"/>
              <w:rPr/>
            </w:pPr>
            <w:r>
              <w:rPr/>
            </w:r>
          </w:p>
          <w:p>
            <w:pPr>
              <w:pStyle w:val="TableContents"/>
              <w:bidi w:val="0"/>
              <w:spacing w:before="0" w:after="0"/>
              <w:jc w:val="center"/>
              <w:rPr>
                <w:b/>
                <w:spacing w:val="0"/>
              </w:rPr>
            </w:pPr>
            <w:r>
              <w:rPr>
                <w:b/>
                <w:spacing w:val="0"/>
              </w:rPr>
              <w:t>Subject to Possible</w:t>
            </w:r>
          </w:p>
          <w:p>
            <w:pPr>
              <w:pStyle w:val="TableContents"/>
              <w:bidi w:val="0"/>
              <w:spacing w:before="0" w:after="0"/>
              <w:jc w:val="center"/>
              <w:rPr/>
            </w:pPr>
            <w:r>
              <w:rPr/>
            </w:r>
          </w:p>
          <w:p>
            <w:pPr>
              <w:pStyle w:val="TableContents"/>
              <w:bidi w:val="0"/>
              <w:spacing w:before="0" w:after="0"/>
              <w:jc w:val="center"/>
              <w:rPr>
                <w:b/>
                <w:spacing w:val="0"/>
              </w:rPr>
            </w:pPr>
            <w:r>
              <w:rPr>
                <w:b/>
                <w:spacing w:val="0"/>
              </w:rPr>
              <w:t>Redemption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0"/>
              <w:jc w:val="center"/>
              <w:rPr>
                <w:spacing w:val="0"/>
              </w:rPr>
            </w:pPr>
            <w:r>
              <w:rPr>
                <w:spacing w:val="0"/>
              </w:rPr>
              <w:t> </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6"/>
            <w:tcBorders/>
            <w:vAlign w:val="center"/>
          </w:tcPr>
          <w:p>
            <w:pPr>
              <w:pStyle w:val="TableContents"/>
              <w:bidi w:val="0"/>
              <w:spacing w:before="0" w:after="0"/>
              <w:jc w:val="center"/>
              <w:rPr>
                <w:b/>
                <w:spacing w:val="0"/>
              </w:rPr>
            </w:pPr>
            <w:r>
              <w:rPr>
                <w:b/>
                <w:spacing w:val="0"/>
              </w:rPr>
              <w:t>Treasury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80" w:type="dxa"/>
            <w:gridSpan w:val="2"/>
            <w:vMerge w:val="restart"/>
            <w:tcBorders/>
            <w:vAlign w:val="center"/>
          </w:tcPr>
          <w:p>
            <w:pPr>
              <w:pStyle w:val="TableContents"/>
              <w:bidi w:val="0"/>
              <w:spacing w:before="0" w:after="0"/>
              <w:jc w:val="center"/>
              <w:rPr>
                <w:b/>
                <w:spacing w:val="0"/>
              </w:rPr>
            </w:pPr>
            <w:r>
              <w:rPr>
                <w:b/>
                <w:spacing w:val="0"/>
              </w:rPr>
              <w:t>Shareholder</w:t>
              <w:br/>
              <w:t>Note</w:t>
            </w:r>
          </w:p>
          <w:p>
            <w:pPr>
              <w:pStyle w:val="TableContents"/>
              <w:bidi w:val="0"/>
              <w:spacing w:before="0" w:after="0"/>
              <w:jc w:val="center"/>
              <w:rPr/>
            </w:pPr>
            <w:r>
              <w:rPr/>
            </w:r>
          </w:p>
          <w:p>
            <w:pPr>
              <w:pStyle w:val="TableContents"/>
              <w:bidi w:val="0"/>
              <w:spacing w:before="0" w:after="0"/>
              <w:jc w:val="center"/>
              <w:rPr>
                <w:b/>
                <w:spacing w:val="0"/>
              </w:rPr>
            </w:pPr>
            <w:r>
              <w:rPr>
                <w:b/>
                <w:spacing w:val="0"/>
              </w:rPr>
              <w:t>Receivable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br/>
              <w:t>(Deficit)</w:t>
            </w:r>
          </w:p>
        </w:tc>
        <w:tc>
          <w:tcPr>
            <w:tcW w:w="170" w:type="dxa"/>
            <w:vMerge w:val="restart"/>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b/>
                <w:i/>
                <w:caps w:val="false"/>
                <w:smallCaps w:val="false"/>
                <w:spacing w:val="0"/>
                <w:sz w:val="15"/>
              </w:rPr>
            </w:pPr>
            <w:r>
              <w:rPr>
                <w:b/>
                <w:i/>
                <w:caps w:val="false"/>
                <w:smallCaps w:val="false"/>
                <w:spacing w:val="0"/>
                <w:sz w:val="15"/>
              </w:rPr>
              <w:t>(Amounts in thousands, except shares)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8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34,712,525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75" w:type="dxa"/>
            <w:tcBorders/>
            <w:shd w:fill="CCEEFF" w:val="clear"/>
            <w:vAlign w:val="center"/>
          </w:tcPr>
          <w:p>
            <w:pPr>
              <w:pStyle w:val="TableContents"/>
              <w:bidi w:val="0"/>
              <w:spacing w:before="0" w:after="0"/>
              <w:jc w:val="right"/>
              <w:rPr>
                <w:b/>
                <w:spacing w:val="0"/>
              </w:rPr>
            </w:pPr>
            <w:r>
              <w:rPr>
                <w:b/>
                <w:spacing w:val="0"/>
              </w:rPr>
              <w:t>173,347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spacing w:val="0"/>
              </w:rPr>
            </w:pPr>
            <w:r>
              <w:rPr>
                <w:b/>
                <w:spacing w:val="0"/>
              </w:rPr>
              <w:t>$</w:t>
            </w:r>
          </w:p>
        </w:tc>
        <w:tc>
          <w:tcPr>
            <w:tcW w:w="714"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13,663,527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jc w:val="left"/>
              <w:rPr>
                <w:b/>
                <w:spacing w:val="0"/>
              </w:rPr>
            </w:pPr>
            <w:r>
              <w:rPr>
                <w:b/>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96,887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jc w:val="left"/>
              <w:rPr>
                <w:b/>
                <w:spacing w:val="0"/>
              </w:rPr>
            </w:pPr>
            <w:r>
              <w:rPr>
                <w:b/>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spacing w:val="0"/>
              </w:rPr>
            </w:pPr>
            <w:r>
              <w:rPr>
                <w:b/>
                <w:spacing w:val="0"/>
              </w:rPr>
              <w:t>$</w:t>
            </w:r>
          </w:p>
        </w:tc>
        <w:tc>
          <w:tcPr>
            <w:tcW w:w="949" w:type="dxa"/>
            <w:tcBorders/>
            <w:shd w:fill="CCEEFF" w:val="clear"/>
            <w:vAlign w:val="center"/>
          </w:tcPr>
          <w:p>
            <w:pPr>
              <w:pStyle w:val="TableContents"/>
              <w:bidi w:val="0"/>
              <w:spacing w:before="0" w:after="0"/>
              <w:jc w:val="right"/>
              <w:rPr>
                <w:b/>
                <w:spacing w:val="0"/>
              </w:rPr>
            </w:pPr>
            <w:r>
              <w:rPr>
                <w:b/>
                <w:spacing w:val="0"/>
              </w:rPr>
              <w:t>145,441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spacing w:val="0"/>
              </w:rPr>
            </w:pPr>
            <w:r>
              <w:rPr>
                <w:b/>
                <w:spacing w:val="0"/>
              </w:rPr>
              <w:t>$</w:t>
            </w:r>
          </w:p>
        </w:tc>
        <w:tc>
          <w:tcPr>
            <w:tcW w:w="104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b/>
                <w:spacing w:val="0"/>
              </w:rPr>
            </w:pPr>
            <w:r>
              <w:rPr>
                <w:b/>
                <w:spacing w:val="0"/>
              </w:rPr>
              <w:t>$</w:t>
            </w:r>
          </w:p>
        </w:tc>
        <w:tc>
          <w:tcPr>
            <w:tcW w:w="1182" w:type="dxa"/>
            <w:tcBorders/>
            <w:shd w:fill="CCEEFF" w:val="clear"/>
            <w:vAlign w:val="center"/>
          </w:tcPr>
          <w:p>
            <w:pPr>
              <w:pStyle w:val="TableContents"/>
              <w:bidi w:val="0"/>
              <w:spacing w:before="0" w:after="0"/>
              <w:jc w:val="right"/>
              <w:rPr>
                <w:b/>
                <w:spacing w:val="0"/>
              </w:rPr>
            </w:pPr>
            <w:r>
              <w:rPr>
                <w:b/>
                <w:spacing w:val="0"/>
              </w:rPr>
              <w:t>(429,251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0"/>
              <w:jc w:val="left"/>
              <w:rPr>
                <w:b/>
                <w:spacing w:val="0"/>
              </w:rPr>
            </w:pPr>
            <w:r>
              <w:rPr>
                <w:b/>
                <w:spacing w:val="0"/>
              </w:rPr>
              <w:t>$</w:t>
            </w:r>
          </w:p>
        </w:tc>
        <w:tc>
          <w:tcPr>
            <w:tcW w:w="1156" w:type="dxa"/>
            <w:tcBorders/>
            <w:shd w:fill="CCEEFF" w:val="clear"/>
            <w:vAlign w:val="center"/>
          </w:tcPr>
          <w:p>
            <w:pPr>
              <w:pStyle w:val="TableContents"/>
              <w:bidi w:val="0"/>
              <w:spacing w:before="0" w:after="0"/>
              <w:jc w:val="right"/>
              <w:rPr>
                <w:b/>
                <w:spacing w:val="0"/>
              </w:rPr>
            </w:pPr>
            <w:r>
              <w:rPr>
                <w:b/>
                <w:spacing w:val="0"/>
              </w:rPr>
              <w:t>(283,810</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Retroactive application of recapitalization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(34,712,525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34,712,525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(96,887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173,342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173,347</w:t>
            </w:r>
          </w:p>
        </w:tc>
        <w:tc>
          <w:tcPr>
            <w:tcW w:w="17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Adjusted balance -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48,376,052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318,783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(429,251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(110,463</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Conversion of convertible 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31,433,259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314,331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314,334</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7,505,657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75,056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75,057</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Merger and PIPE financing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2,854,242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33,061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11,408,957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(117,411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(8,754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(126,164</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Payment of Shareholder note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200</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to advisors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94,949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300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300</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167</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11,040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11,040</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(147,761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(147,761</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as of 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8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2,854,242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
                <w:spacing w:val="0"/>
              </w:rPr>
            </w:pPr>
            <w:r>
              <w:rPr>
                <w:b/>
                <w:spacing w:val="0"/>
              </w:rPr>
              <w:t>$</w:t>
            </w:r>
          </w:p>
        </w:tc>
        <w:tc>
          <w:tcPr>
            <w:tcW w:w="714" w:type="dxa"/>
            <w:tcBorders/>
            <w:vAlign w:val="center"/>
          </w:tcPr>
          <w:p>
            <w:pPr>
              <w:pStyle w:val="TableContents"/>
              <w:bidi w:val="0"/>
              <w:spacing w:before="0" w:after="0"/>
              <w:jc w:val="right"/>
              <w:rPr>
                <w:b/>
                <w:spacing w:val="0"/>
              </w:rPr>
            </w:pPr>
            <w:r>
              <w:rPr>
                <w:b/>
                <w:spacing w:val="0"/>
              </w:rPr>
              <w:t>33,061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98,818,874</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
                <w:spacing w:val="0"/>
              </w:rPr>
            </w:pPr>
            <w:r>
              <w:rPr>
                <w:b/>
                <w:spacing w:val="0"/>
              </w:rPr>
              <w:t>$</w:t>
            </w:r>
          </w:p>
        </w:tc>
        <w:tc>
          <w:tcPr>
            <w:tcW w:w="559" w:type="dxa"/>
            <w:tcBorders/>
            <w:vAlign w:val="center"/>
          </w:tcPr>
          <w:p>
            <w:pPr>
              <w:pStyle w:val="TableContents"/>
              <w:bidi w:val="0"/>
              <w:spacing w:before="0" w:after="0"/>
              <w:jc w:val="right"/>
              <w:rPr>
                <w:b/>
                <w:spacing w:val="0"/>
              </w:rPr>
            </w:pPr>
            <w:r>
              <w:rPr>
                <w:b/>
                <w:spacing w:val="0"/>
              </w:rPr>
              <w:t>10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
                <w:spacing w:val="0"/>
              </w:rPr>
            </w:pPr>
            <w:r>
              <w:rPr>
                <w:b/>
                <w:spacing w:val="0"/>
              </w:rPr>
              <w:t>$</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spacing w:val="0"/>
              </w:rPr>
            </w:pPr>
            <w:r>
              <w:rPr>
                <w:b/>
                <w:spacing w:val="0"/>
              </w:rPr>
              <w:t>$</w:t>
            </w:r>
          </w:p>
        </w:tc>
        <w:tc>
          <w:tcPr>
            <w:tcW w:w="949" w:type="dxa"/>
            <w:tcBorders/>
            <w:vAlign w:val="center"/>
          </w:tcPr>
          <w:p>
            <w:pPr>
              <w:pStyle w:val="TableContents"/>
              <w:bidi w:val="0"/>
              <w:spacing w:before="0" w:after="0"/>
              <w:jc w:val="right"/>
              <w:rPr>
                <w:b/>
                <w:spacing w:val="0"/>
              </w:rPr>
            </w:pPr>
            <w:r>
              <w:rPr>
                <w:b/>
                <w:spacing w:val="0"/>
              </w:rPr>
              <w:t>602,266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spacing w:val="0"/>
              </w:rPr>
            </w:pPr>
            <w:r>
              <w:rPr>
                <w:b/>
                <w:spacing w:val="0"/>
              </w:rPr>
              <w:t>$</w:t>
            </w:r>
          </w:p>
        </w:tc>
        <w:tc>
          <w:tcPr>
            <w:tcW w:w="1049" w:type="dxa"/>
            <w:tcBorders/>
            <w:vAlign w:val="center"/>
          </w:tcPr>
          <w:p>
            <w:pPr>
              <w:pStyle w:val="TableContents"/>
              <w:bidi w:val="0"/>
              <w:spacing w:before="0" w:after="0"/>
              <w:jc w:val="right"/>
              <w:rPr>
                <w:b/>
                <w:spacing w:val="0"/>
              </w:rPr>
            </w:pPr>
            <w:r>
              <w:rPr>
                <w:b/>
                <w:spacing w:val="0"/>
              </w:rPr>
              <w:t>(8,554</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
                <w:spacing w:val="0"/>
              </w:rPr>
            </w:pPr>
            <w:r>
              <w:rPr>
                <w:b/>
                <w:spacing w:val="0"/>
              </w:rPr>
              <w:t>$</w:t>
            </w:r>
          </w:p>
        </w:tc>
        <w:tc>
          <w:tcPr>
            <w:tcW w:w="1182" w:type="dxa"/>
            <w:tcBorders/>
            <w:vAlign w:val="center"/>
          </w:tcPr>
          <w:p>
            <w:pPr>
              <w:pStyle w:val="TableContents"/>
              <w:bidi w:val="0"/>
              <w:spacing w:before="0" w:after="0"/>
              <w:jc w:val="right"/>
              <w:rPr>
                <w:b/>
                <w:spacing w:val="0"/>
              </w:rPr>
            </w:pPr>
            <w:r>
              <w:rPr>
                <w:b/>
                <w:spacing w:val="0"/>
              </w:rPr>
              <w:t>(577,012</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
                <w:spacing w:val="0"/>
              </w:rPr>
            </w:pPr>
            <w:r>
              <w:rPr>
                <w:b/>
                <w:spacing w:val="0"/>
              </w:rPr>
              <w:t>$</w:t>
            </w:r>
          </w:p>
        </w:tc>
        <w:tc>
          <w:tcPr>
            <w:tcW w:w="1156" w:type="dxa"/>
            <w:tcBorders/>
            <w:vAlign w:val="center"/>
          </w:tcPr>
          <w:p>
            <w:pPr>
              <w:pStyle w:val="TableContents"/>
              <w:bidi w:val="0"/>
              <w:spacing w:before="0" w:after="0"/>
              <w:jc w:val="right"/>
              <w:rPr>
                <w:b/>
                <w:spacing w:val="0"/>
              </w:rPr>
            </w:pPr>
            <w:r>
              <w:rPr>
                <w:b/>
                <w:spacing w:val="0"/>
              </w:rPr>
              <w:t>16,710</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5840" w:type="dxa"/>
        <w:jc w:val="left"/>
        <w:tblInd w:w="0" w:type="dxa"/>
        <w:tblLayout w:type="fixed"/>
        <w:tblCellMar>
          <w:top w:w="0" w:type="dxa"/>
          <w:left w:w="0" w:type="dxa"/>
          <w:bottom w:w="0" w:type="dxa"/>
          <w:right w:w="0" w:type="dxa"/>
        </w:tblCellMar>
      </w:tblPr>
      <w:tblGrid>
        <w:gridCol w:w="1085"/>
        <w:gridCol w:w="60"/>
        <w:gridCol w:w="60"/>
        <w:gridCol w:w="1175"/>
        <w:gridCol w:w="155"/>
        <w:gridCol w:w="60"/>
        <w:gridCol w:w="140"/>
        <w:gridCol w:w="875"/>
        <w:gridCol w:w="155"/>
        <w:gridCol w:w="60"/>
        <w:gridCol w:w="136"/>
        <w:gridCol w:w="591"/>
        <w:gridCol w:w="136"/>
        <w:gridCol w:w="136"/>
        <w:gridCol w:w="318"/>
        <w:gridCol w:w="593"/>
        <w:gridCol w:w="60"/>
        <w:gridCol w:w="60"/>
        <w:gridCol w:w="60"/>
        <w:gridCol w:w="1100"/>
        <w:gridCol w:w="60"/>
        <w:gridCol w:w="60"/>
        <w:gridCol w:w="301"/>
        <w:gridCol w:w="559"/>
        <w:gridCol w:w="60"/>
        <w:gridCol w:w="60"/>
        <w:gridCol w:w="60"/>
        <w:gridCol w:w="755"/>
        <w:gridCol w:w="155"/>
        <w:gridCol w:w="60"/>
        <w:gridCol w:w="301"/>
        <w:gridCol w:w="559"/>
        <w:gridCol w:w="60"/>
        <w:gridCol w:w="60"/>
        <w:gridCol w:w="163"/>
        <w:gridCol w:w="937"/>
        <w:gridCol w:w="60"/>
        <w:gridCol w:w="60"/>
        <w:gridCol w:w="448"/>
        <w:gridCol w:w="832"/>
        <w:gridCol w:w="60"/>
        <w:gridCol w:w="60"/>
        <w:gridCol w:w="188"/>
        <w:gridCol w:w="1182"/>
        <w:gridCol w:w="155"/>
        <w:gridCol w:w="60"/>
        <w:gridCol w:w="184"/>
        <w:gridCol w:w="1156"/>
        <w:gridCol w:w="17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5" w:type="dxa"/>
            <w:gridSpan w:val="30"/>
            <w:tcBorders/>
            <w:vAlign w:val="center"/>
          </w:tcPr>
          <w:p>
            <w:pPr>
              <w:pStyle w:val="TableContents"/>
              <w:bidi w:val="0"/>
              <w:spacing w:before="0" w:after="0"/>
              <w:jc w:val="center"/>
              <w:rPr>
                <w:b/>
                <w:spacing w:val="0"/>
              </w:rPr>
            </w:pPr>
            <w:r>
              <w:rPr>
                <w:b/>
                <w:spacing w:val="0"/>
              </w:rPr>
              <w:t>Stockholder’s Deficit</w:t>
            </w:r>
          </w:p>
        </w:tc>
        <w:tc>
          <w:tcPr>
            <w:tcW w:w="17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vAlign w:val="center"/>
          </w:tcPr>
          <w:p>
            <w:pPr>
              <w:pStyle w:val="TableContents"/>
              <w:bidi w:val="0"/>
              <w:spacing w:before="0" w:after="0"/>
              <w:jc w:val="center"/>
              <w:rPr>
                <w:b/>
                <w:spacing w:val="0"/>
              </w:rPr>
            </w:pPr>
            <w:r>
              <w:rPr>
                <w:b/>
                <w:spacing w:val="0"/>
              </w:rPr>
              <w:t>Redeemable</w:t>
            </w:r>
          </w:p>
          <w:p>
            <w:pPr>
              <w:pStyle w:val="TableContents"/>
              <w:bidi w:val="0"/>
              <w:spacing w:before="0" w:after="0"/>
              <w:jc w:val="center"/>
              <w:rPr/>
            </w:pPr>
            <w:r>
              <w:rPr/>
            </w:r>
          </w:p>
          <w:p>
            <w:pPr>
              <w:pStyle w:val="TableContents"/>
              <w:bidi w:val="0"/>
              <w:spacing w:before="0" w:after="0"/>
              <w:jc w:val="center"/>
              <w:rPr>
                <w:b/>
                <w:spacing w:val="0"/>
              </w:rPr>
            </w:pPr>
            <w:r>
              <w:rPr>
                <w:b/>
                <w:spacing w:val="0"/>
              </w:rPr>
              <w:t>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vAlign w:val="center"/>
          </w:tcPr>
          <w:p>
            <w:pPr>
              <w:pStyle w:val="TableContents"/>
              <w:bidi w:val="0"/>
              <w:spacing w:before="0" w:after="0"/>
              <w:jc w:val="center"/>
              <w:rPr>
                <w:b/>
                <w:spacing w:val="0"/>
              </w:rPr>
            </w:pPr>
            <w:r>
              <w:rPr>
                <w:b/>
                <w:spacing w:val="0"/>
              </w:rPr>
              <w:t>Common Stock</w:t>
            </w:r>
          </w:p>
          <w:p>
            <w:pPr>
              <w:pStyle w:val="TableContents"/>
              <w:bidi w:val="0"/>
              <w:spacing w:before="0" w:after="0"/>
              <w:jc w:val="center"/>
              <w:rPr/>
            </w:pPr>
            <w:r>
              <w:rPr/>
            </w:r>
          </w:p>
          <w:p>
            <w:pPr>
              <w:pStyle w:val="TableContents"/>
              <w:bidi w:val="0"/>
              <w:spacing w:before="0" w:after="0"/>
              <w:jc w:val="center"/>
              <w:rPr>
                <w:b/>
                <w:spacing w:val="0"/>
              </w:rPr>
            </w:pPr>
            <w:r>
              <w:rPr>
                <w:b/>
                <w:spacing w:val="0"/>
              </w:rPr>
              <w:t>Subject to Possible</w:t>
            </w:r>
          </w:p>
          <w:p>
            <w:pPr>
              <w:pStyle w:val="TableContents"/>
              <w:bidi w:val="0"/>
              <w:spacing w:before="0" w:after="0"/>
              <w:jc w:val="center"/>
              <w:rPr/>
            </w:pPr>
            <w:r>
              <w:rPr/>
            </w:r>
          </w:p>
          <w:p>
            <w:pPr>
              <w:pStyle w:val="TableContents"/>
              <w:bidi w:val="0"/>
              <w:spacing w:before="0" w:after="0"/>
              <w:jc w:val="center"/>
              <w:rPr>
                <w:b/>
                <w:spacing w:val="0"/>
              </w:rPr>
            </w:pPr>
            <w:r>
              <w:rPr>
                <w:b/>
                <w:spacing w:val="0"/>
              </w:rPr>
              <w:t>Redemption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6"/>
            <w:tcBorders/>
            <w:vAlign w:val="center"/>
          </w:tcPr>
          <w:p>
            <w:pPr>
              <w:pStyle w:val="TableContents"/>
              <w:bidi w:val="0"/>
              <w:spacing w:before="0" w:after="0"/>
              <w:jc w:val="center"/>
              <w:rPr>
                <w:b/>
                <w:spacing w:val="0"/>
              </w:rPr>
            </w:pPr>
            <w:r>
              <w:rPr>
                <w:b/>
                <w:spacing w:val="0"/>
              </w:rPr>
              <w:t>Treasury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80" w:type="dxa"/>
            <w:gridSpan w:val="2"/>
            <w:vMerge w:val="restart"/>
            <w:tcBorders/>
            <w:vAlign w:val="center"/>
          </w:tcPr>
          <w:p>
            <w:pPr>
              <w:pStyle w:val="TableContents"/>
              <w:bidi w:val="0"/>
              <w:spacing w:before="0" w:after="0"/>
              <w:jc w:val="center"/>
              <w:rPr>
                <w:b/>
                <w:spacing w:val="0"/>
              </w:rPr>
            </w:pPr>
            <w:r>
              <w:rPr>
                <w:b/>
                <w:spacing w:val="0"/>
              </w:rPr>
              <w:t>Shareholder</w:t>
              <w:br/>
              <w:t>Note</w:t>
            </w:r>
          </w:p>
          <w:p>
            <w:pPr>
              <w:pStyle w:val="TableContents"/>
              <w:bidi w:val="0"/>
              <w:spacing w:before="0" w:after="0"/>
              <w:jc w:val="center"/>
              <w:rPr/>
            </w:pPr>
            <w:r>
              <w:rPr/>
            </w:r>
          </w:p>
          <w:p>
            <w:pPr>
              <w:pStyle w:val="TableContents"/>
              <w:bidi w:val="0"/>
              <w:spacing w:before="0" w:after="0"/>
              <w:jc w:val="center"/>
              <w:rPr>
                <w:b/>
                <w:spacing w:val="0"/>
              </w:rPr>
            </w:pPr>
            <w:r>
              <w:rPr>
                <w:b/>
                <w:spacing w:val="0"/>
              </w:rPr>
              <w:t>Receivable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vMerge w:val="restart"/>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b/>
                <w:i/>
                <w:caps w:val="false"/>
                <w:smallCaps w:val="false"/>
                <w:spacing w:val="0"/>
                <w:sz w:val="15"/>
              </w:rPr>
            </w:pPr>
            <w:r>
              <w:rPr>
                <w:b/>
                <w:i/>
                <w:caps w:val="false"/>
                <w:smallCaps w:val="false"/>
                <w:spacing w:val="0"/>
                <w:sz w:val="15"/>
              </w:rPr>
              <w:t>(Amounts in thousands, except shares)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 w:type="dxa"/>
            <w:gridSpan w:val="2"/>
            <w:tcBorders/>
            <w:vAlign w:val="center"/>
          </w:tcPr>
          <w:p>
            <w:pPr>
              <w:pStyle w:val="TableContents"/>
              <w:bidi w:val="0"/>
              <w:spacing w:before="0" w:after="0"/>
              <w:jc w:val="center"/>
              <w:rPr>
                <w:b/>
                <w:spacing w:val="0"/>
              </w:rPr>
            </w:pPr>
            <w:r>
              <w:rPr>
                <w:b/>
                <w:spacing w:val="0"/>
              </w:rPr>
              <w:t>Shares</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11"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8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34,712,525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173,347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5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13,613,269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96,887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141,496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(368,056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(226,560</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Retroactive application of recapitalization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(34,712,525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34,712,525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(96,887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173,342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173,347</w:t>
            </w:r>
          </w:p>
        </w:tc>
        <w:tc>
          <w:tcPr>
            <w:tcW w:w="17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Adjusted balance -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48,325,794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314,838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(368,056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(53,213</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337</w:t>
            </w:r>
          </w:p>
        </w:tc>
        <w:tc>
          <w:tcPr>
            <w:tcW w:w="170"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(16,743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(16,743</w:t>
            </w:r>
          </w:p>
        </w:tc>
        <w:tc>
          <w:tcPr>
            <w:tcW w:w="170"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 as of 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8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591" w:type="dxa"/>
            <w:tcBorders/>
            <w:vAlign w:val="center"/>
          </w:tcPr>
          <w:p>
            <w:pPr>
              <w:pStyle w:val="TableContents"/>
              <w:bidi w:val="0"/>
              <w:spacing w:before="0" w:after="0"/>
              <w:jc w:val="right"/>
              <w:rPr>
                <w:spacing w:val="0"/>
              </w:rPr>
            </w:pPr>
            <w:r>
              <w:rPr>
                <w:spacing w:val="0"/>
              </w:rPr>
              <w:t>— </w:t>
            </w:r>
          </w:p>
        </w:tc>
        <w:tc>
          <w:tcPr>
            <w:tcW w:w="136" w:type="dxa"/>
            <w:tcBorders/>
            <w:vAlign w:val="center"/>
          </w:tcPr>
          <w:p>
            <w:pPr>
              <w:pStyle w:val="TableContents"/>
              <w:bidi w:val="0"/>
              <w:spacing w:before="0" w:after="0"/>
              <w:jc w:val="left"/>
              <w:rPr>
                <w:spacing w:val="0"/>
              </w:rPr>
            </w:pPr>
            <w:r>
              <w:rPr>
                <w:spacing w:val="0"/>
              </w:rPr>
              <w:t> </w:t>
            </w:r>
          </w:p>
        </w:tc>
        <w:tc>
          <w:tcPr>
            <w:tcW w:w="13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0"/>
              <w:jc w:val="left"/>
              <w:rPr>
                <w:b/>
                <w:spacing w:val="0"/>
              </w:rPr>
            </w:pPr>
            <w:r>
              <w:rPr>
                <w:b/>
                <w:spacing w:val="0"/>
              </w:rPr>
              <w:t>$</w:t>
            </w:r>
          </w:p>
        </w:tc>
        <w:tc>
          <w:tcPr>
            <w:tcW w:w="59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48,325,794</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
                <w:spacing w:val="0"/>
              </w:rPr>
            </w:pPr>
            <w:r>
              <w:rPr>
                <w:b/>
                <w:spacing w:val="0"/>
              </w:rPr>
              <w:t>$</w:t>
            </w:r>
          </w:p>
        </w:tc>
        <w:tc>
          <w:tcPr>
            <w:tcW w:w="559" w:type="dxa"/>
            <w:tcBorders/>
            <w:vAlign w:val="center"/>
          </w:tcPr>
          <w:p>
            <w:pPr>
              <w:pStyle w:val="TableContents"/>
              <w:bidi w:val="0"/>
              <w:spacing w:before="0" w:after="0"/>
              <w:jc w:val="right"/>
              <w:rPr>
                <w:b/>
                <w:spacing w:val="0"/>
              </w:rPr>
            </w:pPr>
            <w:r>
              <w:rPr>
                <w:b/>
                <w:spacing w:val="0"/>
              </w:rPr>
              <w:t>5</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
                <w:spacing w:val="0"/>
              </w:rPr>
            </w:pPr>
            <w:r>
              <w:rPr>
                <w:b/>
                <w:spacing w:val="0"/>
              </w:rPr>
              <w:t>$</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
                <w:spacing w:val="0"/>
              </w:rPr>
            </w:pPr>
            <w:r>
              <w:rPr>
                <w:b/>
                <w:spacing w:val="0"/>
              </w:rPr>
              <w:t>$</w:t>
            </w:r>
          </w:p>
        </w:tc>
        <w:tc>
          <w:tcPr>
            <w:tcW w:w="937" w:type="dxa"/>
            <w:tcBorders/>
            <w:vAlign w:val="center"/>
          </w:tcPr>
          <w:p>
            <w:pPr>
              <w:pStyle w:val="TableContents"/>
              <w:bidi w:val="0"/>
              <w:spacing w:before="0" w:after="0"/>
              <w:jc w:val="right"/>
              <w:rPr>
                <w:b/>
                <w:spacing w:val="0"/>
              </w:rPr>
            </w:pPr>
            <w:r>
              <w:rPr>
                <w:b/>
                <w:spacing w:val="0"/>
              </w:rPr>
              <w:t>315,175</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left"/>
              <w:rPr>
                <w:b/>
                <w:spacing w:val="0"/>
              </w:rPr>
            </w:pPr>
            <w:r>
              <w:rPr>
                <w:b/>
                <w:spacing w:val="0"/>
              </w:rPr>
              <w:t>$</w:t>
            </w:r>
          </w:p>
        </w:tc>
        <w:tc>
          <w:tcPr>
            <w:tcW w:w="832"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
                <w:spacing w:val="0"/>
              </w:rPr>
            </w:pPr>
            <w:r>
              <w:rPr>
                <w:b/>
                <w:spacing w:val="0"/>
              </w:rPr>
              <w:t>$</w:t>
            </w:r>
          </w:p>
        </w:tc>
        <w:tc>
          <w:tcPr>
            <w:tcW w:w="1182" w:type="dxa"/>
            <w:tcBorders/>
            <w:vAlign w:val="center"/>
          </w:tcPr>
          <w:p>
            <w:pPr>
              <w:pStyle w:val="TableContents"/>
              <w:bidi w:val="0"/>
              <w:spacing w:before="0" w:after="0"/>
              <w:jc w:val="right"/>
              <w:rPr>
                <w:b/>
                <w:spacing w:val="0"/>
              </w:rPr>
            </w:pPr>
            <w:r>
              <w:rPr>
                <w:b/>
                <w:spacing w:val="0"/>
              </w:rPr>
              <w:t>(384,799</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
                <w:spacing w:val="0"/>
              </w:rPr>
            </w:pPr>
            <w:r>
              <w:rPr>
                <w:b/>
                <w:spacing w:val="0"/>
              </w:rPr>
              <w:t>$</w:t>
            </w:r>
          </w:p>
        </w:tc>
        <w:tc>
          <w:tcPr>
            <w:tcW w:w="1156" w:type="dxa"/>
            <w:tcBorders/>
            <w:vAlign w:val="center"/>
          </w:tcPr>
          <w:p>
            <w:pPr>
              <w:pStyle w:val="TableContents"/>
              <w:bidi w:val="0"/>
              <w:spacing w:before="0" w:after="0"/>
              <w:jc w:val="right"/>
              <w:rPr>
                <w:b/>
                <w:spacing w:val="0"/>
              </w:rPr>
            </w:pPr>
            <w:r>
              <w:rPr>
                <w:b/>
                <w:spacing w:val="0"/>
              </w:rPr>
              <w:t>(69,619</w:t>
            </w:r>
          </w:p>
        </w:tc>
        <w:tc>
          <w:tcPr>
            <w:tcW w:w="170" w:type="dxa"/>
            <w:tcBorders/>
            <w:vAlign w:val="center"/>
          </w:tcPr>
          <w:p>
            <w:pPr>
              <w:pStyle w:val="TableContents"/>
              <w:bidi w:val="0"/>
              <w:spacing w:before="0" w:after="0"/>
              <w:jc w:val="left"/>
              <w:rPr>
                <w:b/>
                <w:spacing w:val="0"/>
              </w:rPr>
            </w:pPr>
            <w:r>
              <w:rPr>
                <w:b/>
                <w:spacing w:val="0"/>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HOLDINGS,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pStyle w:val="TextBody"/>
        <w:bidi w:val="0"/>
        <w:spacing w:before="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705"/>
        <w:gridCol w:w="120"/>
        <w:gridCol w:w="145"/>
        <w:gridCol w:w="910"/>
        <w:gridCol w:w="161"/>
        <w:gridCol w:w="62"/>
        <w:gridCol w:w="145"/>
        <w:gridCol w:w="787"/>
        <w:gridCol w:w="170"/>
      </w:tblGrid>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2025</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(147,761</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87" w:type="dxa"/>
            <w:tcBorders/>
            <w:vAlign w:val="center"/>
          </w:tcPr>
          <w:p>
            <w:pPr>
              <w:pStyle w:val="TableContents"/>
              <w:bidi w:val="0"/>
              <w:spacing w:before="0" w:after="283"/>
              <w:jc w:val="right"/>
              <w:rPr/>
            </w:pPr>
            <w:r>
              <w:rPr/>
              <w:t>(16,743</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Depreciation and amortization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191</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253</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 lease expense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150</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153</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11,040</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337</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Credit loss expense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Deferred income taxes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(10</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 in fair value of earnout share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(116,518</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 in fair value of convertible notes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165,703</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4,651</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 in fair value of warrant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60,345</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3,515</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43</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receivable, net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(953</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(2,138</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receivable - related party</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Inventories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178</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(1,767</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8,504</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33</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assets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8</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170</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3,583</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5,286</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Advances from related party</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(114</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(152</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Income taxes payable</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(95</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loss on purchase commitments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(1,581</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compensation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150</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322</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(234</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(182</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cash used in operating activities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rPr>
            </w:pPr>
            <w:r>
              <w:rPr>
                <w:spacing w:val="0"/>
              </w:rPr>
              <w:t> </w:t>
            </w:r>
          </w:p>
        </w:tc>
        <w:tc>
          <w:tcPr>
            <w:tcW w:w="910" w:type="dxa"/>
            <w:tcBorders/>
            <w:vAlign w:val="center"/>
          </w:tcPr>
          <w:p>
            <w:pPr>
              <w:pStyle w:val="TableContents"/>
              <w:bidi w:val="0"/>
              <w:spacing w:before="0" w:after="0"/>
              <w:jc w:val="right"/>
              <w:rPr>
                <w:b/>
                <w:spacing w:val="0"/>
              </w:rPr>
            </w:pPr>
            <w:r>
              <w:rPr>
                <w:b/>
                <w:spacing w:val="0"/>
              </w:rPr>
              <w:t>(15,944</w:t>
            </w:r>
          </w:p>
        </w:tc>
        <w:tc>
          <w:tcPr>
            <w:tcW w:w="161" w:type="dxa"/>
            <w:tcBorders/>
            <w:vAlign w:val="center"/>
          </w:tcPr>
          <w:p>
            <w:pPr>
              <w:pStyle w:val="TableContents"/>
              <w:bidi w:val="0"/>
              <w:spacing w:before="0" w:after="0"/>
              <w:jc w:val="left"/>
              <w:rPr>
                <w:b/>
                <w:spacing w:val="0"/>
              </w:rPr>
            </w:pPr>
            <w:r>
              <w:rPr>
                <w:b/>
                <w:spacing w:val="0"/>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rPr>
            </w:pPr>
            <w:r>
              <w:rPr>
                <w:spacing w:val="0"/>
              </w:rPr>
              <w:t> </w:t>
            </w:r>
          </w:p>
        </w:tc>
        <w:tc>
          <w:tcPr>
            <w:tcW w:w="787" w:type="dxa"/>
            <w:tcBorders/>
            <w:vAlign w:val="center"/>
          </w:tcPr>
          <w:p>
            <w:pPr>
              <w:pStyle w:val="TableContents"/>
              <w:bidi w:val="0"/>
              <w:spacing w:before="0" w:after="0"/>
              <w:jc w:val="right"/>
              <w:rPr>
                <w:b/>
                <w:spacing w:val="0"/>
              </w:rPr>
            </w:pPr>
            <w:r>
              <w:rPr>
                <w:b/>
                <w:spacing w:val="0"/>
              </w:rPr>
              <w:t>(7,363</w:t>
            </w:r>
          </w:p>
        </w:tc>
        <w:tc>
          <w:tcPr>
            <w:tcW w:w="170" w:type="dxa"/>
            <w:tcBorders/>
            <w:vAlign w:val="center"/>
          </w:tcPr>
          <w:p>
            <w:pPr>
              <w:pStyle w:val="TableContents"/>
              <w:bidi w:val="0"/>
              <w:spacing w:before="0" w:after="0"/>
              <w:jc w:val="left"/>
              <w:rPr>
                <w:b/>
                <w:spacing w:val="0"/>
              </w:rPr>
            </w:pPr>
            <w:r>
              <w:rPr>
                <w:b/>
                <w:spacing w:val="0"/>
              </w:rPr>
              <w:t>) </w:t>
            </w:r>
          </w:p>
        </w:tc>
      </w:tr>
      <w:tr>
        <w:trPr/>
        <w:tc>
          <w:tcPr>
            <w:tcW w:w="770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Purchases of property and equipment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(661</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(177</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spacing w:val="0"/>
              </w:rPr>
            </w:pPr>
            <w:r>
              <w:rPr>
                <w:spacing w:val="0"/>
              </w:rPr>
              <w:t> </w:t>
            </w:r>
          </w:p>
        </w:tc>
        <w:tc>
          <w:tcPr>
            <w:tcW w:w="910" w:type="dxa"/>
            <w:tcBorders/>
            <w:shd w:fill="CCEEFF" w:val="clear"/>
            <w:vAlign w:val="center"/>
          </w:tcPr>
          <w:p>
            <w:pPr>
              <w:pStyle w:val="TableContents"/>
              <w:bidi w:val="0"/>
              <w:spacing w:before="0" w:after="0"/>
              <w:jc w:val="right"/>
              <w:rPr>
                <w:b/>
                <w:spacing w:val="0"/>
              </w:rPr>
            </w:pPr>
            <w:r>
              <w:rPr>
                <w:b/>
                <w:spacing w:val="0"/>
              </w:rPr>
              <w:t>(661</w:t>
            </w:r>
          </w:p>
        </w:tc>
        <w:tc>
          <w:tcPr>
            <w:tcW w:w="161" w:type="dxa"/>
            <w:tcBorders/>
            <w:shd w:fill="CCEEFF" w:val="clear"/>
            <w:vAlign w:val="center"/>
          </w:tcPr>
          <w:p>
            <w:pPr>
              <w:pStyle w:val="TableContents"/>
              <w:bidi w:val="0"/>
              <w:spacing w:before="0" w:after="0"/>
              <w:jc w:val="left"/>
              <w:rPr>
                <w:b/>
                <w:spacing w:val="0"/>
              </w:rPr>
            </w:pPr>
            <w:r>
              <w:rPr>
                <w:b/>
                <w:spacing w:val="0"/>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spacing w:val="0"/>
              </w:rPr>
            </w:pPr>
            <w:r>
              <w:rPr>
                <w:spacing w:val="0"/>
              </w:rPr>
              <w:t> </w:t>
            </w:r>
          </w:p>
        </w:tc>
        <w:tc>
          <w:tcPr>
            <w:tcW w:w="787" w:type="dxa"/>
            <w:tcBorders/>
            <w:shd w:fill="CCEEFF" w:val="clear"/>
            <w:vAlign w:val="center"/>
          </w:tcPr>
          <w:p>
            <w:pPr>
              <w:pStyle w:val="TableContents"/>
              <w:bidi w:val="0"/>
              <w:spacing w:before="0" w:after="0"/>
              <w:jc w:val="right"/>
              <w:rPr>
                <w:b/>
                <w:spacing w:val="0"/>
              </w:rPr>
            </w:pPr>
            <w:r>
              <w:rPr>
                <w:b/>
                <w:spacing w:val="0"/>
              </w:rPr>
              <w:t>(177</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770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flows from financing activities: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Merger and PIPE financing, net of transaction costs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15,874</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Payment of deferred offering costs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(4,531</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(128</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Proceeds from convertible notes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11,500</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cash provided by financing activities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rPr>
            </w:pPr>
            <w:r>
              <w:rPr>
                <w:spacing w:val="0"/>
              </w:rPr>
              <w:t> </w:t>
            </w:r>
          </w:p>
        </w:tc>
        <w:tc>
          <w:tcPr>
            <w:tcW w:w="910" w:type="dxa"/>
            <w:tcBorders/>
            <w:vAlign w:val="center"/>
          </w:tcPr>
          <w:p>
            <w:pPr>
              <w:pStyle w:val="TableContents"/>
              <w:bidi w:val="0"/>
              <w:spacing w:before="0" w:after="0"/>
              <w:jc w:val="right"/>
              <w:rPr>
                <w:b/>
                <w:spacing w:val="0"/>
              </w:rPr>
            </w:pPr>
            <w:r>
              <w:rPr>
                <w:b/>
                <w:spacing w:val="0"/>
              </w:rPr>
              <w:t>11,343</w:t>
            </w:r>
          </w:p>
        </w:tc>
        <w:tc>
          <w:tcPr>
            <w:tcW w:w="161"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rPr>
            </w:pPr>
            <w:r>
              <w:rPr>
                <w:spacing w:val="0"/>
              </w:rPr>
              <w:t> </w:t>
            </w:r>
          </w:p>
        </w:tc>
        <w:tc>
          <w:tcPr>
            <w:tcW w:w="787" w:type="dxa"/>
            <w:tcBorders/>
            <w:vAlign w:val="center"/>
          </w:tcPr>
          <w:p>
            <w:pPr>
              <w:pStyle w:val="TableContents"/>
              <w:bidi w:val="0"/>
              <w:spacing w:before="0" w:after="0"/>
              <w:jc w:val="right"/>
              <w:rPr>
                <w:b/>
                <w:spacing w:val="0"/>
              </w:rPr>
            </w:pPr>
            <w:r>
              <w:rPr>
                <w:b/>
                <w:spacing w:val="0"/>
              </w:rPr>
              <w:t>11,372</w:t>
            </w:r>
          </w:p>
        </w:tc>
        <w:tc>
          <w:tcPr>
            <w:tcW w:w="170" w:type="dxa"/>
            <w:tcBorders/>
            <w:vAlign w:val="center"/>
          </w:tcPr>
          <w:p>
            <w:pPr>
              <w:pStyle w:val="TableContents"/>
              <w:bidi w:val="0"/>
              <w:spacing w:before="0" w:after="0"/>
              <w:jc w:val="left"/>
              <w:rPr>
                <w:spacing w:val="0"/>
              </w:rPr>
            </w:pPr>
            <w:r>
              <w:rPr>
                <w:spacing w:val="0"/>
              </w:rPr>
              <w:t> </w:t>
            </w:r>
          </w:p>
        </w:tc>
      </w:tr>
      <w:tr>
        <w:trPr/>
        <w:tc>
          <w:tcPr>
            <w:tcW w:w="770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change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spacing w:val="0"/>
              </w:rPr>
            </w:pPr>
            <w:r>
              <w:rPr>
                <w:spacing w:val="0"/>
              </w:rPr>
              <w:t> </w:t>
            </w:r>
          </w:p>
        </w:tc>
        <w:tc>
          <w:tcPr>
            <w:tcW w:w="910" w:type="dxa"/>
            <w:tcBorders/>
            <w:shd w:fill="CCEEFF" w:val="clear"/>
            <w:vAlign w:val="center"/>
          </w:tcPr>
          <w:p>
            <w:pPr>
              <w:pStyle w:val="TableContents"/>
              <w:bidi w:val="0"/>
              <w:spacing w:before="0" w:after="0"/>
              <w:jc w:val="right"/>
              <w:rPr>
                <w:b/>
                <w:spacing w:val="0"/>
              </w:rPr>
            </w:pPr>
            <w:r>
              <w:rPr>
                <w:b/>
                <w:spacing w:val="0"/>
              </w:rPr>
              <w:t>(5,262</w:t>
            </w:r>
          </w:p>
        </w:tc>
        <w:tc>
          <w:tcPr>
            <w:tcW w:w="161" w:type="dxa"/>
            <w:tcBorders/>
            <w:shd w:fill="CCEEFF" w:val="clear"/>
            <w:vAlign w:val="center"/>
          </w:tcPr>
          <w:p>
            <w:pPr>
              <w:pStyle w:val="TableContents"/>
              <w:bidi w:val="0"/>
              <w:spacing w:before="0" w:after="0"/>
              <w:jc w:val="left"/>
              <w:rPr>
                <w:b/>
                <w:spacing w:val="0"/>
              </w:rPr>
            </w:pPr>
            <w:r>
              <w:rPr>
                <w:b/>
                <w:spacing w:val="0"/>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spacing w:val="0"/>
              </w:rPr>
            </w:pPr>
            <w:r>
              <w:rPr>
                <w:spacing w:val="0"/>
              </w:rPr>
              <w:t> </w:t>
            </w:r>
          </w:p>
        </w:tc>
        <w:tc>
          <w:tcPr>
            <w:tcW w:w="787" w:type="dxa"/>
            <w:tcBorders/>
            <w:shd w:fill="CCEEFF" w:val="clear"/>
            <w:vAlign w:val="center"/>
          </w:tcPr>
          <w:p>
            <w:pPr>
              <w:pStyle w:val="TableContents"/>
              <w:bidi w:val="0"/>
              <w:spacing w:before="0" w:after="0"/>
              <w:jc w:val="right"/>
              <w:rPr>
                <w:b/>
                <w:spacing w:val="0"/>
              </w:rPr>
            </w:pPr>
            <w:r>
              <w:rPr>
                <w:b/>
                <w:spacing w:val="0"/>
              </w:rPr>
              <w:t>3,832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50,488</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3,213</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b/>
                <w:spacing w:val="0"/>
              </w:rPr>
            </w:pPr>
            <w:r>
              <w:rPr>
                <w:b/>
                <w:spacing w:val="0"/>
              </w:rPr>
              <w:t>$</w:t>
            </w:r>
          </w:p>
        </w:tc>
        <w:tc>
          <w:tcPr>
            <w:tcW w:w="910" w:type="dxa"/>
            <w:tcBorders/>
            <w:shd w:fill="CCEEFF" w:val="clear"/>
            <w:vAlign w:val="center"/>
          </w:tcPr>
          <w:p>
            <w:pPr>
              <w:pStyle w:val="TableContents"/>
              <w:bidi w:val="0"/>
              <w:spacing w:before="0" w:after="0"/>
              <w:jc w:val="right"/>
              <w:rPr>
                <w:b/>
                <w:spacing w:val="0"/>
              </w:rPr>
            </w:pPr>
            <w:r>
              <w:rPr>
                <w:b/>
                <w:spacing w:val="0"/>
              </w:rPr>
              <w:t>45,226</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b/>
                <w:spacing w:val="0"/>
              </w:rPr>
            </w:pPr>
            <w:r>
              <w:rPr>
                <w:b/>
                <w:spacing w:val="0"/>
              </w:rPr>
              <w:t>$</w:t>
            </w:r>
          </w:p>
        </w:tc>
        <w:tc>
          <w:tcPr>
            <w:tcW w:w="787" w:type="dxa"/>
            <w:tcBorders/>
            <w:shd w:fill="CCEEFF" w:val="clear"/>
            <w:vAlign w:val="center"/>
          </w:tcPr>
          <w:p>
            <w:pPr>
              <w:pStyle w:val="TableContents"/>
              <w:bidi w:val="0"/>
              <w:spacing w:before="0" w:after="0"/>
              <w:jc w:val="right"/>
              <w:rPr>
                <w:b/>
                <w:spacing w:val="0"/>
              </w:rPr>
            </w:pPr>
            <w:r>
              <w:rPr>
                <w:b/>
                <w:spacing w:val="0"/>
              </w:rPr>
              <w:t>7,045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Components of cash, cash equivalents and restricted cash:</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and cash equivalents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44,967</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7,045</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Restricted cash (included within other assets)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259</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b/>
                <w:spacing w:val="0"/>
              </w:rPr>
            </w:pPr>
            <w:r>
              <w:rPr>
                <w:b/>
                <w:spacing w:val="0"/>
              </w:rPr>
              <w:t>$</w:t>
            </w:r>
          </w:p>
        </w:tc>
        <w:tc>
          <w:tcPr>
            <w:tcW w:w="910" w:type="dxa"/>
            <w:tcBorders/>
            <w:shd w:fill="CCEEFF" w:val="clear"/>
            <w:vAlign w:val="center"/>
          </w:tcPr>
          <w:p>
            <w:pPr>
              <w:pStyle w:val="TableContents"/>
              <w:bidi w:val="0"/>
              <w:spacing w:before="0" w:after="0"/>
              <w:jc w:val="right"/>
              <w:rPr>
                <w:b/>
                <w:spacing w:val="0"/>
              </w:rPr>
            </w:pPr>
            <w:r>
              <w:rPr>
                <w:b/>
                <w:spacing w:val="0"/>
              </w:rPr>
              <w:t>45,226</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b/>
                <w:spacing w:val="0"/>
              </w:rPr>
            </w:pPr>
            <w:r>
              <w:rPr>
                <w:b/>
                <w:spacing w:val="0"/>
              </w:rPr>
              <w:t>$</w:t>
            </w:r>
          </w:p>
        </w:tc>
        <w:tc>
          <w:tcPr>
            <w:tcW w:w="787" w:type="dxa"/>
            <w:tcBorders/>
            <w:shd w:fill="CCEEFF" w:val="clear"/>
            <w:vAlign w:val="center"/>
          </w:tcPr>
          <w:p>
            <w:pPr>
              <w:pStyle w:val="TableContents"/>
              <w:bidi w:val="0"/>
              <w:spacing w:before="0" w:after="0"/>
              <w:jc w:val="right"/>
              <w:rPr>
                <w:b/>
                <w:spacing w:val="0"/>
              </w:rPr>
            </w:pPr>
            <w:r>
              <w:rPr>
                <w:b/>
                <w:spacing w:val="0"/>
              </w:rPr>
              <w:t>7,045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Supplemental cash flow disclosures: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paid for income taxes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129</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Supplemental </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non-cash</w:t>
            </w:r>
          </w:p>
          <w:p>
            <w:pPr>
              <w:pStyle w:val="TableContents"/>
              <w:bidi w:val="0"/>
              <w:spacing w:before="0" w:after="0"/>
              <w:jc w:val="left"/>
              <w:rPr>
                <w:rFonts w:ascii="Times New Roman" w:hAnsi="Times New Roman"/>
                <w:b/>
                <w:sz w:val="16"/>
              </w:rPr>
            </w:pPr>
            <w:r>
              <w:rPr>
                <w:rFonts w:ascii="Times New Roman" w:hAnsi="Times New Roman"/>
                <w:b/>
                <w:sz w:val="16"/>
              </w:rPr>
              <w:t>disclosures: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Property and equipment acquired in accounts payable and 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497</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123</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Capitalized deferred offering costs included in accounts payable and accrued expenses and other current liabilities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154</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warrants with convertible notes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909</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Conversion of convertible notes to common stock</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314,334</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exercise of warrants for common stock</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75,056</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70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warrants for professional services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167</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70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for shareholder note receivable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8,754</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HOLDINGS,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Note 1. Organization and Description of Business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Organization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Blaize Holdings, Inc. (together with its subsidiaries, the “Company,” “Blaize,” “we,” “our,” “us,” or the “registrant,”) is headquartered in El Dorado Hills, California, and consists of four separate operating entities: Blaize, Inc. (United States of America), Blaize New Computing Technologies India Private Limited (India), Blaize Technologies Philippines, Inc. (Philippines) and Blaize U.K. LTD (England).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Blaize designs and develops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low-power,</w:t>
      </w:r>
    </w:p>
    <w:p>
      <w:pPr>
        <w:pStyle w:val="TextBody"/>
        <w:bidi w:val="0"/>
        <w:spacing w:before="120" w:after="0"/>
        <w:jc w:val="left"/>
        <w:rPr>
          <w:rFonts w:ascii="Times New Roman" w:hAnsi="Times New Roman"/>
          <w:sz w:val="20"/>
        </w:rPr>
      </w:pPr>
      <w:r>
        <w:rPr>
          <w:rFonts w:ascii="Times New Roman" w:hAnsi="Times New Roman"/>
          <w:sz w:val="20"/>
        </w:rPr>
        <w:t xml:space="preserve">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March 31, 2025, there has not been an operating agreement executed between the Company and the holder of the 65% interest that would make us the primary beneficiary of this new legal entity. The newly established entity has incurred insignificant expenses since its incorporation.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and Reverse Recapitalization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Concurrent with the Merger, BurTech was renamed Blaize Holdings, Inc. Beginning on January 14, 2025, Blaize’s common stock and warrants trade on Nasdaq under the ticker symbols “BZAI” and “BZAIW”, respectively (see Note 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Accounting for the Merger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Prior to the Merger, BurTech LP, LLC was the sponsor (the “Sponsor”, “BurTech LP”) of BurTech and with the close of the Merger, BurTech LP and its affiliated entities, have remained a significant shareholder in Blaize.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non-binding</w:t>
      </w:r>
    </w:p>
    <w:p>
      <w:pPr>
        <w:pStyle w:val="TextBody"/>
        <w:bidi w:val="0"/>
        <w:spacing w:before="120" w:after="0"/>
        <w:jc w:val="left"/>
        <w:rPr>
          <w:rFonts w:ascii="Times New Roman" w:hAnsi="Times New Roman"/>
          <w:sz w:val="20"/>
        </w:rPr>
      </w:pPr>
      <w:r>
        <w:rPr>
          <w:rFonts w:ascii="Times New Roman" w:hAnsi="Times New Roman"/>
          <w:sz w:val="20"/>
        </w:rPr>
        <w:t xml:space="preserve">advisory vote on executive compensation and stockholder approval of any golden parachute payments not previously approved.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Since the inception of the Company and through March 31, 2025, the Company has funded its operations primarily with cash flows from contributions from founders or other investors and other financing activities. The Company has incurred recurring losses and negative cash flows since its inception, including net losses of $147.8 million and $16.7 million for the three months ended March 31, 2025 and 2024, respectively. As of March 31, 2025, the Company had cash and cash equivalents of approximately $45.0 million, and an accumulated deficit of $577.0 million.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above, in connection with its assessment of going concern considerations in accordance with Financial Accounting Standard Board’s (“FASB”) Accounting Standards Update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2014-15,</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Disclosures of Uncertainties about an Entity’s Ability to Continue as a Going Concern</w:t>
      </w:r>
    </w:p>
    <w:p>
      <w:pPr>
        <w:pStyle w:val="TextBody"/>
        <w:bidi w:val="0"/>
        <w:spacing w:before="240" w:after="0"/>
        <w:jc w:val="left"/>
        <w:rPr>
          <w:rFonts w:ascii="Times New Roman" w:hAnsi="Times New Roman"/>
          <w:sz w:val="20"/>
        </w:rPr>
      </w:pPr>
      <w:r>
        <w:rPr>
          <w:rFonts w:ascii="Times New Roman" w:hAnsi="Times New Roman"/>
          <w:sz w:val="20"/>
        </w:rPr>
        <w:t xml:space="preserve">, management has determined that the Company’s liquidity condition raises substantial doubt about its ability to continue as a going concern through one year from the date that these condensed consolidated financial statements are issued.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2.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financial statements have been prepared in accordance with generally accepted accounting principles in the United States (“U.S. GAAP”) for interim financial information and with the instructions to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and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10-01</w:t>
      </w:r>
    </w:p>
    <w:p>
      <w:pPr>
        <w:pStyle w:val="TextBody"/>
        <w:bidi w:val="0"/>
        <w:spacing w:before="120" w:after="0"/>
        <w:jc w:val="left"/>
        <w:rPr>
          <w:rFonts w:ascii="Times New Roman" w:hAnsi="Times New Roman"/>
          <w:sz w:val="20"/>
        </w:rPr>
      </w:pPr>
      <w:r>
        <w:rPr>
          <w:rFonts w:ascii="Times New Roman" w:hAnsi="Times New Roman"/>
          <w:sz w:val="20"/>
        </w:rPr>
        <w:t xml:space="preserve">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z w:val="20"/>
        </w:rPr>
      </w:pPr>
      <w:r>
        <w:rPr>
          <w:rFonts w:ascii="Times New Roman" w:hAnsi="Times New Roman"/>
          <w:sz w:val="20"/>
        </w:rPr>
        <w:t xml:space="preserve">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8-K/A</w:t>
      </w:r>
    </w:p>
    <w:p>
      <w:pPr>
        <w:pStyle w:val="TextBody"/>
        <w:bidi w:val="0"/>
        <w:spacing w:before="120" w:after="0"/>
        <w:jc w:val="left"/>
        <w:rPr>
          <w:rFonts w:ascii="Times New Roman" w:hAnsi="Times New Roman"/>
          <w:sz w:val="20"/>
        </w:rPr>
      </w:pPr>
      <w:r>
        <w:rPr>
          <w:rFonts w:ascii="Times New Roman" w:hAnsi="Times New Roman"/>
          <w:sz w:val="20"/>
        </w:rPr>
        <w:t xml:space="preserve">filed with the U.S. Securities and Exchange Commission (“SEC”) on April 15, 2025, which provides a more complete discussion of the Company’s accounting policies and certain other information.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and December 31, 2024, the Company had cash and cash equivalents balances, inclusive of funds held in escrow, in excess of domestic and international insurance limits of approximately $71.9 million and $49.3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(see Note 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Restricted cash represents cash balances held as security deposits related to international payment services. As of March 31, 2025 and December 31, 2024, restricted cash of $0.3 million was included within other assets on the condensed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Funds Held in Escrow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held $33.4 million of cash in an interest-earning escrow account pursuant to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agreements entered into with several unaffiliated stockholders of the Company, whereby amounts are required to be held in a separate account at the Closing of the Merger and held until such time that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are either sold in the open market and/or put to the Company. The funds in escrow approximate $11.57 per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 (see Note 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Accounts Receivable,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first-in,</w:t>
      </w:r>
    </w:p>
    <w:p>
      <w:pPr>
        <w:pStyle w:val="TextBody"/>
        <w:bidi w:val="0"/>
        <w:spacing w:before="120" w:after="0"/>
        <w:jc w:val="left"/>
        <w:rPr>
          <w:rFonts w:ascii="Times New Roman" w:hAnsi="Times New Roman"/>
          <w:spacing w:val="0"/>
          <w:sz w:val="20"/>
        </w:rPr>
      </w:pPr>
      <w:r>
        <w:rPr>
          <w:rFonts w:ascii="Times New Roman" w:hAnsi="Times New Roman"/>
          <w:spacing w:val="0"/>
          <w:sz w:val="20"/>
        </w:rPr>
        <w:t>first-out</w:t>
      </w:r>
    </w:p>
    <w:p>
      <w:pPr>
        <w:pStyle w:val="TextBody"/>
        <w:bidi w:val="0"/>
        <w:spacing w:before="120" w:after="0"/>
        <w:jc w:val="left"/>
        <w:rPr>
          <w:rFonts w:ascii="Times New Roman" w:hAnsi="Times New Roman"/>
          <w:sz w:val="20"/>
        </w:rPr>
      </w:pPr>
      <w:r>
        <w:rPr>
          <w:rFonts w:ascii="Times New Roman" w:hAnsi="Times New Roman"/>
          <w:sz w:val="20"/>
        </w:rPr>
        <w:t xml:space="preserve">basis. Net realizable value is the estimated selling price in the ordinary course of business less the estimated costs of completion and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estimated costs necessary to make the sale.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Adjustments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Embedded Derivative 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z w:val="20"/>
        </w:rPr>
      </w:pPr>
      <w:r>
        <w:rPr>
          <w:rFonts w:ascii="Times New Roman" w:hAnsi="Times New Roman"/>
          <w:sz w:val="20"/>
        </w:rPr>
        <w:t xml:space="preserve">income or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accounted for its convertible notes, some of which contained predominantly fixed rate conversion features under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Debt—Debt with Conversion and Other Options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Derivatives and Hedging—Contracts in Entity’s Own Equity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815-40)</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bidi w:val="0"/>
        <w:spacing w:before="120" w:after="0"/>
        <w:jc w:val="left"/>
        <w:rPr>
          <w:rFonts w:ascii="Times New Roman" w:hAnsi="Times New Roman"/>
          <w:sz w:val="20"/>
        </w:rPr>
      </w:pPr>
      <w:r>
        <w:rPr>
          <w:rFonts w:ascii="Times New Roman" w:hAnsi="Times New Roman"/>
          <w:sz w:val="20"/>
        </w:rPr>
        <w:t xml:space="preserve">. The Company elected to account for its convertible notes at fair value at each period end pursuant to ASC 825,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w:t>
      </w:r>
    </w:p>
    <w:p>
      <w:pPr>
        <w:pStyle w:val="TextBody"/>
        <w:bidi w:val="0"/>
        <w:spacing w:before="120" w:after="0"/>
        <w:jc w:val="left"/>
        <w:rPr>
          <w:rFonts w:ascii="Times New Roman" w:hAnsi="Times New Roman"/>
          <w:sz w:val="20"/>
        </w:rPr>
      </w:pPr>
      <w:r>
        <w:rPr>
          <w:rFonts w:ascii="Times New Roman" w:hAnsi="Times New Roman"/>
          <w:sz w:val="20"/>
        </w:rPr>
        <w:t xml:space="preserve">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Warrant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Legacy Blaize shareholders and outstanding equity award holders (including stock options and RSUs) are entitled to receive up to 15,000,000 shares of the Company’s Class A common stock (the “Earnout Shares”) (see Note 3). Earnout Shares issued to eligible Legacy Blaize equity holders (including holders of stock options and restricted stock units (“RSUs”)) are considered a compensatory award and are accounted for under ASC 718,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Share-Based Compensation</w:t>
      </w:r>
    </w:p>
    <w:p>
      <w:pPr>
        <w:pStyle w:val="TextBody"/>
        <w:bidi w:val="0"/>
        <w:spacing w:before="120" w:after="0"/>
        <w:jc w:val="left"/>
        <w:rPr>
          <w:rFonts w:ascii="Times New Roman" w:hAnsi="Times New Roman"/>
          <w:sz w:val="20"/>
        </w:rPr>
      </w:pPr>
      <w:r>
        <w:rPr>
          <w:rFonts w:ascii="Times New Roman" w:hAnsi="Times New Roman"/>
          <w:sz w:val="20"/>
        </w:rPr>
        <w:t xml:space="preserve">. Further these awards have been determined to be equity classified and accordingly will not be remeasured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Earnout Shares issued to Burkhan and all other equity holders not within the scope of ASC 718 in connection with consummation of the Merger, were evaluated by management under ASC 480,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Distinguishing Liabilities from Equity</w:t>
      </w:r>
    </w:p>
    <w:p>
      <w:pPr>
        <w:pStyle w:val="TextBody"/>
        <w:bidi w:val="0"/>
        <w:spacing w:before="240" w:after="0"/>
        <w:jc w:val="left"/>
        <w:rPr>
          <w:rFonts w:ascii="Times New Roman" w:hAnsi="Times New Roman"/>
          <w:sz w:val="20"/>
        </w:rPr>
      </w:pPr>
      <w:r>
        <w:rPr>
          <w:rFonts w:ascii="Times New Roman" w:hAnsi="Times New Roman"/>
          <w:sz w:val="20"/>
        </w:rPr>
        <w:t xml:space="preserve">(see Note 3). The Company determined that the Earnout Shares are freestanding and not liability classified under ASC 480. Subsequently, management evaluated whether the Earnout Shares represented a derivative instrument pursuant to ASC 815,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Derivatives and Hedging</w:t>
      </w:r>
    </w:p>
    <w:p>
      <w:pPr>
        <w:pStyle w:val="TextBody"/>
        <w:bidi w:val="0"/>
        <w:spacing w:before="240" w:after="0"/>
        <w:jc w:val="left"/>
        <w:rPr>
          <w:rFonts w:ascii="Times New Roman" w:hAnsi="Times New Roman"/>
          <w:sz w:val="20"/>
        </w:rPr>
      </w:pPr>
      <w:r>
        <w:rPr>
          <w:rFonts w:ascii="Times New Roman" w:hAnsi="Times New Roman"/>
          <w:sz w:val="20"/>
        </w:rPr>
        <w:t xml:space="preserve">. The Company concluded that the Earnout Shares under the arrangement resulted in liability classification pursuant to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240" w:after="0"/>
        <w:jc w:val="left"/>
        <w:rPr>
          <w:rFonts w:ascii="Times New Roman" w:hAnsi="Times New Roman"/>
          <w:sz w:val="20"/>
        </w:rPr>
      </w:pPr>
      <w:r>
        <w:rPr>
          <w:rFonts w:ascii="Times New Roman" w:hAnsi="Times New Roman"/>
          <w:sz w:val="20"/>
        </w:rPr>
        <w:t xml:space="preserve">The liability for such Earnout Shares will be remeasured at each reporting date with changes in the fair value recorded to earnings on the condensed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had (i) Series Seed Shadow Preferred Stock, (ii) Series A Shadow Preferred Stock, (iii) Shadow B Shadow Preferred Stock, (iv) Series C Shadow Preferred Stock, (v) Series D Shadow Preferred Stock, (vi) Series D Exchange Shadow Preferred Stock, (vii)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D-1</w:t>
      </w:r>
    </w:p>
    <w:p>
      <w:pPr>
        <w:pStyle w:val="TextBody"/>
        <w:bidi w:val="0"/>
        <w:spacing w:before="120" w:after="0"/>
        <w:jc w:val="left"/>
        <w:rPr>
          <w:rFonts w:ascii="Times New Roman" w:hAnsi="Times New Roman"/>
          <w:sz w:val="20"/>
        </w:rPr>
      </w:pPr>
      <w:r>
        <w:rPr>
          <w:rFonts w:ascii="Times New Roman" w:hAnsi="Times New Roman"/>
          <w:sz w:val="20"/>
        </w:rPr>
        <w:t xml:space="preserve">Shadow Preferred Stock, (viii)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D-1</w:t>
      </w:r>
    </w:p>
    <w:p>
      <w:pPr>
        <w:pStyle w:val="TextBody"/>
        <w:bidi w:val="0"/>
        <w:spacing w:before="120" w:after="0"/>
        <w:jc w:val="left"/>
        <w:rPr>
          <w:rFonts w:ascii="Times New Roman" w:hAnsi="Times New Roman"/>
          <w:sz w:val="20"/>
        </w:rPr>
      </w:pPr>
      <w:r>
        <w:rPr>
          <w:rFonts w:ascii="Times New Roman" w:hAnsi="Times New Roman"/>
          <w:sz w:val="20"/>
        </w:rPr>
        <w:t xml:space="preserve">Exchange Shadow Preferred Stock, and (ix)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D-2</w:t>
      </w:r>
    </w:p>
    <w:p>
      <w:pPr>
        <w:pStyle w:val="TextBody"/>
        <w:bidi w:val="0"/>
        <w:spacing w:before="120" w:after="0"/>
        <w:jc w:val="left"/>
        <w:rPr>
          <w:rFonts w:ascii="Times New Roman" w:hAnsi="Times New Roman"/>
          <w:sz w:val="20"/>
        </w:rPr>
      </w:pPr>
      <w:r>
        <w:rPr>
          <w:rFonts w:ascii="Times New Roman" w:hAnsi="Times New Roman"/>
          <w:sz w:val="20"/>
        </w:rPr>
        <w:t xml:space="preserve">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all shares of redeemable convertible preferred stock outstanding were converted into shares of common stock (see Note 3). All shares of redeemable convertible preferred stock which were converted into shares of common stock were retroactively adjusted using the exchange ratio and reclassified into permanent equity as a result of the Merger.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subject to possible redemption in accordance with the guidance in ASC Topic 480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Distinguishing Liabilities from Equity</w:t>
      </w:r>
    </w:p>
    <w:p>
      <w:pPr>
        <w:pStyle w:val="TextBody"/>
        <w:bidi w:val="0"/>
        <w:spacing w:before="120" w:after="0"/>
        <w:jc w:val="left"/>
        <w:rPr>
          <w:rFonts w:ascii="Times New Roman" w:hAnsi="Times New Roman"/>
          <w:sz w:val="20"/>
        </w:rPr>
      </w:pPr>
      <w:r>
        <w:rPr>
          <w:rFonts w:ascii="Times New Roman" w:hAnsi="Times New Roman"/>
          <w:sz w:val="20"/>
        </w:rPr>
        <w:t xml:space="preserve">. Certain common stock is held in escrow pursuant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Agreements and feature certain redemption rights that are considered to be outside of the Company’s control and within the control of the holders (see Note 3). Accordingly, as of March 31, 2025, 2,854,242 shares of common stock are subject to possible redemption, and have been presented at redemption value as temporary equity, outside of the stockholders’ equity (deficit) section of the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and accumulated deficit.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derives revenue from product sales, license and development arrangements, joint marketing arrangements and cloud services. The Company recognizes revenue under ASC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bidi w:val="0"/>
        <w:spacing w:before="120" w:after="0"/>
        <w:jc w:val="left"/>
        <w:rPr>
          <w:rFonts w:ascii="Times New Roman" w:hAnsi="Times New Roman"/>
          <w:sz w:val="20"/>
        </w:rPr>
      </w:pPr>
      <w:r>
        <w:rPr>
          <w:rFonts w:ascii="Times New Roman" w:hAnsi="Times New Roman"/>
          <w:sz w:val="20"/>
        </w:rPr>
        <w:t xml:space="preserve">in which it determines revenue recognition through the following steps: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1: Identify the contract with the customer.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2: Identify the performance obligations in the contract.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3: Determine the transaction price.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4: Allocate the transaction price to the performance obligations in the contract.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5: Recognize revenue when the company satisfies a performance obligation.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w:t>
      </w:r>
    </w:p>
    <w:p>
      <w:pPr>
        <w:pStyle w:val="TextBody"/>
        <w:bidi w:val="0"/>
        <w:spacing w:before="0" w:after="0"/>
        <w:jc w:val="left"/>
        <w:rPr>
          <w:spacing w:val="0"/>
        </w:rPr>
      </w:pPr>
      <w:r>
        <w:rPr>
          <w:spacing w:val="0"/>
        </w:rPr>
        <w:t> </w:t>
      </w:r>
    </w:p>
    <w:tbl>
      <w:tblPr>
        <w:tblW w:w="4725" w:type="dxa"/>
        <w:jc w:val="left"/>
        <w:tblInd w:w="0" w:type="dxa"/>
        <w:tblLayout w:type="fixed"/>
        <w:tblCellMar>
          <w:top w:w="0" w:type="dxa"/>
          <w:left w:w="0" w:type="dxa"/>
          <w:bottom w:w="0" w:type="dxa"/>
          <w:right w:w="0" w:type="dxa"/>
        </w:tblCellMar>
      </w:tblPr>
      <w:tblGrid>
        <w:gridCol w:w="2450"/>
        <w:gridCol w:w="120"/>
        <w:gridCol w:w="217"/>
        <w:gridCol w:w="403"/>
        <w:gridCol w:w="93"/>
        <w:gridCol w:w="186"/>
        <w:gridCol w:w="217"/>
        <w:gridCol w:w="869"/>
        <w:gridCol w:w="170"/>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6"/>
            <w:tcBorders/>
            <w:vAlign w:val="center"/>
          </w:tcPr>
          <w:p>
            <w:pPr>
              <w:pStyle w:val="TableContents"/>
              <w:bidi w:val="0"/>
              <w:spacing w:before="0" w:after="0"/>
              <w:jc w:val="center"/>
              <w:rPr>
                <w:b/>
                <w:spacing w:val="0"/>
              </w:rPr>
            </w:pPr>
            <w:r>
              <w:rPr>
                <w:b/>
                <w:spacing w:val="0"/>
              </w:rPr>
              <w:t>Contract Liabilities</w:t>
            </w:r>
          </w:p>
        </w:tc>
        <w:tc>
          <w:tcPr>
            <w:tcW w:w="17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2025</w:t>
            </w:r>
          </w:p>
        </w:tc>
        <w:tc>
          <w:tcPr>
            <w:tcW w:w="93"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1,100</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 to deferred revenue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1,728</w:t>
            </w:r>
          </w:p>
        </w:tc>
        <w:tc>
          <w:tcPr>
            <w:tcW w:w="17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revenue recognized</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(183</w:t>
            </w:r>
          </w:p>
        </w:tc>
        <w:tc>
          <w:tcPr>
            <w:tcW w:w="170"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March 31</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403"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2,645</w:t>
            </w:r>
          </w:p>
        </w:tc>
        <w:tc>
          <w:tcPr>
            <w:tcW w:w="17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offers a standard assurance-type warranty to customers for hardware sales.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U.S. and various foreign jurisdictions. The Company uses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asset-and-liability</w:t>
      </w:r>
    </w:p>
    <w:p>
      <w:pPr>
        <w:pStyle w:val="TextBody"/>
        <w:bidi w:val="0"/>
        <w:spacing w:before="120" w:after="0"/>
        <w:jc w:val="left"/>
        <w:rPr>
          <w:rFonts w:ascii="Times New Roman" w:hAnsi="Times New Roman"/>
          <w:sz w:val="20"/>
        </w:rPr>
      </w:pPr>
      <w:r>
        <w:rPr>
          <w:rFonts w:ascii="Times New Roman" w:hAnsi="Times New Roman"/>
          <w:sz w:val="20"/>
        </w:rPr>
        <w:t xml:space="preserve">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jurisdiction-by-jurisdiction</w:t>
      </w:r>
    </w:p>
    <w:p>
      <w:pPr>
        <w:pStyle w:val="TextBody"/>
        <w:bidi w:val="0"/>
        <w:spacing w:before="120" w:after="0"/>
        <w:jc w:val="left"/>
        <w:rPr>
          <w:rFonts w:ascii="Times New Roman" w:hAnsi="Times New Roman"/>
          <w:sz w:val="20"/>
        </w:rPr>
      </w:pPr>
      <w:r>
        <w:rPr>
          <w:rFonts w:ascii="Times New Roman" w:hAnsi="Times New Roman"/>
          <w:sz w:val="20"/>
        </w:rPr>
        <w:t xml:space="preserve">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cost of employee,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consultants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directors’ services received in exchange for awards of stock options based on the fair value of those awards at the date of grant over the requisite service period. The fair value of stock options granted is determined using the Black-</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to employees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(see Note 13). The Company did not record any stock-based compensation expense associated with the RSUs during the three months ended March 31, 2024, as a liquidity event had not occurred during that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Forfeitures are recognized as they occur.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70"/>
        <w:gridCol w:w="60"/>
        <w:gridCol w:w="9675"/>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75"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ableContents"/>
              <w:bidi w:val="0"/>
              <w:spacing w:before="0" w:after="0"/>
              <w:jc w:val="left"/>
              <w:rPr/>
            </w:pPr>
            <w:r>
              <w:rPr/>
              <w:t> </w:t>
            </w:r>
            <w:r>
              <w:rPr>
                <w:rFonts w:ascii="Times New Roman" w:hAnsi="Times New Roman"/>
                <w:sz w:val="20"/>
              </w:rPr>
              <w:t>1:</w:t>
            </w:r>
          </w:p>
        </w:tc>
        <w:tc>
          <w:tcPr>
            <w:tcW w:w="6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This level consists of unadjusted quoted prices in active markets for identical assets or liabilities that the reporting entity can access at the measurement date.</w:t>
            </w:r>
          </w:p>
        </w:tc>
      </w:tr>
      <w:tr>
        <w:trPr/>
        <w:tc>
          <w:tcPr>
            <w:tcW w:w="470" w:type="dxa"/>
            <w:tcBorders/>
            <w:vAlign w:val="center"/>
          </w:tcPr>
          <w:p>
            <w:pPr>
              <w:pStyle w:val="TableContents"/>
              <w:bidi w:val="0"/>
              <w:spacing w:before="0" w:after="283"/>
              <w:jc w:val="left"/>
              <w:rPr>
                <w:sz w:val="4"/>
                <w:szCs w:val="4"/>
              </w:rPr>
            </w:pPr>
            <w:r>
              <w:rPr>
                <w:sz w:val="4"/>
                <w:szCs w:val="4"/>
              </w:rPr>
            </w:r>
          </w:p>
        </w:tc>
        <w:tc>
          <w:tcPr>
            <w:tcW w:w="9735"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ableContents"/>
              <w:bidi w:val="0"/>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2:</w:t>
            </w:r>
          </w:p>
        </w:tc>
        <w:tc>
          <w:tcPr>
            <w:tcW w:w="6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tc>
      </w:tr>
      <w:tr>
        <w:trPr/>
        <w:tc>
          <w:tcPr>
            <w:tcW w:w="470" w:type="dxa"/>
            <w:tcBorders/>
            <w:vAlign w:val="center"/>
          </w:tcPr>
          <w:p>
            <w:pPr>
              <w:pStyle w:val="TableContents"/>
              <w:bidi w:val="0"/>
              <w:spacing w:before="0" w:after="283"/>
              <w:jc w:val="left"/>
              <w:rPr>
                <w:sz w:val="4"/>
                <w:szCs w:val="4"/>
              </w:rPr>
            </w:pPr>
            <w:r>
              <w:rPr>
                <w:sz w:val="4"/>
                <w:szCs w:val="4"/>
              </w:rPr>
            </w:r>
          </w:p>
        </w:tc>
        <w:tc>
          <w:tcPr>
            <w:tcW w:w="9735"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ableContents"/>
              <w:bidi w:val="0"/>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3:</w:t>
            </w:r>
          </w:p>
        </w:tc>
        <w:tc>
          <w:tcPr>
            <w:tcW w:w="6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average exchange rates in effect during each reporting period. The resulting transaction gains or losses are recognized in other income (expense), net, in the condensed consolidated statements of operations. During the three months ended March 31, 2025 and 2024, foreign currency transaction gains and losses were immaterial.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exposed to credit risk in the event of nonpayment by customers up to the amounts recorded on the consolidated balance sheets. The Company manages its accounts receivable credit risk through ongoing credit evaluation of its customers’ financial conditions.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one customer accounted for approximately 95% of the Company’s accounts receivable. As of December 31, 2024, one customer accounted for approximately 98% of the Company’s accounts receivable.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Historically, a relatively small number of customers have accounted for a significant portion of the Company’s revenue. For the three months ended March 31, 2025, one customer accounted for approximately 95% of the Company’s revenue. For the three months ended March 31, 2024, two customers, both related parties, accounted for approximately 61% and 39% of the Company’s revenue (see Note 15).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required for participating securities.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determines net income (loss) per share for each class of common and participating securities according to dividends declared or accumulated and participation rights in undistributed earnings. The two class method requires income (loss) available to common stockholders for the period to be allocated between common and participating securities based upon their respective rights to shares in undistributed earnings as if all income (loss) for the period had been distributed.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Basic net loss per share is calculated by dividing the net loss attributable to common stockholders by the weighted average number of common stock outstanding during the period, without consideration of potentially dilutive securities.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the Merger has been accounted for as a reverse recapitalization, net loss per share was also retroactively adjusted for periods ended prior to the Merger.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2022-03,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 (Topic 820): Fair Value Measurement of Equity Securities Subject to Contractual Sale Restrictions</w:t>
      </w:r>
    </w:p>
    <w:p>
      <w:pPr>
        <w:pStyle w:val="TextBody"/>
        <w:bidi w:val="0"/>
        <w:spacing w:before="120" w:after="0"/>
        <w:jc w:val="left"/>
        <w:rPr>
          <w:rFonts w:ascii="Times New Roman" w:hAnsi="Times New Roman"/>
          <w:sz w:val="20"/>
        </w:rPr>
      </w:pPr>
      <w:r>
        <w:rPr>
          <w:rFonts w:ascii="Times New Roman" w:hAnsi="Times New Roman"/>
          <w:sz w:val="20"/>
        </w:rPr>
        <w:t xml:space="preserve">. This ASU clarifies guidance in Topic 820 and introduces new disclosure requirements for equity securities subject to contractual sale restrictions that are measured at fair value in accordance with Topic 820. The Company adopted this standard on January 1, 2025. The adoption of this standard did not have an impact on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 (Topic 740): Improvements to Income Tax Disclosures.</w:t>
      </w:r>
    </w:p>
    <w:p>
      <w:pPr>
        <w:pStyle w:val="TextBody"/>
        <w:bidi w:val="0"/>
        <w:spacing w:before="240" w:after="0"/>
        <w:jc w:val="left"/>
        <w:rPr>
          <w:rFonts w:ascii="Times New Roman" w:hAnsi="Times New Roman"/>
          <w:sz w:val="20"/>
        </w:rPr>
      </w:pPr>
      <w:r>
        <w:rPr>
          <w:rFonts w:ascii="Times New Roman" w:hAnsi="Times New Roman"/>
          <w:sz w:val="20"/>
        </w:rPr>
        <w:t xml:space="preserve">This ASU enhances the transparency and decision usefulness of income tax disclosures. The Company is currently evaluating the impact that the adoption of this ASU will have on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2024-04,</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 Debt with Conversion and Other Options (Subtopic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Induced Conversions of Convertible Debt Instruments. </w:t>
      </w:r>
    </w:p>
    <w:p>
      <w:pPr>
        <w:pStyle w:val="TextBody"/>
        <w:bidi w:val="0"/>
        <w:spacing w:before="240" w:after="0"/>
        <w:jc w:val="left"/>
        <w:rPr>
          <w:rFonts w:ascii="Times New Roman" w:hAnsi="Times New Roman"/>
          <w:sz w:val="20"/>
        </w:rPr>
      </w:pPr>
      <w:r>
        <w:rPr>
          <w:rFonts w:ascii="Times New Roman" w:hAnsi="Times New Roman"/>
          <w:sz w:val="20"/>
        </w:rPr>
        <w:t xml:space="preserve">This ASU clarifies guidance on the requirements for determining whether certain settlements of convertible debt instruments 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Statement - Reporting Comprehensive Income - Expense Disaggregation Disclosures: Disaggregation of Income Statement Expenses</w:t>
      </w:r>
    </w:p>
    <w:p>
      <w:pPr>
        <w:pStyle w:val="TextBody"/>
        <w:bidi w:val="0"/>
        <w:spacing w:before="240" w:after="0"/>
        <w:jc w:val="left"/>
        <w:rPr>
          <w:rFonts w:ascii="Times New Roman" w:hAnsi="Times New Roman"/>
          <w:sz w:val="20"/>
        </w:rPr>
      </w:pPr>
      <w:r>
        <w:rPr>
          <w:rFonts w:ascii="Times New Roman" w:hAnsi="Times New Roman"/>
          <w:sz w:val="20"/>
        </w:rPr>
        <w:t xml:space="preserve">. This ASU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does not believe that any other recently issued, not yet effective, accounting standards would have a material effect on the accompanying condensed consolidated financial statements, if adopted.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3. Merger and Reverse Recapitalization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each share of Legacy Blaize common stock issued and outstanding was canceled and converted into the right to receive approximately 0.78 shares (the “Exchange Ratio”) of common stock of BurTech.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Redeemable Convertible Preferred Stock, Convertible Promissory Notes and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Arrangements entered into at time of Merger or assumed upon the consummation of the Merger: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Public and Private Placement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Upon the consummation of the Merger, BurTech’s 28,750,000 public warrants and 898,250 private warrants, both outstanding immediately prior to the consummation of the Merger, became warrants of the Company.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PIPE Shares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Shareholder Note Receivable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Non-Redemption</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Agreements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and through January 13, 2025, BurTech, BurTech LP and Legacy Blaize entered into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Agreements with several unaffiliated stockholders of BurTech (each, an “Investor”) who agreed not to redeem (or validly rescind any redemption requests on) their shares of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These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were exchanged for shares of the Company’s common stock and are held in a separate escrow account. In exchange for the foregoing commitments not to redeem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the Company and BurTech LP agreed to guarantee that each Investor receives a return of $1.50 per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 above the initial $11.57 per share (for a total redemption value of $13.07 per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 held in the related cash escrow account if the Investor sells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z w:val="20"/>
        </w:rPr>
      </w:pPr>
      <w:r>
        <w:rPr>
          <w:rFonts w:ascii="Times New Roman" w:hAnsi="Times New Roman"/>
          <w:sz w:val="20"/>
        </w:rPr>
        <w:t xml:space="preserve">Shares in the open market. The funds in the related cash escrow account are sufficient to fulfill the Company’s redemption obligation under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z w:val="20"/>
        </w:rPr>
      </w:pPr>
      <w:r>
        <w:rPr>
          <w:rFonts w:ascii="Times New Roman" w:hAnsi="Times New Roman"/>
          <w:sz w:val="20"/>
        </w:rPr>
        <w:t xml:space="preserve">Agreement. Starting 90 days after the Closing Date through 180 days after </w:t>
      </w:r>
    </w:p>
    <w:p>
      <w:pPr>
        <w:pStyle w:val="TextBody"/>
        <w:bidi w:val="0"/>
        <w:spacing w:before="0" w:after="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Closing Date, each Investor has the right to exercise a put option to receive $13.07 per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0" w:after="0"/>
        <w:jc w:val="left"/>
        <w:rPr>
          <w:rFonts w:ascii="Times New Roman" w:hAnsi="Times New Roman"/>
          <w:sz w:val="20"/>
        </w:rPr>
      </w:pPr>
      <w:r>
        <w:rPr>
          <w:rFonts w:ascii="Times New Roman" w:hAnsi="Times New Roman"/>
          <w:sz w:val="20"/>
        </w:rPr>
        <w:t xml:space="preserve">Share. The Sponsor, and not the Company, is contractually obligated for the $1.50 per share above the $11.57 held in cash escrow as it relates to the put option. Accordingly, the Company did not recognize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0" w:after="0"/>
        <w:jc w:val="left"/>
        <w:rPr>
          <w:rFonts w:ascii="Times New Roman" w:hAnsi="Times New Roman"/>
          <w:sz w:val="20"/>
        </w:rPr>
      </w:pPr>
      <w:r>
        <w:rPr>
          <w:rFonts w:ascii="Times New Roman" w:hAnsi="Times New Roman"/>
          <w:sz w:val="20"/>
        </w:rPr>
        <w:t xml:space="preserve">liability as of the Closing Date or March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reconciles the elements of the Merger to the condensed consolidated statement of cash flows and the condensed consolidated statement of stockholders’ equity (deficit) for the three months ended March 31, 2025: </w:t>
      </w:r>
    </w:p>
    <w:p>
      <w:pPr>
        <w:pStyle w:val="TextBody"/>
        <w:bidi w:val="0"/>
        <w:spacing w:before="0" w:after="0"/>
        <w:jc w:val="left"/>
        <w:rPr>
          <w:spacing w:val="0"/>
        </w:rPr>
      </w:pPr>
      <w:r>
        <w:rPr>
          <w:spacing w:val="0"/>
        </w:rPr>
        <w:t> </w:t>
      </w:r>
    </w:p>
    <w:tbl>
      <w:tblPr>
        <w:tblW w:w="6300" w:type="dxa"/>
        <w:jc w:val="left"/>
        <w:tblInd w:w="0" w:type="dxa"/>
        <w:tblLayout w:type="fixed"/>
        <w:tblCellMar>
          <w:top w:w="0" w:type="dxa"/>
          <w:left w:w="0" w:type="dxa"/>
          <w:bottom w:w="0" w:type="dxa"/>
          <w:right w:w="0" w:type="dxa"/>
        </w:tblCellMar>
      </w:tblPr>
      <w:tblGrid>
        <w:gridCol w:w="4355"/>
        <w:gridCol w:w="120"/>
        <w:gridCol w:w="228"/>
        <w:gridCol w:w="1427"/>
        <w:gridCol w:w="170"/>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i/>
                <w:caps w:val="false"/>
                <w:smallCaps w:val="false"/>
                <w:spacing w:val="0"/>
              </w:rPr>
            </w:pPr>
            <w:r>
              <w:rPr>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0"/>
              <w:jc w:val="center"/>
              <w:rPr>
                <w:b/>
                <w:spacing w:val="0"/>
              </w:rPr>
            </w:pPr>
            <w:r>
              <w:rPr>
                <w:b/>
                <w:spacing w:val="0"/>
              </w:rPr>
              <w:t>Recapitalization</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 BurTech trust and cash, net of redemptions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427" w:type="dxa"/>
            <w:tcBorders/>
            <w:shd w:fill="CCEEFF" w:val="clear"/>
            <w:vAlign w:val="center"/>
          </w:tcPr>
          <w:p>
            <w:pPr>
              <w:pStyle w:val="TableContents"/>
              <w:bidi w:val="0"/>
              <w:spacing w:before="0" w:after="283"/>
              <w:jc w:val="right"/>
              <w:rPr/>
            </w:pPr>
            <w:r>
              <w:rPr/>
              <w:t>37,259</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escrow</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(33,061</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 PIPE</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15,295</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transaction costs and advisory paid by BurTech</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(3,619</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proceeds from Merger</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15,874</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Earnout share liabilities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(126,025</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net liabilities assumed from BurTech</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(16,013</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Merger and PIPE financing</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427" w:type="dxa"/>
            <w:tcBorders/>
            <w:vAlign w:val="center"/>
          </w:tcPr>
          <w:p>
            <w:pPr>
              <w:pStyle w:val="TableContents"/>
              <w:bidi w:val="0"/>
              <w:spacing w:before="0" w:after="283"/>
              <w:jc w:val="right"/>
              <w:rPr/>
            </w:pPr>
            <w:r>
              <w:rPr/>
              <w:t>(126,164</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number of shares of common stock outstanding immediately following the consummation of the Merger: </w:t>
      </w:r>
    </w:p>
    <w:p>
      <w:pPr>
        <w:pStyle w:val="TextBody"/>
        <w:bidi w:val="0"/>
        <w:spacing w:before="0" w:after="0"/>
        <w:jc w:val="left"/>
        <w:rPr>
          <w:spacing w:val="0"/>
        </w:rPr>
      </w:pPr>
      <w:r>
        <w:rPr>
          <w:spacing w:val="0"/>
        </w:rPr>
        <w:t> </w:t>
      </w:r>
    </w:p>
    <w:tbl>
      <w:tblPr>
        <w:tblW w:w="8535" w:type="dxa"/>
        <w:jc w:val="left"/>
        <w:tblInd w:w="0" w:type="dxa"/>
        <w:tblLayout w:type="fixed"/>
        <w:tblCellMar>
          <w:top w:w="0" w:type="dxa"/>
          <w:left w:w="0" w:type="dxa"/>
          <w:bottom w:w="0" w:type="dxa"/>
          <w:right w:w="0" w:type="dxa"/>
        </w:tblCellMar>
      </w:tblPr>
      <w:tblGrid>
        <w:gridCol w:w="7085"/>
        <w:gridCol w:w="120"/>
        <w:gridCol w:w="60"/>
        <w:gridCol w:w="1100"/>
        <w:gridCol w:w="170"/>
      </w:tblGrid>
      <w:tr>
        <w:trPr/>
        <w:tc>
          <w:tcPr>
            <w:tcW w:w="7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BurTech Class A common stock, outstanding prior to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10,816,995</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Sponsor forfeiture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w:t>
            </w:r>
          </w:p>
        </w:tc>
        <w:tc>
          <w:tcPr>
            <w:tcW w:w="17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BurTech Class A common stock subject to redemption, outstanding prior to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4,104,543</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Shareholder Note receivable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750,000</w:t>
            </w:r>
          </w:p>
        </w:tc>
        <w:tc>
          <w:tcPr>
            <w:tcW w:w="17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Redemption of BurTech Class A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(937,844</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BurTech Class A Shares 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non-redemption</w:t>
            </w:r>
          </w:p>
          <w:p>
            <w:pPr>
              <w:pStyle w:val="TableContents"/>
              <w:bidi w:val="0"/>
              <w:spacing w:before="0" w:after="0"/>
              <w:jc w:val="left"/>
              <w:rPr>
                <w:rFonts w:ascii="Times New Roman" w:hAnsi="Times New Roman"/>
                <w:sz w:val="20"/>
              </w:rPr>
            </w:pPr>
            <w:r>
              <w:rPr>
                <w:rFonts w:ascii="Times New Roman" w:hAnsi="Times New Roman"/>
                <w:sz w:val="20"/>
              </w:rPr>
              <w:t>escrow</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(2,854,242</w:t>
            </w:r>
          </w:p>
        </w:tc>
        <w:tc>
          <w:tcPr>
            <w:tcW w:w="17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A common stock of BurTech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9,879,452</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PIPE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1,529,500</w:t>
            </w:r>
          </w:p>
        </w:tc>
        <w:tc>
          <w:tcPr>
            <w:tcW w:w="17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BurTech Class B common stock, outstanding prior to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Merger and PIPE financing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11,408,957</w:t>
            </w:r>
          </w:p>
        </w:tc>
        <w:tc>
          <w:tcPr>
            <w:tcW w:w="17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Legacy Blaize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87,314,968</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to advisors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94,949</w:t>
            </w:r>
          </w:p>
        </w:tc>
        <w:tc>
          <w:tcPr>
            <w:tcW w:w="17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immediately after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98,818,874</w:t>
            </w:r>
          </w:p>
        </w:tc>
        <w:tc>
          <w:tcPr>
            <w:tcW w:w="170" w:type="dxa"/>
            <w:tcBorders/>
            <w:shd w:fill="CCEEFF" w:val="cle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number of Legacy Blaize shares was determined as follows: </w:t>
      </w:r>
    </w:p>
    <w:p>
      <w:pPr>
        <w:pStyle w:val="TextBody"/>
        <w:bidi w:val="0"/>
        <w:spacing w:before="0" w:after="0"/>
        <w:jc w:val="left"/>
        <w:rPr>
          <w:spacing w:val="0"/>
        </w:rPr>
      </w:pPr>
      <w:r>
        <w:rPr>
          <w:spacing w:val="0"/>
        </w:rPr>
        <w:t> </w:t>
      </w:r>
    </w:p>
    <w:tbl>
      <w:tblPr>
        <w:tblW w:w="7620" w:type="dxa"/>
        <w:jc w:val="left"/>
        <w:tblInd w:w="0" w:type="dxa"/>
        <w:tblLayout w:type="fixed"/>
        <w:tblCellMar>
          <w:top w:w="0" w:type="dxa"/>
          <w:left w:w="0" w:type="dxa"/>
          <w:bottom w:w="0" w:type="dxa"/>
          <w:right w:w="0" w:type="dxa"/>
        </w:tblCellMar>
      </w:tblPr>
      <w:tblGrid>
        <w:gridCol w:w="4385"/>
        <w:gridCol w:w="120"/>
        <w:gridCol w:w="67"/>
        <w:gridCol w:w="1363"/>
        <w:gridCol w:w="60"/>
        <w:gridCol w:w="120"/>
        <w:gridCol w:w="73"/>
        <w:gridCol w:w="1357"/>
        <w:gridCol w:w="75"/>
      </w:tblGrid>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Legacy Blaize</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Legacy Blaize</w:t>
            </w:r>
          </w:p>
          <w:p>
            <w:pPr>
              <w:pStyle w:val="TableContents"/>
              <w:bidi w:val="0"/>
              <w:spacing w:before="0" w:after="0"/>
              <w:jc w:val="center"/>
              <w:rPr/>
            </w:pPr>
            <w:r>
              <w:rPr/>
            </w:r>
          </w:p>
          <w:p>
            <w:pPr>
              <w:pStyle w:val="TableContents"/>
              <w:bidi w:val="0"/>
              <w:spacing w:before="0" w:after="0"/>
              <w:jc w:val="center"/>
              <w:rPr>
                <w:b/>
                <w:spacing w:val="0"/>
              </w:rPr>
            </w:pPr>
            <w:r>
              <w:rPr>
                <w:b/>
                <w:spacing w:val="0"/>
              </w:rPr>
              <w:t>Shares After</w:t>
            </w:r>
          </w:p>
          <w:p>
            <w:pPr>
              <w:pStyle w:val="TableContents"/>
              <w:bidi w:val="0"/>
              <w:spacing w:before="0" w:after="0"/>
              <w:jc w:val="center"/>
              <w:rPr/>
            </w:pPr>
            <w:r>
              <w:rPr/>
            </w:r>
          </w:p>
          <w:p>
            <w:pPr>
              <w:pStyle w:val="TableContents"/>
              <w:bidi w:val="0"/>
              <w:spacing w:before="0" w:after="0"/>
              <w:jc w:val="center"/>
              <w:rPr>
                <w:b/>
                <w:spacing w:val="0"/>
              </w:rPr>
            </w:pPr>
            <w:r>
              <w:rPr>
                <w:b/>
                <w:spacing w:val="0"/>
              </w:rPr>
              <w:t>Conversion</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17,518,791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13,663,527</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redeemable convertible preferred stock</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44,506,781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34,712,525</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convertible notes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40,302,382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31,433,259</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exercise of warrants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9,623,432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7,505,657</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immediately after the Merger</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111,951,386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87,314,968</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Earnout Arrangement with holders of Legacy Blaize Common Stock and outstanding equity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 Company’s common stock price is greater than or equal to $12.50 per share, 3,750,000 Earnout Shares will be issued;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 Company’s common stock price is greater than or equal to $15.00 per share, an additional 3,750,000 Earnout Shares will be issued;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 Company’s common stock price is greater than or equal to $17.50 per share, an additional 3,750,000 Earnout Shares will be issued;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 Company’s common stock price is greater than or equal to $20.00 per share, an additional 3,750,000 Earnout Shares will be issued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Company employees entitled to receive Earnout Shares with respect to Blaize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estimated fair value of the Earnout Shares subject to ASC 718 was $82.9 million, assuming the service conditions were met and assuming no forfeitures. The vested amounts of $3.5 million for the three months ended March 31, 2025 were recorded as stock-based compensation expense as it was probable the market condition would be met. There were 37,090 shares forfeited during the three months ended March 31, 2025, which have been reallocated to the remaining employees. The reallocated shares are considered a forfeiture of the original award and grant of a new award. The new awards have been remeasured upon grant and have an estimated fair value of $33 thousand.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Additionally, Burkhan has the right to receive up to an aggregate amount of 2,600,000 shares of Blaize Class A Common Stock, 650,000 following the occurrence of each triggering event stated above (the “Burkhan Earnout Shares”). The fair value of the Burkhan Earnout Shares are also valued using the Monte Carlo simulation model.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Note 4. Revenue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Disaggregation of Revenue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presents the Company’s revenue information by customer geographical region: </w:t>
      </w:r>
    </w:p>
    <w:p>
      <w:pPr>
        <w:pStyle w:val="TextBody"/>
        <w:bidi w:val="0"/>
        <w:spacing w:before="0" w:after="0"/>
        <w:jc w:val="left"/>
        <w:rPr>
          <w:spacing w:val="0"/>
        </w:rPr>
      </w:pPr>
      <w:r>
        <w:rPr>
          <w:spacing w:val="0"/>
        </w:rPr>
        <w:t> </w:t>
      </w:r>
    </w:p>
    <w:tbl>
      <w:tblPr>
        <w:tblW w:w="4795" w:type="dxa"/>
        <w:jc w:val="left"/>
        <w:tblInd w:w="0" w:type="dxa"/>
        <w:tblLayout w:type="fixed"/>
        <w:tblCellMar>
          <w:top w:w="0" w:type="dxa"/>
          <w:left w:w="0" w:type="dxa"/>
          <w:bottom w:w="0" w:type="dxa"/>
          <w:right w:w="0" w:type="dxa"/>
        </w:tblCellMar>
      </w:tblPr>
      <w:tblGrid>
        <w:gridCol w:w="2390"/>
        <w:gridCol w:w="120"/>
        <w:gridCol w:w="221"/>
        <w:gridCol w:w="884"/>
        <w:gridCol w:w="94"/>
        <w:gridCol w:w="189"/>
        <w:gridCol w:w="221"/>
        <w:gridCol w:w="601"/>
        <w:gridCol w:w="75"/>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0"/>
              <w:jc w:val="center"/>
              <w:rPr>
                <w:b/>
                <w:spacing w:val="0"/>
              </w:rPr>
            </w:pPr>
            <w:r>
              <w:rPr>
                <w:b/>
                <w:spacing w:val="0"/>
              </w:rPr>
              <w:t>2025</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Asia Pacific</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960</w:t>
            </w:r>
          </w:p>
        </w:tc>
        <w:tc>
          <w:tcPr>
            <w:tcW w:w="9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01" w:type="dxa"/>
            <w:tcBorders/>
            <w:shd w:fill="CCEEFF" w:val="clear"/>
            <w:vAlign w:val="center"/>
          </w:tcPr>
          <w:p>
            <w:pPr>
              <w:pStyle w:val="TableContents"/>
              <w:bidi w:val="0"/>
              <w:spacing w:before="0" w:after="283"/>
              <w:jc w:val="right"/>
              <w:rPr/>
            </w:pPr>
            <w:r>
              <w:rPr/>
              <w:t>333</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215</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47</w:t>
            </w:r>
          </w:p>
        </w:tc>
        <w:tc>
          <w:tcPr>
            <w:tcW w:w="9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884" w:type="dxa"/>
            <w:tcBorders/>
            <w:vAlign w:val="center"/>
          </w:tcPr>
          <w:p>
            <w:pPr>
              <w:pStyle w:val="TableContents"/>
              <w:bidi w:val="0"/>
              <w:spacing w:before="0" w:after="283"/>
              <w:jc w:val="right"/>
              <w:rPr/>
            </w:pPr>
            <w:r>
              <w:rPr/>
              <w:t>1,007</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right"/>
              <w:rPr/>
            </w:pPr>
            <w:r>
              <w:rPr/>
              <w:t>549</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provides a disaggregation of revenue based on the method of revenue recognition: </w:t>
      </w:r>
    </w:p>
    <w:p>
      <w:pPr>
        <w:pStyle w:val="TextBody"/>
        <w:bidi w:val="0"/>
        <w:spacing w:before="0" w:after="0"/>
        <w:jc w:val="left"/>
        <w:rPr>
          <w:spacing w:val="0"/>
        </w:rPr>
      </w:pPr>
      <w:r>
        <w:rPr>
          <w:spacing w:val="0"/>
        </w:rPr>
        <w:t> </w:t>
      </w:r>
    </w:p>
    <w:tbl>
      <w:tblPr>
        <w:tblW w:w="5530" w:type="dxa"/>
        <w:jc w:val="left"/>
        <w:tblInd w:w="0" w:type="dxa"/>
        <w:tblLayout w:type="fixed"/>
        <w:tblCellMar>
          <w:top w:w="0" w:type="dxa"/>
          <w:left w:w="0" w:type="dxa"/>
          <w:bottom w:w="0" w:type="dxa"/>
          <w:right w:w="0" w:type="dxa"/>
        </w:tblCellMar>
      </w:tblPr>
      <w:tblGrid>
        <w:gridCol w:w="3125"/>
        <w:gridCol w:w="120"/>
        <w:gridCol w:w="221"/>
        <w:gridCol w:w="884"/>
        <w:gridCol w:w="94"/>
        <w:gridCol w:w="189"/>
        <w:gridCol w:w="221"/>
        <w:gridCol w:w="601"/>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0"/>
              <w:jc w:val="center"/>
              <w:rPr>
                <w:b/>
                <w:spacing w:val="0"/>
              </w:rPr>
            </w:pPr>
            <w:r>
              <w:rPr>
                <w:b/>
                <w:spacing w:val="0"/>
              </w:rPr>
              <w:t>2025</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recognized at a point in time</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1,007</w:t>
            </w:r>
          </w:p>
        </w:tc>
        <w:tc>
          <w:tcPr>
            <w:tcW w:w="9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01"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recognized over time</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546</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1,007</w:t>
            </w:r>
          </w:p>
        </w:tc>
        <w:tc>
          <w:tcPr>
            <w:tcW w:w="9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01" w:type="dxa"/>
            <w:tcBorders/>
            <w:shd w:fill="CCEEFF" w:val="clear"/>
            <w:vAlign w:val="center"/>
          </w:tcPr>
          <w:p>
            <w:pPr>
              <w:pStyle w:val="TableContents"/>
              <w:bidi w:val="0"/>
              <w:spacing w:before="0" w:after="283"/>
              <w:jc w:val="right"/>
              <w:rPr/>
            </w:pPr>
            <w:r>
              <w:rPr/>
              <w:t>549</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5. Fair Value Measurements </w:t>
      </w:r>
    </w:p>
    <w:p>
      <w:pPr>
        <w:pStyle w:val="TextBody"/>
        <w:bidi w:val="0"/>
        <w:spacing w:before="120" w:after="0"/>
        <w:jc w:val="left"/>
        <w:rPr>
          <w:rFonts w:ascii="Times New Roman" w:hAnsi="Times New Roman"/>
          <w:sz w:val="20"/>
        </w:rPr>
      </w:pPr>
      <w:r>
        <w:rPr>
          <w:rFonts w:ascii="Times New Roman" w:hAnsi="Times New Roman"/>
          <w:sz w:val="20"/>
        </w:rPr>
        <w:t>The table below presents the Company’s financial assets and liabilities measured at fair value on a recurring basis aggregated by the level in the fair value hierarchy</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w:t>
      </w:r>
    </w:p>
    <w:p>
      <w:pPr>
        <w:pStyle w:val="TextBody"/>
        <w:bidi w:val="0"/>
        <w:spacing w:before="0" w:after="0"/>
        <w:jc w:val="left"/>
        <w:rPr>
          <w:spacing w:val="0"/>
        </w:rPr>
      </w:pPr>
      <w:r>
        <w:rPr>
          <w:spacing w:val="0"/>
        </w:rPr>
        <w:t> </w:t>
      </w:r>
    </w:p>
    <w:tbl>
      <w:tblPr>
        <w:tblW w:w="7040" w:type="dxa"/>
        <w:jc w:val="left"/>
        <w:tblInd w:w="0" w:type="dxa"/>
        <w:tblLayout w:type="fixed"/>
        <w:tblCellMar>
          <w:top w:w="0" w:type="dxa"/>
          <w:left w:w="0" w:type="dxa"/>
          <w:bottom w:w="0" w:type="dxa"/>
          <w:right w:w="0" w:type="dxa"/>
        </w:tblCellMar>
      </w:tblPr>
      <w:tblGrid>
        <w:gridCol w:w="3155"/>
        <w:gridCol w:w="120"/>
        <w:gridCol w:w="140"/>
        <w:gridCol w:w="680"/>
        <w:gridCol w:w="60"/>
        <w:gridCol w:w="120"/>
        <w:gridCol w:w="264"/>
        <w:gridCol w:w="491"/>
        <w:gridCol w:w="60"/>
        <w:gridCol w:w="120"/>
        <w:gridCol w:w="151"/>
        <w:gridCol w:w="604"/>
        <w:gridCol w:w="60"/>
        <w:gridCol w:w="120"/>
        <w:gridCol w:w="140"/>
        <w:gridCol w:w="680"/>
        <w:gridCol w:w="7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vAlign w:val="center"/>
          </w:tcPr>
          <w:p>
            <w:pPr>
              <w:pStyle w:val="TableContents"/>
              <w:bidi w:val="0"/>
              <w:spacing w:before="0" w:after="0"/>
              <w:jc w:val="center"/>
              <w:rPr>
                <w:b/>
                <w:spacing w:val="0"/>
              </w:rPr>
            </w:pPr>
            <w:r>
              <w:rPr>
                <w:b/>
                <w:spacing w:val="0"/>
              </w:rPr>
              <w:t>As of March 31, 2025</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treasury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30,883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30,883</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5,336</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Mutual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5,120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 measured at fair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41,339</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Earnout share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9,507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9,507</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measured at fair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9,507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9,507</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6995" w:type="dxa"/>
        <w:jc w:val="left"/>
        <w:tblInd w:w="0" w:type="dxa"/>
        <w:tblLayout w:type="fixed"/>
        <w:tblCellMar>
          <w:top w:w="0" w:type="dxa"/>
          <w:left w:w="0" w:type="dxa"/>
          <w:bottom w:w="0" w:type="dxa"/>
          <w:right w:w="0" w:type="dxa"/>
        </w:tblCellMar>
      </w:tblPr>
      <w:tblGrid>
        <w:gridCol w:w="3110"/>
        <w:gridCol w:w="120"/>
        <w:gridCol w:w="140"/>
        <w:gridCol w:w="680"/>
        <w:gridCol w:w="60"/>
        <w:gridCol w:w="120"/>
        <w:gridCol w:w="264"/>
        <w:gridCol w:w="491"/>
        <w:gridCol w:w="60"/>
        <w:gridCol w:w="120"/>
        <w:gridCol w:w="264"/>
        <w:gridCol w:w="491"/>
        <w:gridCol w:w="60"/>
        <w:gridCol w:w="120"/>
        <w:gridCol w:w="140"/>
        <w:gridCol w:w="680"/>
        <w:gridCol w:w="75"/>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vAlign w:val="center"/>
          </w:tcPr>
          <w:p>
            <w:pPr>
              <w:pStyle w:val="TableContents"/>
              <w:bidi w:val="0"/>
              <w:spacing w:before="0" w:after="0"/>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treasury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30,580</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Government 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9,247</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Mutual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5,067</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 measured at fair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44,894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44,894</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tbl>
      <w:tblPr>
        <w:tblW w:w="7280" w:type="dxa"/>
        <w:jc w:val="left"/>
        <w:tblInd w:w="0" w:type="dxa"/>
        <w:tblLayout w:type="fixed"/>
        <w:tblCellMar>
          <w:top w:w="0" w:type="dxa"/>
          <w:left w:w="0" w:type="dxa"/>
          <w:bottom w:w="0" w:type="dxa"/>
          <w:right w:w="0" w:type="dxa"/>
        </w:tblCellMar>
      </w:tblPr>
      <w:tblGrid>
        <w:gridCol w:w="3155"/>
        <w:gridCol w:w="120"/>
        <w:gridCol w:w="264"/>
        <w:gridCol w:w="491"/>
        <w:gridCol w:w="60"/>
        <w:gridCol w:w="120"/>
        <w:gridCol w:w="264"/>
        <w:gridCol w:w="491"/>
        <w:gridCol w:w="60"/>
        <w:gridCol w:w="120"/>
        <w:gridCol w:w="140"/>
        <w:gridCol w:w="800"/>
        <w:gridCol w:w="60"/>
        <w:gridCol w:w="120"/>
        <w:gridCol w:w="140"/>
        <w:gridCol w:w="800"/>
        <w:gridCol w:w="7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15,942</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2023 convertible notes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132,687</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liabilities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14,711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measured at fair value</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163,340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163,340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Level 1 instruments consisted of U.S. Government treasury securities, U.S. Government money market funds, and mutual funds because they were valued using quoted prices in active markets and can be redeemed on any business days with an intermediary.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Level 3 instruments consisted of earnout share liabilities. The Company has elected to apply the fair value option to measure all historical convertible notes and warrant liabilities (see Notes 8 and 9) and current earnout shares due to the nature of their embedded features.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Changes in the fair value measurement of Level 3 liabilities related to unrealized gains (losses) resulting from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changes in the fair values of the Level 3 liabilities were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020"/>
        <w:gridCol w:w="120"/>
        <w:gridCol w:w="289"/>
        <w:gridCol w:w="1561"/>
        <w:gridCol w:w="155"/>
        <w:gridCol w:w="60"/>
        <w:gridCol w:w="242"/>
        <w:gridCol w:w="1518"/>
        <w:gridCol w:w="155"/>
        <w:gridCol w:w="60"/>
        <w:gridCol w:w="143"/>
        <w:gridCol w:w="777"/>
        <w:gridCol w:w="155"/>
        <w:gridCol w:w="60"/>
        <w:gridCol w:w="205"/>
        <w:gridCol w:w="1285"/>
        <w:gridCol w:w="155"/>
        <w:gridCol w:w="60"/>
        <w:gridCol w:w="140"/>
        <w:gridCol w:w="875"/>
        <w:gridCol w:w="170"/>
      </w:tblGrid>
      <w:tr>
        <w:trPr/>
        <w:tc>
          <w:tcPr>
            <w:tcW w:w="2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center"/>
              <w:rPr>
                <w:b/>
                <w:spacing w:val="0"/>
              </w:rPr>
            </w:pPr>
            <w:r>
              <w:rPr>
                <w:b/>
                <w:spacing w:val="0"/>
              </w:rPr>
              <w:t>Pay-to-Play</w:t>
            </w:r>
          </w:p>
          <w:p>
            <w:pPr>
              <w:pStyle w:val="TableContents"/>
              <w:bidi w:val="0"/>
              <w:spacing w:before="0" w:after="0"/>
              <w:jc w:val="center"/>
              <w:rPr>
                <w:b/>
                <w:spacing w:val="0"/>
              </w:rPr>
            </w:pPr>
            <w:r>
              <w:rPr>
                <w:b/>
                <w:spacing w:val="0"/>
              </w:rPr>
              <w:br/>
              <w:t>Convertible Notes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vAlign w:val="center"/>
          </w:tcPr>
          <w:p>
            <w:pPr>
              <w:pStyle w:val="TableContents"/>
              <w:bidi w:val="0"/>
              <w:spacing w:before="0" w:after="0"/>
              <w:jc w:val="center"/>
              <w:rPr>
                <w:b/>
                <w:spacing w:val="0"/>
              </w:rPr>
            </w:pPr>
            <w:r>
              <w:rPr>
                <w:b/>
                <w:spacing w:val="0"/>
              </w:rPr>
              <w:t>2023 Convertible</w:t>
              <w:br/>
              <w:t>Notes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Warrant</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spacing w:val="0"/>
              </w:rPr>
            </w:pPr>
            <w:r>
              <w:rPr>
                <w:b/>
                <w:spacing w:val="0"/>
              </w:rPr>
              <w:t>Earnout share</w:t>
              <w:br/>
              <w:t>liabilities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2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1561" w:type="dxa"/>
            <w:tcBorders/>
            <w:shd w:fill="CCEEFF" w:val="clear"/>
            <w:vAlign w:val="center"/>
          </w:tcPr>
          <w:p>
            <w:pPr>
              <w:pStyle w:val="TableContents"/>
              <w:bidi w:val="0"/>
              <w:spacing w:before="0" w:after="283"/>
              <w:jc w:val="right"/>
              <w:rPr/>
            </w:pPr>
            <w:r>
              <w:rPr/>
              <w:t>15,942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132,687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14,711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163,340</w:t>
            </w:r>
          </w:p>
        </w:tc>
        <w:tc>
          <w:tcPr>
            <w:tcW w:w="170" w:type="dxa"/>
            <w:tcBorders/>
            <w:shd w:fill="CCEEFF" w:val="clear"/>
            <w:vAlign w:val="center"/>
          </w:tcPr>
          <w:p>
            <w:pPr>
              <w:pStyle w:val="TableContents"/>
              <w:bidi w:val="0"/>
              <w:spacing w:before="0" w:after="283"/>
              <w:jc w:val="left"/>
              <w:rPr/>
            </w:pPr>
            <w:r>
              <w:rPr/>
              <w:t> </w:t>
            </w:r>
          </w:p>
        </w:tc>
      </w:tr>
      <w:tr>
        <w:trPr/>
        <w:tc>
          <w:tcPr>
            <w:tcW w:w="2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earnout share awards</w:t>
            </w:r>
          </w:p>
        </w:tc>
        <w:tc>
          <w:tcPr>
            <w:tcW w:w="12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126,025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126,025</w:t>
            </w:r>
          </w:p>
        </w:tc>
        <w:tc>
          <w:tcPr>
            <w:tcW w:w="170" w:type="dxa"/>
            <w:tcBorders/>
            <w:vAlign w:val="center"/>
          </w:tcPr>
          <w:p>
            <w:pPr>
              <w:pStyle w:val="TableContents"/>
              <w:bidi w:val="0"/>
              <w:spacing w:before="0" w:after="283"/>
              <w:jc w:val="left"/>
              <w:rPr/>
            </w:pPr>
            <w:r>
              <w:rPr/>
              <w:t> </w:t>
            </w:r>
          </w:p>
        </w:tc>
      </w:tr>
      <w:tr>
        <w:trPr/>
        <w:tc>
          <w:tcPr>
            <w:tcW w:w="2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estimated fair value</w:t>
            </w:r>
          </w:p>
        </w:tc>
        <w:tc>
          <w:tcPr>
            <w:tcW w:w="12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right"/>
              <w:rPr/>
            </w:pPr>
            <w:r>
              <w:rPr/>
              <w:t>27,232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138,471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60,345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(116,518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109,530</w:t>
            </w:r>
          </w:p>
        </w:tc>
        <w:tc>
          <w:tcPr>
            <w:tcW w:w="170" w:type="dxa"/>
            <w:tcBorders/>
            <w:shd w:fill="CCEEFF" w:val="clear"/>
            <w:vAlign w:val="center"/>
          </w:tcPr>
          <w:p>
            <w:pPr>
              <w:pStyle w:val="TableContents"/>
              <w:bidi w:val="0"/>
              <w:spacing w:before="0" w:after="283"/>
              <w:jc w:val="left"/>
              <w:rPr/>
            </w:pPr>
            <w:r>
              <w:rPr/>
              <w:t> </w:t>
            </w:r>
          </w:p>
        </w:tc>
      </w:tr>
      <w:tr>
        <w:trPr/>
        <w:tc>
          <w:tcPr>
            <w:tcW w:w="2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to common stock</w:t>
            </w:r>
          </w:p>
        </w:tc>
        <w:tc>
          <w:tcPr>
            <w:tcW w:w="12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right"/>
              <w:rPr/>
            </w:pPr>
            <w:r>
              <w:rPr/>
              <w:t>(43,174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(271,158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(75,056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(389,388</w:t>
            </w:r>
          </w:p>
        </w:tc>
        <w:tc>
          <w:tcPr>
            <w:tcW w:w="170" w:type="dxa"/>
            <w:tcBorders/>
            <w:vAlign w:val="center"/>
          </w:tcPr>
          <w:p>
            <w:pPr>
              <w:pStyle w:val="TableContents"/>
              <w:bidi w:val="0"/>
              <w:spacing w:before="0" w:after="283"/>
              <w:jc w:val="left"/>
              <w:rPr/>
            </w:pPr>
            <w:r>
              <w:rPr/>
              <w:t>) </w:t>
            </w:r>
          </w:p>
        </w:tc>
      </w:tr>
      <w:tr>
        <w:trPr/>
        <w:tc>
          <w:tcPr>
            <w:tcW w:w="2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March 31, 2025</w:t>
            </w:r>
          </w:p>
        </w:tc>
        <w:tc>
          <w:tcPr>
            <w:tcW w:w="12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156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9,507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9,507</w:t>
            </w:r>
          </w:p>
        </w:tc>
        <w:tc>
          <w:tcPr>
            <w:tcW w:w="170" w:type="dxa"/>
            <w:tcBorders/>
            <w:shd w:fill="CCEEFF" w:val="clear"/>
            <w:vAlign w:val="center"/>
          </w:tcPr>
          <w:p>
            <w:pPr>
              <w:pStyle w:val="TableContents"/>
              <w:bidi w:val="0"/>
              <w:spacing w:before="0" w:after="283"/>
              <w:jc w:val="left"/>
              <w:rPr/>
            </w:pPr>
            <w:r>
              <w:rPr/>
              <w:t> </w:t>
            </w:r>
          </w:p>
        </w:tc>
      </w:tr>
      <w:tr>
        <w:trPr/>
        <w:tc>
          <w:tcPr>
            <w:tcW w:w="2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170"/>
        <w:gridCol w:w="120"/>
        <w:gridCol w:w="315"/>
        <w:gridCol w:w="1535"/>
        <w:gridCol w:w="155"/>
        <w:gridCol w:w="60"/>
        <w:gridCol w:w="226"/>
        <w:gridCol w:w="1534"/>
        <w:gridCol w:w="60"/>
        <w:gridCol w:w="120"/>
        <w:gridCol w:w="140"/>
        <w:gridCol w:w="830"/>
        <w:gridCol w:w="60"/>
        <w:gridCol w:w="120"/>
        <w:gridCol w:w="521"/>
        <w:gridCol w:w="969"/>
        <w:gridCol w:w="60"/>
        <w:gridCol w:w="120"/>
        <w:gridCol w:w="140"/>
        <w:gridCol w:w="875"/>
        <w:gridCol w:w="75"/>
      </w:tblGrid>
      <w:tr>
        <w:trPr/>
        <w:tc>
          <w:tcPr>
            <w:tcW w:w="2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center"/>
              <w:rPr>
                <w:b/>
                <w:spacing w:val="0"/>
              </w:rPr>
            </w:pPr>
            <w:r>
              <w:rPr>
                <w:b/>
                <w:spacing w:val="0"/>
              </w:rPr>
              <w:t>Pay-to-Play</w:t>
            </w:r>
          </w:p>
          <w:p>
            <w:pPr>
              <w:pStyle w:val="TableContents"/>
              <w:bidi w:val="0"/>
              <w:spacing w:before="0" w:after="0"/>
              <w:jc w:val="center"/>
              <w:rPr>
                <w:b/>
                <w:spacing w:val="0"/>
              </w:rPr>
            </w:pPr>
            <w:r>
              <w:rPr>
                <w:b/>
                <w:spacing w:val="0"/>
              </w:rPr>
              <w:br/>
              <w:t>Convertible Notes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vAlign w:val="center"/>
          </w:tcPr>
          <w:p>
            <w:pPr>
              <w:pStyle w:val="TableContents"/>
              <w:bidi w:val="0"/>
              <w:spacing w:before="0" w:after="0"/>
              <w:jc w:val="center"/>
              <w:rPr>
                <w:b/>
                <w:spacing w:val="0"/>
              </w:rPr>
            </w:pPr>
            <w:r>
              <w:rPr>
                <w:b/>
                <w:spacing w:val="0"/>
              </w:rPr>
              <w:t>2023 Convertible</w:t>
              <w:b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0"/>
              <w:jc w:val="center"/>
              <w:rPr>
                <w:b/>
                <w:spacing w:val="0"/>
              </w:rPr>
            </w:pPr>
            <w:r>
              <w:rPr>
                <w:b/>
                <w:spacing w:val="0"/>
              </w:rPr>
              <w:t>Warrant</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spacing w:val="0"/>
              </w:rPr>
            </w:pPr>
            <w:r>
              <w:rPr>
                <w:b/>
                <w:spacing w:val="0"/>
              </w:rPr>
              <w:t>Earnout share</w:t>
              <w:br/>
              <w:t>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14,641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18,064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   </w:t>
            </w:r>
            <w:r>
              <w:rPr/>
              <w:t>3,730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36,435</w:t>
            </w:r>
          </w:p>
        </w:tc>
        <w:tc>
          <w:tcPr>
            <w:tcW w:w="75" w:type="dxa"/>
            <w:tcBorders/>
            <w:shd w:fill="CCEEFF" w:val="clear"/>
            <w:vAlign w:val="center"/>
          </w:tcPr>
          <w:p>
            <w:pPr>
              <w:pStyle w:val="TableContents"/>
              <w:bidi w:val="0"/>
              <w:spacing w:before="0" w:after="283"/>
              <w:jc w:val="left"/>
              <w:rPr/>
            </w:pPr>
            <w:r>
              <w:rPr/>
              <w:t> </w:t>
            </w:r>
          </w:p>
        </w:tc>
      </w:tr>
      <w:tr>
        <w:trPr/>
        <w:tc>
          <w:tcPr>
            <w:tcW w:w="2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2023 convertible notes and related warrants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534" w:type="dxa"/>
            <w:tcBorders/>
            <w:vAlign w:val="center"/>
          </w:tcPr>
          <w:p>
            <w:pPr>
              <w:pStyle w:val="TableContents"/>
              <w:bidi w:val="0"/>
              <w:spacing w:before="0" w:after="283"/>
              <w:jc w:val="right"/>
              <w:rPr/>
            </w:pPr>
            <w:r>
              <w:rPr/>
              <w:t>10,591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11,500</w:t>
            </w:r>
          </w:p>
        </w:tc>
        <w:tc>
          <w:tcPr>
            <w:tcW w:w="75" w:type="dxa"/>
            <w:tcBorders/>
            <w:vAlign w:val="center"/>
          </w:tcPr>
          <w:p>
            <w:pPr>
              <w:pStyle w:val="TableContents"/>
              <w:bidi w:val="0"/>
              <w:spacing w:before="0" w:after="283"/>
              <w:jc w:val="left"/>
              <w:rPr/>
            </w:pPr>
            <w:r>
              <w:rPr/>
              <w:t> </w:t>
            </w:r>
          </w:p>
        </w:tc>
      </w:tr>
      <w:tr>
        <w:trPr/>
        <w:tc>
          <w:tcPr>
            <w:tcW w:w="2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estimated fair value</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283"/>
              <w:jc w:val="right"/>
              <w:rPr/>
            </w:pPr>
            <w:r>
              <w:rPr/>
              <w:t>4,743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8,166</w:t>
            </w:r>
          </w:p>
        </w:tc>
        <w:tc>
          <w:tcPr>
            <w:tcW w:w="75" w:type="dxa"/>
            <w:tcBorders/>
            <w:shd w:fill="CCEEFF" w:val="clear"/>
            <w:vAlign w:val="center"/>
          </w:tcPr>
          <w:p>
            <w:pPr>
              <w:pStyle w:val="TableContents"/>
              <w:bidi w:val="0"/>
              <w:spacing w:before="0" w:after="283"/>
              <w:jc w:val="left"/>
              <w:rPr/>
            </w:pPr>
            <w:r>
              <w:rPr/>
              <w:t> </w:t>
            </w:r>
          </w:p>
        </w:tc>
      </w:tr>
      <w:tr>
        <w:trPr/>
        <w:tc>
          <w:tcPr>
            <w:tcW w:w="2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March 31, 2024</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14,549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534" w:type="dxa"/>
            <w:tcBorders/>
            <w:vAlign w:val="center"/>
          </w:tcPr>
          <w:p>
            <w:pPr>
              <w:pStyle w:val="TableContents"/>
              <w:bidi w:val="0"/>
              <w:spacing w:before="0" w:after="283"/>
              <w:jc w:val="right"/>
              <w:rPr/>
            </w:pPr>
            <w:r>
              <w:rPr/>
              <w:t>   </w:t>
            </w:r>
            <w:r>
              <w:rPr/>
              <w:t>33,398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8,154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9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r>
              <w:rPr/>
              <w:t>56,101</w:t>
            </w:r>
          </w:p>
        </w:tc>
        <w:tc>
          <w:tcPr>
            <w:tcW w:w="75" w:type="dxa"/>
            <w:tcBorders/>
            <w:vAlign w:val="center"/>
          </w:tcPr>
          <w:p>
            <w:pPr>
              <w:pStyle w:val="TableContents"/>
              <w:bidi w:val="0"/>
              <w:spacing w:before="0" w:after="283"/>
              <w:jc w:val="left"/>
              <w:rPr/>
            </w:pPr>
            <w:r>
              <w:rPr/>
              <w:t> </w:t>
            </w:r>
          </w:p>
        </w:tc>
      </w:tr>
      <w:tr>
        <w:trPr/>
        <w:tc>
          <w:tcPr>
            <w:tcW w:w="2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convertible notes and related warrants outstanding as of December 31, 2024 were classified within level 3 of the fair value hierarchy because there was no active market for the liabilities or similar instruments.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There were no transfers between Level 1, Level 2, or Level 3 of the fair value hierarchy during the three months ended March 31, 2025 or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all then outstanding convertible notes and warrant liabilities were converted into shares of common stock (see Note 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6. Inventories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Inventories consist of the following: </w:t>
      </w:r>
    </w:p>
    <w:p>
      <w:pPr>
        <w:pStyle w:val="TextBody"/>
        <w:bidi w:val="0"/>
        <w:spacing w:before="0" w:after="0"/>
        <w:jc w:val="left"/>
        <w:rPr>
          <w:spacing w:val="0"/>
        </w:rPr>
      </w:pPr>
      <w:r>
        <w:rPr>
          <w:spacing w:val="0"/>
        </w:rPr>
        <w:t> </w:t>
      </w:r>
    </w:p>
    <w:tbl>
      <w:tblPr>
        <w:tblW w:w="6420" w:type="dxa"/>
        <w:jc w:val="left"/>
        <w:tblInd w:w="0" w:type="dxa"/>
        <w:tblLayout w:type="fixed"/>
        <w:tblCellMar>
          <w:top w:w="0" w:type="dxa"/>
          <w:left w:w="0" w:type="dxa"/>
          <w:bottom w:w="0" w:type="dxa"/>
          <w:right w:w="0" w:type="dxa"/>
        </w:tblCellMar>
      </w:tblPr>
      <w:tblGrid>
        <w:gridCol w:w="2390"/>
        <w:gridCol w:w="120"/>
        <w:gridCol w:w="331"/>
        <w:gridCol w:w="1324"/>
        <w:gridCol w:w="60"/>
        <w:gridCol w:w="120"/>
        <w:gridCol w:w="400"/>
        <w:gridCol w:w="1600"/>
        <w:gridCol w:w="75"/>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0"/>
              <w:jc w:val="center"/>
              <w:rPr>
                <w:b/>
                <w:spacing w:val="0"/>
              </w:rPr>
            </w:pPr>
            <w:r>
              <w:rPr>
                <w:b/>
                <w:spacing w:val="0"/>
              </w:rPr>
              <w:t>As of 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Raw materials</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7,576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600" w:type="dxa"/>
            <w:tcBorders/>
            <w:shd w:fill="CCEEFF" w:val="clear"/>
            <w:vAlign w:val="center"/>
          </w:tcPr>
          <w:p>
            <w:pPr>
              <w:pStyle w:val="TableContents"/>
              <w:bidi w:val="0"/>
              <w:spacing w:before="0" w:after="283"/>
              <w:jc w:val="right"/>
              <w:rPr/>
            </w:pPr>
            <w:r>
              <w:rPr/>
              <w:t>7,410</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Work in progress</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600" w:type="dxa"/>
            <w:tcBorders/>
            <w:vAlign w:val="center"/>
          </w:tcPr>
          <w:p>
            <w:pPr>
              <w:pStyle w:val="TableContents"/>
              <w:bidi w:val="0"/>
              <w:spacing w:before="0" w:after="283"/>
              <w:jc w:val="right"/>
              <w:rPr/>
            </w:pPr>
            <w:r>
              <w:rPr/>
              <w:t>1,064</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Finished goods</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600" w:type="dxa"/>
            <w:tcBorders/>
            <w:shd w:fill="CCEEFF" w:val="clear"/>
            <w:vAlign w:val="center"/>
          </w:tcPr>
          <w:p>
            <w:pPr>
              <w:pStyle w:val="TableContents"/>
              <w:bidi w:val="0"/>
              <w:spacing w:before="0" w:after="283"/>
              <w:jc w:val="right"/>
              <w:rPr/>
            </w:pPr>
            <w:r>
              <w:rPr/>
              <w:t>87</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inventories</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8,383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1600" w:type="dxa"/>
            <w:tcBorders/>
            <w:vAlign w:val="center"/>
          </w:tcPr>
          <w:p>
            <w:pPr>
              <w:pStyle w:val="TableContents"/>
              <w:bidi w:val="0"/>
              <w:spacing w:before="0" w:after="283"/>
              <w:jc w:val="right"/>
              <w:rPr/>
            </w:pPr>
            <w:r>
              <w:rPr/>
              <w:t>8,561</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7.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subject to United States federal and state taxes as well as other foreign income taxes.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March 31, 2025 and 2024, the Company recorded a provision for income taxes of $0.2 million, which represented an effective tax rate of (0.1)% and (1.4)%, respectively. The effective income tax rates for both the three months ended March 31, 2025 and 2024 are different from the U.S. federal statutory rate of 21.0% due to the valuation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allowance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8. Convertible Notes and Demand Notes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Pay-to-Play</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Company’s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120" w:after="0"/>
        <w:jc w:val="left"/>
        <w:rPr>
          <w:rFonts w:ascii="Times New Roman" w:hAnsi="Times New Roman"/>
          <w:sz w:val="20"/>
        </w:rPr>
      </w:pPr>
      <w:r>
        <w:rPr>
          <w:rFonts w:ascii="Times New Roman" w:hAnsi="Times New Roman"/>
          <w:sz w:val="20"/>
        </w:rPr>
        <w:t xml:space="preserve">(“P2P”)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24-month</w:t>
      </w:r>
    </w:p>
    <w:p>
      <w:pPr>
        <w:pStyle w:val="TextBody"/>
        <w:bidi w:val="0"/>
        <w:spacing w:before="120" w:after="0"/>
        <w:jc w:val="left"/>
        <w:rPr>
          <w:rFonts w:ascii="Times New Roman" w:hAnsi="Times New Roman"/>
          <w:sz w:val="20"/>
        </w:rPr>
      </w:pPr>
      <w:r>
        <w:rPr>
          <w:rFonts w:ascii="Times New Roman" w:hAnsi="Times New Roman"/>
          <w:sz w:val="20"/>
        </w:rPr>
        <w:t xml:space="preserve">term from the date of the 2022 P2P NPA which is December 9,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2022 P2P NPA provided that the P2P Notes would be converted upon the consummation of the Merger and that, at such time, all outstanding principal and unpaid accrued interest due on the P2P Notes shall be converted into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share portion of the Insider Amount. To the extent that an eligible existing investor purchases P2P Notes representing less than its pro rata portion of the Insider Amount, such investors converted common stock remain as converted common stock for that portion equal to the shortfall in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contribution. Additionally, investors in the P2P Notes also received warrants (the “P2P Warrants”) whose total exercise price is determined based on the timing of investment as well as the level of investor participation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vis-à-vis</w:t>
      </w:r>
    </w:p>
    <w:p>
      <w:pPr>
        <w:pStyle w:val="TextBody"/>
        <w:bidi w:val="0"/>
        <w:spacing w:before="240" w:after="0"/>
        <w:jc w:val="left"/>
        <w:rPr>
          <w:rFonts w:ascii="Times New Roman" w:hAnsi="Times New Roman"/>
          <w:sz w:val="20"/>
        </w:rPr>
      </w:pPr>
      <w:r>
        <w:rPr>
          <w:rFonts w:ascii="Times New Roman" w:hAnsi="Times New Roman"/>
          <w:sz w:val="20"/>
        </w:rPr>
        <w:t xml:space="preserve">each investor’s designated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portion.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as provided by the terms of the P2P notes, the outstanding P2P Notes were converted, at the discretion of the holders, to shares of common stock (see Note 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2023 Convertible Notes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the April 22, 2024 amendment, the convertible notes were subject to automatic conversion upon the consummation of a SPAC Transaction. Investors in these secured convertible notes also received warrants to purchase equity shares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financing of up to $125.0 million (the “Blaize Note Financing Agreement”). Under this separate agreement, the RT Parties and their transferees or distributes were not required to execute any </w:t>
      </w:r>
    </w:p>
    <w:p>
      <w:pPr>
        <w:pStyle w:val="TextBody"/>
        <w:bidi w:val="0"/>
        <w:spacing w:before="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0" w:after="0"/>
        <w:jc w:val="left"/>
        <w:rPr>
          <w:rFonts w:ascii="Times New Roman" w:hAnsi="Times New Roman"/>
          <w:sz w:val="20"/>
        </w:rPr>
      </w:pPr>
      <w:r>
        <w:rPr>
          <w:rFonts w:ascii="Times New Roman" w:hAnsi="Times New Roman"/>
          <w:sz w:val="20"/>
        </w:rPr>
        <w:t xml:space="preserve">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Upfront costs and fees related to items for which the fair value option is elected must be recognized immediately. As such issuance costs (warrants) and fees associated with the convertible notes were recognized in earnings in the years that they were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One investor who purchased a 2023 Convertible Note also received an RSU grant for a total of 6,000,000 RSUs (see Note 15) which vested in full in the year ended December 31,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Working Capital Loan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March 31, 2025 and December 31, 2024, the Company had outstanding Working Capital Loans of $1.5 million and zero,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Advances from Related Party </w:t>
      </w:r>
    </w:p>
    <w:p>
      <w:pPr>
        <w:pStyle w:val="TextBody"/>
        <w:bidi w:val="0"/>
        <w:spacing w:before="120" w:after="0"/>
        <w:jc w:val="left"/>
        <w:rPr>
          <w:rFonts w:ascii="Times New Roman" w:hAnsi="Times New Roman"/>
          <w:sz w:val="20"/>
        </w:rPr>
      </w:pPr>
      <w:r>
        <w:rPr>
          <w:rFonts w:ascii="Times New Roman" w:hAnsi="Times New Roman"/>
          <w:sz w:val="20"/>
        </w:rPr>
        <w:t xml:space="preserve">As of January 13, 2025, BurTech LP provided working capital and extension deposits on behalf of the BurTech. These amounts are reflected on the condensed consolidated balance sheets as advances from related party. The advances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non-interest</w:t>
      </w:r>
    </w:p>
    <w:p>
      <w:pPr>
        <w:pStyle w:val="TextBody"/>
        <w:bidi w:val="0"/>
        <w:spacing w:before="120" w:after="0"/>
        <w:jc w:val="left"/>
        <w:rPr>
          <w:rFonts w:ascii="Times New Roman" w:hAnsi="Times New Roman"/>
          <w:sz w:val="20"/>
        </w:rPr>
      </w:pPr>
      <w:r>
        <w:rPr>
          <w:rFonts w:ascii="Times New Roman" w:hAnsi="Times New Roman"/>
          <w:sz w:val="20"/>
        </w:rPr>
        <w:t xml:space="preserve">bearing and payable on demand. As of March 31, 2025 and December 31, 2024, the Company had outstanding advances from the related party in the amount of $2.9 million and zero,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9. Warrants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Warrant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connection with the Company’s various historical debt and equity financing arrangements, the Company issued convertible preferred stock warrants to purchase shares of its various series of convertible preferred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After the Private Warrants Conversion, the Private Warrants are indexed to the shares of Company’s common stock, and therefore were reclassified from debt classified instruments to equity classified instruments.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Publicly and Privately Traded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Upon the consummation of the Merger, BurTech’s 28,750,000 public warrants and 898,250 private warrants outstanding immediately prior to the Merger became warrants of Blaize.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may redeem the outstanding warrants: </w:t>
      </w:r>
    </w:p>
    <w:p>
      <w:pPr>
        <w:pStyle w:val="TextBody"/>
        <w:bidi w:val="0"/>
        <w:spacing w:before="0" w:after="0"/>
        <w:jc w:val="left"/>
        <w:rPr>
          <w:spacing w:val="0"/>
        </w:rPr>
      </w:pPr>
      <w:r>
        <w:rPr>
          <w:spacing w:val="0"/>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whole and not in part; </w:t>
            </w:r>
          </w:p>
        </w:tc>
      </w:tr>
    </w:tbl>
    <w:p>
      <w:pPr>
        <w:pStyle w:val="TextBody"/>
        <w:bidi w:val="0"/>
        <w:spacing w:before="0" w:after="0"/>
        <w:jc w:val="left"/>
        <w:rPr>
          <w:spacing w:val="0"/>
        </w:rPr>
      </w:pPr>
      <w:r>
        <w:rPr>
          <w:spacing w:val="0"/>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at a price of $0.01 per warrant; </w:t>
            </w:r>
          </w:p>
        </w:tc>
      </w:tr>
    </w:tbl>
    <w:p>
      <w:pPr>
        <w:pStyle w:val="TextBody"/>
        <w:bidi w:val="0"/>
        <w:spacing w:before="0" w:after="0"/>
        <w:jc w:val="left"/>
        <w:rPr>
          <w:spacing w:val="0"/>
        </w:rPr>
      </w:pPr>
      <w:r>
        <w:rPr>
          <w:spacing w:val="0"/>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warrants become exercisable (the </w:t>
            </w:r>
          </w:p>
          <w:p>
            <w:pPr>
              <w:pStyle w:val="TableContents"/>
              <w:bidi w:val="0"/>
              <w:spacing w:before="0" w:after="0"/>
              <w:jc w:val="left"/>
              <w:rPr>
                <w:spacing w:val="0"/>
              </w:rPr>
            </w:pPr>
            <w:r>
              <w:rPr>
                <w:spacing w:val="0"/>
              </w:rPr>
              <w:t>“</w:t>
            </w:r>
            <w:r>
              <w:rPr>
                <w:rFonts w:ascii="Times New Roman" w:hAnsi="Times New Roman"/>
                <w:spacing w:val="0"/>
                <w:sz w:val="20"/>
              </w:rPr>
              <w:t>30-day</w:t>
            </w:r>
          </w:p>
          <w:p>
            <w:pPr>
              <w:pStyle w:val="TableContents"/>
              <w:bidi w:val="0"/>
              <w:spacing w:before="0" w:after="0"/>
              <w:jc w:val="left"/>
              <w:rPr>
                <w:rFonts w:ascii="Times New Roman" w:hAnsi="Times New Roman"/>
                <w:sz w:val="20"/>
              </w:rPr>
            </w:pPr>
            <w:r>
              <w:rPr>
                <w:rFonts w:ascii="Times New Roman" w:hAnsi="Times New Roman"/>
                <w:sz w:val="20"/>
              </w:rPr>
              <w:t xml:space="preserve">redemption period”) to each warrant holder;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common stock equals or exceeds $18.00 per share (as adjusted for stock splits, stock dividends, reorganizations, recapitalizations and the like) for any 20 trading days within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30-trading</w:t>
            </w:r>
          </w:p>
          <w:p>
            <w:pPr>
              <w:pStyle w:val="TableContents"/>
              <w:bidi w:val="0"/>
              <w:spacing w:before="0" w:after="0"/>
              <w:jc w:val="left"/>
              <w:rPr>
                <w:rFonts w:ascii="Times New Roman" w:hAnsi="Times New Roman"/>
                <w:sz w:val="20"/>
              </w:rPr>
            </w:pPr>
            <w:r>
              <w:rPr>
                <w:rFonts w:ascii="Times New Roman" w:hAnsi="Times New Roman"/>
                <w:sz w:val="20"/>
              </w:rPr>
              <w:t xml:space="preserve">day period commencing once the warrants become exercisable and ending three business days before the Company sends the notice of redemption to the warrant holders;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and only if, there is a current registration statement in effect with respect to the shares of common stock underlying such warrants.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were will not be transferable, assignable or saleable until 30 days after the consummation of the Merger.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paid-in-capital.</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expense recognized during the three months ended March 31, 2025 was approximately $12 thousand.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assumptions used in the Black-Scholes option pricing model to fair value the common stock warrants were as follows: </w:t>
      </w:r>
    </w:p>
    <w:p>
      <w:pPr>
        <w:pStyle w:val="TextBody"/>
        <w:bidi w:val="0"/>
        <w:spacing w:before="0" w:after="0"/>
        <w:jc w:val="left"/>
        <w:rPr>
          <w:spacing w:val="0"/>
        </w:rPr>
      </w:pPr>
      <w:r>
        <w:rPr>
          <w:spacing w:val="0"/>
        </w:rPr>
        <w:t> </w:t>
      </w:r>
    </w:p>
    <w:tbl>
      <w:tblPr>
        <w:tblW w:w="6360" w:type="dxa"/>
        <w:jc w:val="left"/>
        <w:tblInd w:w="0" w:type="dxa"/>
        <w:tblLayout w:type="fixed"/>
        <w:tblCellMar>
          <w:top w:w="0" w:type="dxa"/>
          <w:left w:w="0" w:type="dxa"/>
          <w:bottom w:w="0" w:type="dxa"/>
          <w:right w:w="0" w:type="dxa"/>
        </w:tblCellMar>
      </w:tblPr>
      <w:tblGrid>
        <w:gridCol w:w="3755"/>
        <w:gridCol w:w="120"/>
        <w:gridCol w:w="529"/>
        <w:gridCol w:w="1666"/>
        <w:gridCol w:w="29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gridSpan w:val="2"/>
            <w:tcBorders/>
            <w:vAlign w:val="center"/>
          </w:tcPr>
          <w:p>
            <w:pPr>
              <w:pStyle w:val="TableContents"/>
              <w:bidi w:val="0"/>
              <w:spacing w:before="0" w:after="0"/>
              <w:jc w:val="center"/>
              <w:rPr>
                <w:b/>
                <w:spacing w:val="0"/>
              </w:rPr>
            </w:pPr>
            <w:r>
              <w:rPr>
                <w:b/>
                <w:spacing w:val="0"/>
              </w:rPr>
              <w:t>As of March 31, 2025</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rate</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4.3</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life (in years)</w:t>
            </w:r>
          </w:p>
        </w:tc>
        <w:tc>
          <w:tcPr>
            <w:tcW w:w="12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5.0</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60.0</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fair value of common stock</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w:t>
            </w:r>
          </w:p>
        </w:tc>
        <w:tc>
          <w:tcPr>
            <w:tcW w:w="1666" w:type="dxa"/>
            <w:tcBorders/>
            <w:shd w:fill="CCEEFF" w:val="clear"/>
            <w:vAlign w:val="center"/>
          </w:tcPr>
          <w:p>
            <w:pPr>
              <w:pStyle w:val="TableContents"/>
              <w:bidi w:val="0"/>
              <w:spacing w:before="0" w:after="283"/>
              <w:jc w:val="right"/>
              <w:rPr/>
            </w:pPr>
            <w:r>
              <w:rPr/>
              <w:t>3.34</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10.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components of the net lease cost reflected in the Company’s condensed consolidated statements of operations were as follows: </w:t>
      </w:r>
    </w:p>
    <w:p>
      <w:pPr>
        <w:pStyle w:val="TextBody"/>
        <w:bidi w:val="0"/>
        <w:spacing w:before="0" w:after="0"/>
        <w:jc w:val="left"/>
        <w:rPr>
          <w:spacing w:val="0"/>
        </w:rPr>
      </w:pPr>
      <w:r>
        <w:rPr>
          <w:spacing w:val="0"/>
        </w:rPr>
        <w:t> </w:t>
      </w:r>
    </w:p>
    <w:tbl>
      <w:tblPr>
        <w:tblW w:w="4795" w:type="dxa"/>
        <w:jc w:val="left"/>
        <w:tblInd w:w="0" w:type="dxa"/>
        <w:tblLayout w:type="fixed"/>
        <w:tblCellMar>
          <w:top w:w="0" w:type="dxa"/>
          <w:left w:w="0" w:type="dxa"/>
          <w:bottom w:w="0" w:type="dxa"/>
          <w:right w:w="0" w:type="dxa"/>
        </w:tblCellMar>
      </w:tblPr>
      <w:tblGrid>
        <w:gridCol w:w="2390"/>
        <w:gridCol w:w="120"/>
        <w:gridCol w:w="253"/>
        <w:gridCol w:w="688"/>
        <w:gridCol w:w="108"/>
        <w:gridCol w:w="217"/>
        <w:gridCol w:w="253"/>
        <w:gridCol w:w="691"/>
        <w:gridCol w:w="75"/>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941" w:type="dxa"/>
            <w:gridSpan w:val="2"/>
            <w:tcBorders/>
            <w:vAlign w:val="center"/>
          </w:tcPr>
          <w:p>
            <w:pPr>
              <w:pStyle w:val="TableContents"/>
              <w:bidi w:val="0"/>
              <w:spacing w:before="0" w:after="0"/>
              <w:jc w:val="center"/>
              <w:rPr>
                <w:b/>
                <w:spacing w:val="0"/>
              </w:rPr>
            </w:pPr>
            <w:r>
              <w:rPr>
                <w:b/>
                <w:spacing w:val="0"/>
              </w:rP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200</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204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costs</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205</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214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Company’s operating leases had a weighted average remaining lease term of 3.1 years and a weighted average discount rate related to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(“ROU”) assets and lease liabilities of 10.0%. As of December 31, 2024, the Company’s operating leases had a weighted average remaining lease term of 3.2 years and a weighted average discount rate related to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and lease liabilities of 9.9%. </w:t>
      </w:r>
    </w:p>
    <w:p>
      <w:pPr>
        <w:pStyle w:val="TextBody"/>
        <w:bidi w:val="0"/>
        <w:spacing w:before="0" w:after="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Supplemental information related to operating leases was as follows: </w:t>
      </w:r>
    </w:p>
    <w:p>
      <w:pPr>
        <w:pStyle w:val="TextBody"/>
        <w:bidi w:val="0"/>
        <w:spacing w:before="0" w:after="0"/>
        <w:jc w:val="left"/>
        <w:rPr>
          <w:spacing w:val="0"/>
        </w:rPr>
      </w:pPr>
      <w:r>
        <w:rPr>
          <w:spacing w:val="0"/>
        </w:rPr>
        <w:t> </w:t>
      </w:r>
    </w:p>
    <w:tbl>
      <w:tblPr>
        <w:tblW w:w="8950" w:type="dxa"/>
        <w:jc w:val="left"/>
        <w:tblInd w:w="0" w:type="dxa"/>
        <w:tblLayout w:type="fixed"/>
        <w:tblCellMar>
          <w:top w:w="0" w:type="dxa"/>
          <w:left w:w="0" w:type="dxa"/>
          <w:bottom w:w="0" w:type="dxa"/>
          <w:right w:w="0" w:type="dxa"/>
        </w:tblCellMar>
      </w:tblPr>
      <w:tblGrid>
        <w:gridCol w:w="6545"/>
        <w:gridCol w:w="120"/>
        <w:gridCol w:w="253"/>
        <w:gridCol w:w="688"/>
        <w:gridCol w:w="108"/>
        <w:gridCol w:w="217"/>
        <w:gridCol w:w="253"/>
        <w:gridCol w:w="691"/>
        <w:gridCol w:w="75"/>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941" w:type="dxa"/>
            <w:gridSpan w:val="2"/>
            <w:tcBorders/>
            <w:vAlign w:val="center"/>
          </w:tcPr>
          <w:p>
            <w:pPr>
              <w:pStyle w:val="TableContents"/>
              <w:bidi w:val="0"/>
              <w:spacing w:before="0" w:after="0"/>
              <w:jc w:val="center"/>
              <w:rPr>
                <w:b/>
                <w:spacing w:val="0"/>
              </w:rPr>
            </w:pPr>
            <w:r>
              <w:rPr>
                <w:b/>
                <w:spacing w:val="0"/>
              </w:rP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the measurement of operating lease liabilities</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202</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192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Future minimum lease payments under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are as follows: </w:t>
      </w:r>
    </w:p>
    <w:p>
      <w:pPr>
        <w:pStyle w:val="TextBody"/>
        <w:bidi w:val="0"/>
        <w:spacing w:before="0" w:after="0"/>
        <w:jc w:val="left"/>
        <w:rPr>
          <w:spacing w:val="0"/>
        </w:rPr>
      </w:pPr>
      <w:r>
        <w:rPr>
          <w:spacing w:val="0"/>
        </w:rPr>
        <w:t> </w:t>
      </w:r>
    </w:p>
    <w:tbl>
      <w:tblPr>
        <w:tblW w:w="6735" w:type="dxa"/>
        <w:jc w:val="left"/>
        <w:tblInd w:w="0" w:type="dxa"/>
        <w:tblLayout w:type="fixed"/>
        <w:tblCellMar>
          <w:top w:w="0" w:type="dxa"/>
          <w:left w:w="0" w:type="dxa"/>
          <w:bottom w:w="0" w:type="dxa"/>
          <w:right w:w="0" w:type="dxa"/>
        </w:tblCellMar>
      </w:tblPr>
      <w:tblGrid>
        <w:gridCol w:w="4250"/>
        <w:gridCol w:w="120"/>
        <w:gridCol w:w="439"/>
        <w:gridCol w:w="1756"/>
        <w:gridCol w:w="170"/>
      </w:tblGrid>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i/>
                <w:caps w:val="false"/>
                <w:smallCaps w:val="false"/>
                <w:spacing w:val="0"/>
              </w:rPr>
            </w:pPr>
            <w:r>
              <w:rPr>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2195" w:type="dxa"/>
            <w:gridSpan w:val="2"/>
            <w:tcBorders/>
            <w:vAlign w:val="center"/>
          </w:tcPr>
          <w:p>
            <w:pPr>
              <w:pStyle w:val="TableContents"/>
              <w:bidi w:val="0"/>
              <w:spacing w:before="0" w:after="0"/>
              <w:jc w:val="center"/>
              <w:rPr>
                <w:b/>
                <w:spacing w:val="0"/>
              </w:rPr>
            </w:pPr>
            <w:r>
              <w:rPr>
                <w:b/>
                <w:spacing w:val="0"/>
              </w:rPr>
              <w:t>As of March 31, 2025</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w:t>
            </w:r>
          </w:p>
        </w:tc>
        <w:tc>
          <w:tcPr>
            <w:tcW w:w="1756" w:type="dxa"/>
            <w:tcBorders/>
            <w:shd w:fill="CCEEFF" w:val="clear"/>
            <w:vAlign w:val="center"/>
          </w:tcPr>
          <w:p>
            <w:pPr>
              <w:pStyle w:val="TableContents"/>
              <w:bidi w:val="0"/>
              <w:spacing w:before="0" w:after="283"/>
              <w:jc w:val="right"/>
              <w:rPr/>
            </w:pPr>
            <w:r>
              <w:rPr/>
              <w:t>526</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756" w:type="dxa"/>
            <w:tcBorders/>
            <w:vAlign w:val="center"/>
          </w:tcPr>
          <w:p>
            <w:pPr>
              <w:pStyle w:val="TableContents"/>
              <w:bidi w:val="0"/>
              <w:spacing w:before="0" w:after="283"/>
              <w:jc w:val="right"/>
              <w:rPr/>
            </w:pPr>
            <w:r>
              <w:rPr/>
              <w:t>544</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431</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756" w:type="dxa"/>
            <w:tcBorders/>
            <w:vAlign w:val="center"/>
          </w:tcPr>
          <w:p>
            <w:pPr>
              <w:pStyle w:val="TableContents"/>
              <w:bidi w:val="0"/>
              <w:spacing w:before="0" w:after="283"/>
              <w:jc w:val="right"/>
              <w:rPr/>
            </w:pPr>
            <w:r>
              <w:rPr/>
              <w:t>366</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future lease payments</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756" w:type="dxa"/>
            <w:tcBorders/>
            <w:vAlign w:val="center"/>
          </w:tcPr>
          <w:p>
            <w:pPr>
              <w:pStyle w:val="TableContents"/>
              <w:bidi w:val="0"/>
              <w:spacing w:before="0" w:after="283"/>
              <w:jc w:val="right"/>
              <w:rPr/>
            </w:pPr>
            <w:r>
              <w:rPr/>
              <w:t>1,882</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(290</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Present value of net future minimum lease payments</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756" w:type="dxa"/>
            <w:tcBorders/>
            <w:vAlign w:val="center"/>
          </w:tcPr>
          <w:p>
            <w:pPr>
              <w:pStyle w:val="TableContents"/>
              <w:bidi w:val="0"/>
              <w:spacing w:before="0" w:after="283"/>
              <w:jc w:val="right"/>
              <w:rPr/>
            </w:pPr>
            <w:r>
              <w:rPr/>
              <w:t>1,592</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Operating lease liabilities, current</w:t>
            </w:r>
          </w:p>
        </w:tc>
        <w:tc>
          <w:tcPr>
            <w:tcW w:w="12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(542</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operating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before="0" w:after="283"/>
              <w:jc w:val="right"/>
              <w:rPr/>
            </w:pPr>
            <w:r>
              <w:rPr/>
              <w:t>1,050</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11. Redeemable Convertible Preferred Stock Prior to the Merger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consummation of the Merger, the redeemable convertible preferred stock that was outstanding at the time of the Merger was converted into shares of common stock (see Note 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12. Common Stock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March 31, 2025 and December 31, 2024, there were 600,000,000 and 136,562,809 shares of common stock authorized, respectively, and 98,818,874 and 48,376,052 shares issued and outstanding,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Common stock reserved for issuance is as follow: </w:t>
      </w:r>
    </w:p>
    <w:p>
      <w:pPr>
        <w:pStyle w:val="TextBody"/>
        <w:bidi w:val="0"/>
        <w:spacing w:before="0" w:after="0"/>
        <w:jc w:val="left"/>
        <w:rPr>
          <w:spacing w:val="0"/>
        </w:rPr>
      </w:pPr>
      <w:r>
        <w:rPr>
          <w:spacing w:val="0"/>
        </w:rPr>
        <w:t> </w:t>
      </w:r>
    </w:p>
    <w:tbl>
      <w:tblPr>
        <w:tblW w:w="8038" w:type="dxa"/>
        <w:jc w:val="left"/>
        <w:tblInd w:w="0" w:type="dxa"/>
        <w:tblLayout w:type="fixed"/>
        <w:tblCellMar>
          <w:top w:w="0" w:type="dxa"/>
          <w:left w:w="0" w:type="dxa"/>
          <w:bottom w:w="0" w:type="dxa"/>
          <w:right w:w="0" w:type="dxa"/>
        </w:tblCellMar>
      </w:tblPr>
      <w:tblGrid>
        <w:gridCol w:w="4010"/>
        <w:gridCol w:w="120"/>
        <w:gridCol w:w="85"/>
        <w:gridCol w:w="1569"/>
        <w:gridCol w:w="60"/>
        <w:gridCol w:w="120"/>
        <w:gridCol w:w="103"/>
        <w:gridCol w:w="1896"/>
        <w:gridCol w:w="75"/>
      </w:tblGrid>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0"/>
              <w:jc w:val="center"/>
              <w:rPr>
                <w:b/>
                <w:spacing w:val="0"/>
              </w:rPr>
            </w:pPr>
            <w:r>
              <w:rPr>
                <w:b/>
                <w:spacing w:val="0"/>
              </w:rPr>
              <w:t>As of 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Public warrants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28,750,000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Private warrants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right"/>
              <w:rPr/>
            </w:pPr>
            <w:r>
              <w:rPr/>
              <w:t>898,250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8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Earnout shares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right"/>
              <w:rPr/>
            </w:pPr>
            <w:r>
              <w:rPr/>
              <w:t>2,854,242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Incentive stock options and restricted stock units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29,192,959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31,991,752</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awards available for future issuance</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right"/>
              <w:rPr/>
            </w:pPr>
            <w:r>
              <w:rPr/>
              <w:t>23,942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pPr>
            <w:r>
              <w:rPr/>
              <w:t>1,736,686</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common stock reserved for issuance</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61,769,393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33,728,438</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periods prior to the Merger, the reported share and per share amounts have been retroactively converted by applying the exchange ratio.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13. 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recorded stock-based compensation expense for stock options and RSUs as follows: </w:t>
      </w:r>
    </w:p>
    <w:p>
      <w:pPr>
        <w:pStyle w:val="TextBody"/>
        <w:bidi w:val="0"/>
        <w:spacing w:before="0" w:after="0"/>
        <w:jc w:val="left"/>
        <w:rPr>
          <w:spacing w:val="0"/>
        </w:rPr>
      </w:pPr>
      <w:r>
        <w:rPr>
          <w:spacing w:val="0"/>
        </w:rPr>
        <w:t> </w:t>
      </w:r>
    </w:p>
    <w:tbl>
      <w:tblPr>
        <w:tblW w:w="5275" w:type="dxa"/>
        <w:jc w:val="left"/>
        <w:tblInd w:w="0" w:type="dxa"/>
        <w:tblLayout w:type="fixed"/>
        <w:tblCellMar>
          <w:top w:w="0" w:type="dxa"/>
          <w:left w:w="0" w:type="dxa"/>
          <w:bottom w:w="0" w:type="dxa"/>
          <w:right w:w="0" w:type="dxa"/>
        </w:tblCellMar>
      </w:tblPr>
      <w:tblGrid>
        <w:gridCol w:w="2870"/>
        <w:gridCol w:w="120"/>
        <w:gridCol w:w="203"/>
        <w:gridCol w:w="988"/>
        <w:gridCol w:w="87"/>
        <w:gridCol w:w="174"/>
        <w:gridCol w:w="203"/>
        <w:gridCol w:w="555"/>
        <w:gridCol w:w="7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0"/>
              <w:jc w:val="center"/>
              <w:rPr>
                <w:b/>
                <w:spacing w:val="0"/>
              </w:rPr>
            </w:pPr>
            <w:r>
              <w:rPr>
                <w:b/>
                <w:spacing w:val="0"/>
              </w:rPr>
              <w:t>2025</w:t>
            </w:r>
          </w:p>
        </w:tc>
        <w:tc>
          <w:tcPr>
            <w:tcW w:w="87"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58"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5,975</w:t>
            </w:r>
          </w:p>
        </w:tc>
        <w:tc>
          <w:tcPr>
            <w:tcW w:w="87"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180</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5,065</w:t>
            </w:r>
          </w:p>
        </w:tc>
        <w:tc>
          <w:tcPr>
            <w:tcW w:w="87"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right"/>
              <w:rPr/>
            </w:pPr>
            <w:r>
              <w:rPr/>
              <w:t>157</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11,040</w:t>
            </w:r>
          </w:p>
        </w:tc>
        <w:tc>
          <w:tcPr>
            <w:tcW w:w="87"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5" w:type="dxa"/>
            <w:tcBorders/>
            <w:shd w:fill="CCEEFF" w:val="cle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Award Plans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non-qualified</w:t>
      </w:r>
    </w:p>
    <w:p>
      <w:pPr>
        <w:pStyle w:val="TextBody"/>
        <w:bidi w:val="0"/>
        <w:spacing w:before="120" w:after="0"/>
        <w:jc w:val="left"/>
        <w:rPr>
          <w:rFonts w:ascii="Times New Roman" w:hAnsi="Times New Roman"/>
          <w:sz w:val="20"/>
        </w:rPr>
      </w:pPr>
      <w:r>
        <w:rPr>
          <w:rFonts w:ascii="Times New Roman" w:hAnsi="Times New Roman"/>
          <w:sz w:val="20"/>
        </w:rPr>
        <w:t xml:space="preserve">stock options), stock appreciation rights, restricted stock, RSUs and other stock or cash based awards to employees and consultants of the Company and its subsidiaries and members of the board of directors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compensation expense for service-based options on a straight-line basis over the requisite service period of all employees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which is the award’s vesting term, generally over four years. The Company accounts for forfeitures when they occur.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no equity awards have been granted under the 2025 Incentive Plan and 25,397,242 shares of common stock were reserved for issuance under the plan.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Following the effectiveness of the 2025 Incentive Plan, the Company ceased making grants under the 2011 Equity Incentive Plan (the “2011Amended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stock option activity under the 2011 Amended Plan is as follows: </w:t>
      </w:r>
    </w:p>
    <w:p>
      <w:pPr>
        <w:pStyle w:val="TextBody"/>
        <w:bidi w:val="0"/>
        <w:spacing w:before="0" w:after="0"/>
        <w:jc w:val="left"/>
        <w:rPr>
          <w:spacing w:val="0"/>
        </w:rPr>
      </w:pPr>
      <w:r>
        <w:rPr>
          <w:spacing w:val="0"/>
        </w:rPr>
        <w:t> </w:t>
      </w:r>
    </w:p>
    <w:tbl>
      <w:tblPr>
        <w:tblW w:w="10064" w:type="dxa"/>
        <w:jc w:val="left"/>
        <w:tblInd w:w="0" w:type="dxa"/>
        <w:tblLayout w:type="fixed"/>
        <w:tblCellMar>
          <w:top w:w="0" w:type="dxa"/>
          <w:left w:w="0" w:type="dxa"/>
          <w:bottom w:w="0" w:type="dxa"/>
          <w:right w:w="0" w:type="dxa"/>
        </w:tblCellMar>
      </w:tblPr>
      <w:tblGrid>
        <w:gridCol w:w="4055"/>
        <w:gridCol w:w="120"/>
        <w:gridCol w:w="60"/>
        <w:gridCol w:w="1100"/>
        <w:gridCol w:w="155"/>
        <w:gridCol w:w="120"/>
        <w:gridCol w:w="334"/>
        <w:gridCol w:w="1051"/>
        <w:gridCol w:w="60"/>
        <w:gridCol w:w="120"/>
        <w:gridCol w:w="185"/>
        <w:gridCol w:w="990"/>
        <w:gridCol w:w="60"/>
        <w:gridCol w:w="120"/>
        <w:gridCol w:w="248"/>
        <w:gridCol w:w="1211"/>
        <w:gridCol w:w="75"/>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 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life</w:t>
            </w:r>
          </w:p>
          <w:p>
            <w:pPr>
              <w:pStyle w:val="TableContents"/>
              <w:bidi w:val="0"/>
              <w:spacing w:before="0" w:after="0"/>
              <w:jc w:val="center"/>
              <w:rPr/>
            </w:pPr>
            <w:r>
              <w:rPr/>
            </w:r>
          </w:p>
          <w:p>
            <w:pPr>
              <w:pStyle w:val="TableContents"/>
              <w:bidi w:val="0"/>
              <w:spacing w:before="0" w:after="0"/>
              <w:jc w:val="center"/>
              <w:rPr>
                <w:b/>
                <w:spacing w:val="0"/>
              </w:rPr>
            </w:pPr>
            <w:r>
              <w:rPr>
                <w:b/>
                <w:spacing w:val="0"/>
              </w:rPr>
              <w:t>(in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b/>
                <w:spacing w:val="0"/>
              </w:rPr>
            </w:pPr>
            <w:r>
              <w:rPr>
                <w:b/>
                <w:spacing w:val="0"/>
              </w:rPr>
              <w:t>Aggregate</w:t>
            </w:r>
          </w:p>
          <w:p>
            <w:pPr>
              <w:pStyle w:val="TableContents"/>
              <w:bidi w:val="0"/>
              <w:spacing w:before="0" w:after="0"/>
              <w:jc w:val="center"/>
              <w:rPr/>
            </w:pPr>
            <w:r>
              <w:rPr/>
            </w:r>
          </w:p>
          <w:p>
            <w:pPr>
              <w:pStyle w:val="TableContents"/>
              <w:bidi w:val="0"/>
              <w:spacing w:before="0" w:after="0"/>
              <w:jc w:val="center"/>
              <w:rPr>
                <w:b/>
                <w:spacing w:val="0"/>
              </w:rPr>
            </w:pPr>
            <w:r>
              <w:rPr>
                <w:b/>
                <w:spacing w:val="0"/>
              </w:rP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28,360,635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22,741</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(318,400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March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28,042,235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30,225</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as of March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28,042,235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1.27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30,225</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March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8,472,388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10,342</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there was approximately $19.0 million of total unrecognized compensation cost related to unvested stock options, which is expected to be recognized over a weighted average period of 2.3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three months ended March 31,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RSUs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the Company’s RSU activity issued under the 2011 Amended Plan is as follows: </w:t>
      </w:r>
    </w:p>
    <w:p>
      <w:pPr>
        <w:pStyle w:val="TextBody"/>
        <w:bidi w:val="0"/>
        <w:spacing w:before="0" w:after="0"/>
        <w:jc w:val="left"/>
        <w:rPr>
          <w:spacing w:val="0"/>
        </w:rPr>
      </w:pPr>
      <w:r>
        <w:rPr>
          <w:spacing w:val="0"/>
        </w:rPr>
        <w:t> </w:t>
      </w:r>
    </w:p>
    <w:tbl>
      <w:tblPr>
        <w:tblW w:w="6515" w:type="dxa"/>
        <w:jc w:val="left"/>
        <w:tblInd w:w="0" w:type="dxa"/>
        <w:tblLayout w:type="fixed"/>
        <w:tblCellMar>
          <w:top w:w="0" w:type="dxa"/>
          <w:left w:w="0" w:type="dxa"/>
          <w:bottom w:w="0" w:type="dxa"/>
          <w:right w:w="0" w:type="dxa"/>
        </w:tblCellMar>
      </w:tblPr>
      <w:tblGrid>
        <w:gridCol w:w="2945"/>
        <w:gridCol w:w="120"/>
        <w:gridCol w:w="87"/>
        <w:gridCol w:w="1538"/>
        <w:gridCol w:w="155"/>
        <w:gridCol w:w="120"/>
        <w:gridCol w:w="356"/>
        <w:gridCol w:w="1119"/>
        <w:gridCol w:w="75"/>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RSUs Awarded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 grant</w:t>
            </w:r>
          </w:p>
          <w:p>
            <w:pPr>
              <w:pStyle w:val="TableContents"/>
              <w:bidi w:val="0"/>
              <w:spacing w:before="0" w:after="0"/>
              <w:jc w:val="center"/>
              <w:rPr/>
            </w:pPr>
            <w:r>
              <w:rPr/>
            </w:r>
          </w:p>
          <w:p>
            <w:pPr>
              <w:pStyle w:val="TableContents"/>
              <w:bidi w:val="0"/>
              <w:spacing w:before="0" w:after="0"/>
              <w:jc w:val="center"/>
              <w:rPr>
                <w:b/>
                <w:spacing w:val="0"/>
              </w:rPr>
            </w:pPr>
            <w:r>
              <w:rPr>
                <w:b/>
                <w:spacing w:val="0"/>
              </w:rPr>
              <w:t>date fair value</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 as of December 31, 2024</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3,630,447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1.53</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(2,464,171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1.76</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(15,552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0.73</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 as of March 31, 2025</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1,150,724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w:t>
            </w:r>
          </w:p>
        </w:tc>
        <w:tc>
          <w:tcPr>
            <w:tcW w:w="1119" w:type="dxa"/>
            <w:tcBorders/>
            <w:vAlign w:val="center"/>
          </w:tcPr>
          <w:p>
            <w:pPr>
              <w:pStyle w:val="TableContents"/>
              <w:bidi w:val="0"/>
              <w:spacing w:before="0" w:after="283"/>
              <w:jc w:val="right"/>
              <w:rPr/>
            </w:pPr>
            <w:r>
              <w:rPr/>
              <w:t>1.04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Immediately prior to the consummation of the Merger, the RSUs had both a service-based condition and a liquidity event condition. The liquidity event condition was only satisfied on the consummation of a liquidity event, such as an IPO, which was not determinable or probable as of December 31, 2024. Effective with the consummation of the Merger, we recognized $3.9 million in stock-based compensation expense associated with the vesting of the outstanding RSUs (see Note 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the 2,464,171 common stock shares that are subject to the release of the vested RSU have not been issued holders but have been included in the weighted average shares outstanding calculation for purposes of earning per share (see Note 17).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there was approximately $1.0 million of total unrecognized compensation cost related to unvested RSUs, which is expected to be recognized over a weighted average period of 0.8 years.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Employee Stock Purchase Plans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2025, the Company’s board of directors adopted the 2025 Employee Stock Purchase Plan (the “2025 ESPP”) that became effective upon the date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de-SPAC</w:t>
      </w:r>
    </w:p>
    <w:p>
      <w:pPr>
        <w:pStyle w:val="TextBody"/>
        <w:bidi w:val="0"/>
        <w:spacing w:before="120" w:after="0"/>
        <w:jc w:val="left"/>
        <w:rPr>
          <w:rFonts w:ascii="Times New Roman" w:hAnsi="Times New Roman"/>
          <w:sz w:val="20"/>
        </w:rPr>
      </w:pPr>
      <w:r>
        <w:rPr>
          <w:rFonts w:ascii="Times New Roman" w:hAnsi="Times New Roman"/>
          <w:sz w:val="20"/>
        </w:rPr>
        <w:t xml:space="preserve">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3,047,669 shares of common stock were reserved for issuance pursuant to the 2025 ESPP. As of March 31, 2025, no offers have been made to purchase shares of the Company’s common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Note 14.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Purchase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March 31, 2025, the Company had outstanding purchase orders and contractual obligations totaling $0.3 million to procure inventory. The majority of the Company’s outstanding inventory purchase orders and preauthorized commitments to procure strategic components based on expected demand are placed with its primary third-party contract manufacturer and a semiconductor supplier.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an obligation to purchase inventories that have been purchased by the contract manufacturer when components have not been consumed within a period defined in the terms of our agreement. During the three months ended March 31, 2025 and 2024, the Company purchased inventories of $0.1 million and $3.3 million, respectively, due to this obligation.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non-returnable</w:t>
      </w:r>
    </w:p>
    <w:p>
      <w:pPr>
        <w:pStyle w:val="TextBody"/>
        <w:bidi w:val="0"/>
        <w:spacing w:before="240" w:after="0"/>
        <w:jc w:val="left"/>
        <w:rPr>
          <w:rFonts w:ascii="Times New Roman" w:hAnsi="Times New Roman"/>
          <w:sz w:val="20"/>
        </w:rPr>
      </w:pPr>
      <w:r>
        <w:rPr>
          <w:rFonts w:ascii="Times New Roman" w:hAnsi="Times New Roman"/>
          <w:sz w:val="20"/>
        </w:rPr>
        <w:t xml:space="preserve">components from this contract manufacturer at the time that circumstances, such as changes in expected demand, indicate that the value of the components may not be recoverable, the loss is probable and management has the ability to reasonably estimate the amount of the loss. As of March 31, 2025 and December 31, 2024, the liability balance of our accrued losses on purchase commitments equaled $0.6 million on the condensed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pre-and</w:t>
      </w:r>
    </w:p>
    <w:p>
      <w:pPr>
        <w:pStyle w:val="TextBody"/>
        <w:bidi w:val="0"/>
        <w:spacing w:before="240" w:after="0"/>
        <w:jc w:val="left"/>
        <w:rPr>
          <w:rFonts w:ascii="Times New Roman" w:hAnsi="Times New Roman"/>
          <w:sz w:val="20"/>
        </w:rPr>
      </w:pPr>
      <w:r>
        <w:rPr>
          <w:rFonts w:ascii="Times New Roman" w:hAnsi="Times New Roman"/>
          <w:sz w:val="20"/>
        </w:rPr>
        <w:t xml:space="preserve">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March 31,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Advisor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our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we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15. Related Party Transactions and Balances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the three months ended March 31, 2025, the Company recognized no revenue from sales to minority stockholders. During the three months ended March 31, 2024, the Company recognized revenues of approximately $0.5 million, or approximately 100% of its total revenue, from sales to two minority stockholders.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and December 31, 2024, there was no accounts receivable due from these customers.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months ended March 31, 2025 and 2024, the changes in fair value for the respective 2023 Convertible Note were $6.0 million and $0.9 million, respectively (see Note 5). During the three months ended March 31, 2025 and 2024, the changes in fair value for the respective 2023 Convertible Note Warrants were $1.2 million and less than $0.1 million, respectively (see Note 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January 2023, one of the minority investors with which we had a prior revenue arrangement, with no revenue in the three months ended March 31, 2025 and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months ended March 31, 2025 and 2024, the change in fair value for the respective P2P Note was $7.2 million and less than $0.1 million, respectively (see Note 5). During the three months ended March 31, 2025 and 2024, the change in fair value for the respective P2P Warrants was $3.3 million and $0.5 million, respectively (see Note 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December 2022, one of the minority stockholders with which we had a prior revenue arrangement, representing approximately 0% and approximately 100% of total revenues for the three months ended March 31, 2025 and 2024, and 0% and 98% of accounts receivable as of March 31, 2025 and December 31, 2024, respectively,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months ended March 31, 2025, the changes in fair value for this set of P2P Note and P2P Note Warrants was $0.8 million and $0.2 million, respectively (see Note 5). During the three months ended March 31, 2024, the change in fair value for this set of P2P Note and P2P Note Warrants was immaterial (see Note 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March 31, 2025, payment in the note had not yet been received.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March 31, 2025 and 2024, the Company incurred $0.2 million and zero, respectively, of marketing expenses paid to a company owned by a direct family member of one of our minority stockholders and board of directors.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2025, the Company has amounts due for a Working Capital Loan and advances from a related party (see Note 8).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16. 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as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single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reportable segment, and manages the business and evaluates financial performance on a consolidated basis. The CODM regularly receives and reviews consolidated financial results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focusing primarily on revenue, costs and expenses, and net loss from the consolidated statements of operations to make decisions regarding the allocation of resources and assessment of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net loss and earnings before interest, tax, depreciation and amortization (“EBITDA”) adjusted for irregular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240" w:after="0"/>
        <w:jc w:val="left"/>
        <w:rPr>
          <w:rFonts w:ascii="Times New Roman" w:hAnsi="Times New Roman"/>
          <w:sz w:val="20"/>
        </w:rPr>
      </w:pPr>
      <w:r>
        <w:rPr>
          <w:rFonts w:ascii="Times New Roman" w:hAnsi="Times New Roman"/>
          <w:sz w:val="20"/>
        </w:rPr>
        <w:t xml:space="preserve">items (“Adjusted EBITDA”) are the profit or loss measures that the CODM uses to make resource allocation decisions and evaluate segment performance. Adjusted EBITDA assists management in comparing the performance on a consistent basis for purposes of business decision-making by removing the impact of certain items that management believes do not directly reflect our core operations and, therefore, are not included in measuring performance. The Company defines Adjusted EBITDA as net loss before interest, taxes, depreciation and amortization, certain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items and other adjustments that we do not consider in our evaluation of ongoing operating performance from period to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Net loss is as follows: </w:t>
      </w:r>
    </w:p>
    <w:p>
      <w:pPr>
        <w:pStyle w:val="TextBody"/>
        <w:bidi w:val="0"/>
        <w:spacing w:before="0" w:after="0"/>
        <w:jc w:val="left"/>
        <w:rPr>
          <w:spacing w:val="0"/>
        </w:rPr>
      </w:pPr>
      <w:r>
        <w:rPr>
          <w:spacing w:val="0"/>
        </w:rPr>
        <w:t> </w:t>
      </w:r>
    </w:p>
    <w:tbl>
      <w:tblPr>
        <w:tblW w:w="5880" w:type="dxa"/>
        <w:jc w:val="left"/>
        <w:tblInd w:w="0" w:type="dxa"/>
        <w:tblLayout w:type="fixed"/>
        <w:tblCellMar>
          <w:top w:w="0" w:type="dxa"/>
          <w:left w:w="0" w:type="dxa"/>
          <w:bottom w:w="0" w:type="dxa"/>
          <w:right w:w="0" w:type="dxa"/>
        </w:tblCellMar>
      </w:tblPr>
      <w:tblGrid>
        <w:gridCol w:w="3380"/>
        <w:gridCol w:w="120"/>
        <w:gridCol w:w="141"/>
        <w:gridCol w:w="885"/>
        <w:gridCol w:w="156"/>
        <w:gridCol w:w="121"/>
        <w:gridCol w:w="141"/>
        <w:gridCol w:w="766"/>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0"/>
              <w:jc w:val="center"/>
              <w:rPr>
                <w:b/>
                <w:spacing w:val="0"/>
              </w:rPr>
            </w:pPr>
            <w:r>
              <w:rPr>
                <w:b/>
                <w:spacing w:val="0"/>
              </w:rPr>
              <w:t>2025</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07"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1,007</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549</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(327</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(306</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costs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(19,081</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(5,700</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Technology costs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(2,417</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(360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(191</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(253</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interest (income)/expense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399</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(229</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changes and financing charges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(109,530</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(8,166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segment items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(17,621</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(2,278</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(147,761</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(16,743</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segment items includes marketing expense, professional fees, income tax expense, facilities costs, foreign currency exchange gains and losses, credit loss expense, and other overhead expenses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reflects our Adjusted EBITDA: </w:t>
      </w:r>
    </w:p>
    <w:p>
      <w:pPr>
        <w:pStyle w:val="TextBody"/>
        <w:bidi w:val="0"/>
        <w:spacing w:before="0" w:after="0"/>
        <w:jc w:val="left"/>
        <w:rPr>
          <w:spacing w:val="0"/>
        </w:rPr>
      </w:pPr>
      <w:r>
        <w:rPr>
          <w:spacing w:val="0"/>
        </w:rPr>
        <w:t> </w:t>
      </w:r>
    </w:p>
    <w:tbl>
      <w:tblPr>
        <w:tblW w:w="5745" w:type="dxa"/>
        <w:jc w:val="left"/>
        <w:tblInd w:w="0" w:type="dxa"/>
        <w:tblLayout w:type="fixed"/>
        <w:tblCellMar>
          <w:top w:w="0" w:type="dxa"/>
          <w:left w:w="0" w:type="dxa"/>
          <w:bottom w:w="0" w:type="dxa"/>
          <w:right w:w="0" w:type="dxa"/>
        </w:tblCellMar>
      </w:tblPr>
      <w:tblGrid>
        <w:gridCol w:w="3245"/>
        <w:gridCol w:w="120"/>
        <w:gridCol w:w="141"/>
        <w:gridCol w:w="885"/>
        <w:gridCol w:w="156"/>
        <w:gridCol w:w="121"/>
        <w:gridCol w:w="141"/>
        <w:gridCol w:w="766"/>
        <w:gridCol w:w="17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0"/>
              <w:jc w:val="center"/>
              <w:rPr>
                <w:b/>
                <w:spacing w:val="0"/>
              </w:rPr>
            </w:pPr>
            <w:r>
              <w:rPr>
                <w:b/>
                <w:spacing w:val="0"/>
              </w:rPr>
              <w:t>2025</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07"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(147,761</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(16,743</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191</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253</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162</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162</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expenses, net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109,578</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8,444</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EBITDA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(37,830</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(7,884</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11,040</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337</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inventory cost realignment adjustments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(625</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non-recurring</w:t>
            </w:r>
          </w:p>
          <w:p>
            <w:pPr>
              <w:pStyle w:val="TableContents"/>
              <w:bidi w:val="0"/>
              <w:spacing w:before="0" w:after="0"/>
              <w:jc w:val="left"/>
              <w:rPr>
                <w:rFonts w:ascii="Times New Roman" w:hAnsi="Times New Roman"/>
                <w:sz w:val="20"/>
              </w:rPr>
            </w:pPr>
            <w:r>
              <w:rPr>
                <w:rFonts w:ascii="Times New Roman" w:hAnsi="Times New Roman"/>
                <w:sz w:val="20"/>
              </w:rPr>
              <w:t>expenses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12,035</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45</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EBITDA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(15,380</w:t>
            </w:r>
          </w:p>
        </w:tc>
        <w:tc>
          <w:tcPr>
            <w:tcW w:w="15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(7,527</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but not limited to, legal, accounting and consulting fees incurred in connection with the Merger. These costs are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non-recurring</w:t>
            </w:r>
          </w:p>
          <w:p>
            <w:pPr>
              <w:pStyle w:val="TableContents"/>
              <w:bidi w:val="0"/>
              <w:spacing w:before="0" w:after="0"/>
              <w:jc w:val="left"/>
              <w:rPr>
                <w:rFonts w:ascii="Times New Roman" w:hAnsi="Times New Roman"/>
                <w:sz w:val="20"/>
              </w:rPr>
            </w:pPr>
            <w:r>
              <w:rPr>
                <w:rFonts w:ascii="Times New Roman" w:hAnsi="Times New Roman"/>
                <w:sz w:val="20"/>
              </w:rPr>
              <w:t xml:space="preserve">and are not reflective of our ongoing operating performance. Management believes that excluding these costs provides a more meaningful comparison of our performance to prior periods.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measure of segment assets is reported on the condensed consolidated balance sheet as total consolidated assets. Long-lived and ROU assets were located as follows: </w:t>
      </w:r>
    </w:p>
    <w:p>
      <w:pPr>
        <w:pStyle w:val="TextBody"/>
        <w:bidi w:val="0"/>
        <w:spacing w:before="0" w:after="0"/>
        <w:jc w:val="left"/>
        <w:rPr>
          <w:spacing w:val="0"/>
        </w:rPr>
      </w:pPr>
      <w:r>
        <w:rPr>
          <w:spacing w:val="0"/>
        </w:rPr>
        <w:t> </w:t>
      </w:r>
    </w:p>
    <w:tbl>
      <w:tblPr>
        <w:tblW w:w="8362" w:type="dxa"/>
        <w:jc w:val="left"/>
        <w:tblInd w:w="0" w:type="dxa"/>
        <w:tblLayout w:type="fixed"/>
        <w:tblCellMar>
          <w:top w:w="0" w:type="dxa"/>
          <w:left w:w="0" w:type="dxa"/>
          <w:bottom w:w="0" w:type="dxa"/>
          <w:right w:w="0" w:type="dxa"/>
        </w:tblCellMar>
      </w:tblPr>
      <w:tblGrid>
        <w:gridCol w:w="2390"/>
        <w:gridCol w:w="120"/>
        <w:gridCol w:w="256"/>
        <w:gridCol w:w="1024"/>
        <w:gridCol w:w="83"/>
        <w:gridCol w:w="166"/>
        <w:gridCol w:w="250"/>
        <w:gridCol w:w="1000"/>
        <w:gridCol w:w="60"/>
        <w:gridCol w:w="120"/>
        <w:gridCol w:w="256"/>
        <w:gridCol w:w="1024"/>
        <w:gridCol w:w="96"/>
        <w:gridCol w:w="192"/>
        <w:gridCol w:w="249"/>
        <w:gridCol w:w="1001"/>
        <w:gridCol w:w="75"/>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9" w:type="dxa"/>
            <w:gridSpan w:val="6"/>
            <w:tcBorders/>
            <w:vAlign w:val="center"/>
          </w:tcPr>
          <w:p>
            <w:pPr>
              <w:pStyle w:val="TableContents"/>
              <w:bidi w:val="0"/>
              <w:spacing w:before="0" w:after="0"/>
              <w:jc w:val="center"/>
              <w:rPr>
                <w:b/>
                <w:spacing w:val="0"/>
              </w:rPr>
            </w:pPr>
            <w:r>
              <w:rPr>
                <w:b/>
                <w:spacing w:val="0"/>
              </w:rPr>
              <w:t>As of 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8" w:type="dxa"/>
            <w:gridSpan w:val="6"/>
            <w:tcBorders/>
            <w:vAlign w:val="center"/>
          </w:tcPr>
          <w:p>
            <w:pPr>
              <w:pStyle w:val="TableContents"/>
              <w:bidi w:val="0"/>
              <w:spacing w:before="0" w:after="0"/>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Fixed Assets</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ROU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Fixed Assets</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ROU Assets</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1,043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1,095</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277</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Asia Pacific</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934</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1,116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913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1,175</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Kingdom</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77</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321</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2,054</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2,081</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001" w:type="dxa"/>
            <w:tcBorders/>
            <w:vAlign w:val="center"/>
          </w:tcPr>
          <w:p>
            <w:pPr>
              <w:pStyle w:val="TableContents"/>
              <w:bidi w:val="0"/>
              <w:spacing w:before="0" w:after="283"/>
              <w:jc w:val="right"/>
              <w:rPr/>
            </w:pPr>
            <w:r>
              <w:rPr/>
              <w:t>1,773</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17.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the computation of basic and dilutive net loss per share: </w:t>
      </w:r>
    </w:p>
    <w:p>
      <w:pPr>
        <w:pStyle w:val="TextBody"/>
        <w:bidi w:val="0"/>
        <w:spacing w:before="0" w:after="0"/>
        <w:jc w:val="left"/>
        <w:rPr>
          <w:spacing w:val="0"/>
        </w:rPr>
      </w:pPr>
      <w:r>
        <w:rPr>
          <w:spacing w:val="0"/>
        </w:rPr>
        <w:t> </w:t>
      </w:r>
    </w:p>
    <w:tbl>
      <w:tblPr>
        <w:tblW w:w="9641" w:type="dxa"/>
        <w:jc w:val="left"/>
        <w:tblInd w:w="0" w:type="dxa"/>
        <w:tblLayout w:type="fixed"/>
        <w:tblCellMar>
          <w:top w:w="0" w:type="dxa"/>
          <w:left w:w="0" w:type="dxa"/>
          <w:bottom w:w="0" w:type="dxa"/>
          <w:right w:w="0" w:type="dxa"/>
        </w:tblCellMar>
      </w:tblPr>
      <w:tblGrid>
        <w:gridCol w:w="6035"/>
        <w:gridCol w:w="120"/>
        <w:gridCol w:w="168"/>
        <w:gridCol w:w="1325"/>
        <w:gridCol w:w="186"/>
        <w:gridCol w:w="144"/>
        <w:gridCol w:w="168"/>
        <w:gridCol w:w="1325"/>
        <w:gridCol w:w="170"/>
      </w:tblGrid>
      <w:tr>
        <w:trPr/>
        <w:tc>
          <w:tcPr>
            <w:tcW w:w="6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0"/>
              <w:jc w:val="center"/>
              <w:rPr>
                <w:b/>
                <w:spacing w:val="0"/>
              </w:rPr>
            </w:pPr>
            <w:r>
              <w:rPr>
                <w:b/>
                <w:spacing w:val="0"/>
              </w:rPr>
              <w:t>Three Months Ended March 31,</w:t>
            </w:r>
          </w:p>
        </w:tc>
        <w:tc>
          <w:tcPr>
            <w:tcW w:w="17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0"/>
              <w:jc w:val="left"/>
              <w:rPr>
                <w:b/>
                <w:i/>
                <w:caps w:val="false"/>
                <w:smallCaps w:val="false"/>
                <w:spacing w:val="0"/>
              </w:rPr>
            </w:pPr>
            <w:r>
              <w:rPr>
                <w:b/>
                <w:i/>
                <w:caps w:val="false"/>
                <w:smallCaps w:val="false"/>
                <w:spacing w:val="0"/>
              </w:rPr>
              <w:t>(Amounts in thousands, except share and per share amounts)</w:t>
            </w:r>
          </w:p>
        </w:tc>
        <w:tc>
          <w:tcPr>
            <w:tcW w:w="120" w:type="dxa"/>
            <w:tcBorders/>
            <w:vAlign w:val="center"/>
          </w:tcPr>
          <w:p>
            <w:pPr>
              <w:pStyle w:val="TableContents"/>
              <w:bidi w:val="0"/>
              <w:spacing w:before="0" w:after="283"/>
              <w:jc w:val="left"/>
              <w:rPr/>
            </w:pPr>
            <w:r>
              <w:rPr/>
              <w:t>  </w:t>
            </w:r>
          </w:p>
        </w:tc>
        <w:tc>
          <w:tcPr>
            <w:tcW w:w="1493" w:type="dxa"/>
            <w:gridSpan w:val="2"/>
            <w:tcBorders/>
            <w:vAlign w:val="center"/>
          </w:tcPr>
          <w:p>
            <w:pPr>
              <w:pStyle w:val="TableContents"/>
              <w:bidi w:val="0"/>
              <w:spacing w:before="0" w:after="0"/>
              <w:jc w:val="center"/>
              <w:rPr>
                <w:b/>
                <w:spacing w:val="0"/>
              </w:rPr>
            </w:pPr>
            <w:r>
              <w:rPr>
                <w:b/>
                <w:spacing w:val="0"/>
              </w:rPr>
              <w:t>2025</w:t>
            </w:r>
          </w:p>
        </w:tc>
        <w:tc>
          <w:tcPr>
            <w:tcW w:w="186"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93"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(147,761</w:t>
            </w:r>
          </w:p>
        </w:tc>
        <w:tc>
          <w:tcPr>
            <w:tcW w:w="186"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(16,743</w:t>
            </w:r>
          </w:p>
        </w:tc>
        <w:tc>
          <w:tcPr>
            <w:tcW w:w="17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outstanding, basic and diluted</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91,747,685</w:t>
            </w:r>
          </w:p>
        </w:tc>
        <w:tc>
          <w:tcPr>
            <w:tcW w:w="186"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13,613,270</w:t>
            </w:r>
          </w:p>
        </w:tc>
        <w:tc>
          <w:tcPr>
            <w:tcW w:w="17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(1.61</w:t>
            </w:r>
          </w:p>
        </w:tc>
        <w:tc>
          <w:tcPr>
            <w:tcW w:w="186"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(1.23</w:t>
            </w:r>
          </w:p>
        </w:tc>
        <w:tc>
          <w:tcPr>
            <w:tcW w:w="170"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6"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potentially dilutive securities were excluded from the calculation of diluted net loss per share attributable to common shareholders for the periods presented because the impact of including them would have been anti-dilutive: </w:t>
      </w:r>
    </w:p>
    <w:p>
      <w:pPr>
        <w:pStyle w:val="TextBody"/>
        <w:bidi w:val="0"/>
        <w:spacing w:before="0" w:after="0"/>
        <w:jc w:val="left"/>
        <w:rPr>
          <w:spacing w:val="0"/>
        </w:rPr>
      </w:pPr>
      <w:r>
        <w:rPr>
          <w:spacing w:val="0"/>
        </w:rPr>
        <w:t> </w:t>
      </w:r>
    </w:p>
    <w:tbl>
      <w:tblPr>
        <w:tblW w:w="6157" w:type="dxa"/>
        <w:jc w:val="left"/>
        <w:tblInd w:w="0" w:type="dxa"/>
        <w:tblLayout w:type="fixed"/>
        <w:tblCellMar>
          <w:top w:w="0" w:type="dxa"/>
          <w:left w:w="0" w:type="dxa"/>
          <w:bottom w:w="0" w:type="dxa"/>
          <w:right w:w="0" w:type="dxa"/>
        </w:tblCellMar>
      </w:tblPr>
      <w:tblGrid>
        <w:gridCol w:w="2645"/>
        <w:gridCol w:w="120"/>
        <w:gridCol w:w="79"/>
        <w:gridCol w:w="1460"/>
        <w:gridCol w:w="79"/>
        <w:gridCol w:w="158"/>
        <w:gridCol w:w="79"/>
        <w:gridCol w:w="1462"/>
        <w:gridCol w:w="7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7" w:type="dxa"/>
            <w:gridSpan w:val="6"/>
            <w:tcBorders/>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9" w:type="dxa"/>
            <w:gridSpan w:val="2"/>
            <w:tcBorders/>
            <w:vAlign w:val="center"/>
          </w:tcPr>
          <w:p>
            <w:pPr>
              <w:pStyle w:val="TableContents"/>
              <w:bidi w:val="0"/>
              <w:spacing w:before="0" w:after="0"/>
              <w:jc w:val="center"/>
              <w:rPr>
                <w:b/>
                <w:spacing w:val="0"/>
              </w:rPr>
            </w:pPr>
            <w:r>
              <w:rPr>
                <w:b/>
                <w:spacing w:val="0"/>
              </w:rPr>
              <w:t>2025</w:t>
            </w:r>
          </w:p>
        </w:tc>
        <w:tc>
          <w:tcPr>
            <w:tcW w:w="7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41"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28,042,235</w:t>
            </w:r>
          </w:p>
        </w:tc>
        <w:tc>
          <w:tcPr>
            <w:tcW w:w="7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12,819,685</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1,150,724</w:t>
            </w:r>
          </w:p>
        </w:tc>
        <w:tc>
          <w:tcPr>
            <w:tcW w:w="7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3,801,970</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50,000</w:t>
            </w:r>
          </w:p>
        </w:tc>
        <w:tc>
          <w:tcPr>
            <w:tcW w:w="7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Public warrants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28,750,000</w:t>
            </w:r>
          </w:p>
        </w:tc>
        <w:tc>
          <w:tcPr>
            <w:tcW w:w="7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Private warrants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898,250</w:t>
            </w:r>
          </w:p>
        </w:tc>
        <w:tc>
          <w:tcPr>
            <w:tcW w:w="7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potentially dilutive shares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58,891,209</w:t>
            </w:r>
          </w:p>
        </w:tc>
        <w:tc>
          <w:tcPr>
            <w:tcW w:w="7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16,621,655</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18. Employee Benefit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401(k) plan is provided that covers substantially all employees in the US meeting certain age and service requirements. The Company makes discretionary contributions to the 401(k) plan. The Company operates 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HOLDINGS,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NOTES TO THE CONDENSED CONSOLIDATED FINANCIAL STATEMENTS </w:t>
      </w:r>
    </w:p>
    <w:p>
      <w:pPr>
        <w:pStyle w:val="TextBody"/>
        <w:bidi w:val="0"/>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(cont.)</w:t>
      </w:r>
    </w:p>
    <w:p>
      <w:pPr>
        <w:pStyle w:val="TextBody"/>
        <w:bidi w:val="0"/>
        <w:spacing w:before="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(Unaudited)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defined contribution pension scheme in the UK for employees and makes employer contributions to this scheme on behalf of those employees. The Company recorded $0.2 million and $0.1 million in contributions to both plans during the three months ended March 31, 2025 and 2024, respectively.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Long-term Employee Benefits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March 31, 2025 and December 31, 2024, the related liability is included within accrued compensation on the condensed consolidated balance sheets.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19.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2025, the Company entered into an advisory agreement for future services. The terms of the agreement require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advisory fee of $2.0 million paid upon execution of the contract in the form of 769,231 shares of common stock (the “Fee Shares”). The Fee Shares are subject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240" w:after="0"/>
        <w:jc w:val="left"/>
        <w:rPr>
          <w:rFonts w:ascii="Times New Roman" w:hAnsi="Times New Roman"/>
          <w:sz w:val="20"/>
        </w:rPr>
      </w:pPr>
      <w:r>
        <w:rPr>
          <w:rFonts w:ascii="Times New Roman" w:hAnsi="Times New Roman"/>
          <w:sz w:val="20"/>
        </w:rPr>
        <w:t xml:space="preserve">lock up provision (the </w:t>
      </w:r>
    </w:p>
    <w:p>
      <w:pPr>
        <w:pStyle w:val="TextBody"/>
        <w:bidi w:val="0"/>
        <w:spacing w:before="240" w:after="0"/>
        <w:jc w:val="left"/>
        <w:rPr>
          <w:spacing w:val="0"/>
        </w:rPr>
      </w:pPr>
      <w:r>
        <w:rPr>
          <w:spacing w:val="0"/>
        </w:rPr>
        <w:t>“</w:t>
      </w: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Period”) which expires the earlier of one year from the date of the agreement or the date of a change of control as defined in the agreement. Prior to the expiration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period, the advisor may sell the common stock shares back to us or an affiliate as defined in Rule 405 under the Securities Act. The Fee Shares subject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provision are subject to adjustment if the dollar volume-weighted average price for the Company’s common stock (“VWAP”) 20 out of any 30 trading Days is at least $7.00 per share, then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Period shall be terminated with respect to fifty percent of the shares to be issued for the fee. Furthermore, if the VWAP of the common stock for 20 out of any 30 Trading Days is at least $10.00 per share, then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z w:val="20"/>
        </w:rPr>
      </w:pPr>
      <w:r>
        <w:rPr>
          <w:rFonts w:ascii="Times New Roman" w:hAnsi="Times New Roman"/>
          <w:sz w:val="20"/>
        </w:rPr>
        <w:t xml:space="preserve">Period shall be terminated with respect to the other fifty percent of the Fee Shares, rounded up.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Board of Directors and Shareholders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Blaize, Inc. and Subsidiaries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period ended December 31, 2024, in conformity with accounting principles generally accepted in the United States of America.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Substantial Doubt about the Company’s Ability to Continue as a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2023.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 UHY LLP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Melville, New York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11,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(Amounts in thousands, except share and per share data)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4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76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3,213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 (Note 13)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8,561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6,522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2,836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13,049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1,555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1,033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2,423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579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80,516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18,639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Demand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4,750</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14,925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7,464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3,588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1,938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148,629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14,641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188,143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47,876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1,791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3,730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18,064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190,979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71,852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 $0.00001 par value; 96,650,097 shares authorized as of December 31, 2024 and 2023, respectively; 44,494,703 shares issued and outstanding at December 31, 2024 and 2023, respectively; liquidation preference of $173,347 as of December 31, 2024 and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173,347</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 $0.00001 par value; 175,095,000 shares authorized as of December 31, 2024 and 2023, respectively; 17,519,999 and 17,454,353 shares issued and outstanding as of December 31, 2024 and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124,225 shares at December 31, 2024 and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145,441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141,496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(368,056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(226,560</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80,516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18,639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0" w:after="0"/>
        <w:jc w:val="left"/>
        <w:rPr>
          <w:sz w:val="16"/>
        </w:rPr>
      </w:pPr>
      <w:r>
        <w:rPr>
          <w:sz w:val="16"/>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Operations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(Amounts in thousands, except share and per share amounts) 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7340"/>
        <w:gridCol w:w="120"/>
        <w:gridCol w:w="140"/>
        <w:gridCol w:w="1100"/>
        <w:gridCol w:w="155"/>
        <w:gridCol w:w="60"/>
        <w:gridCol w:w="140"/>
        <w:gridCol w:w="980"/>
        <w:gridCol w:w="170"/>
      </w:tblGrid>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75" w:type="dxa"/>
            <w:gridSpan w:val="6"/>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Year Ended</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734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 (Note 13)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3,840</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3,856</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3,656</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18,115</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17,303</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2,040</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1,165</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42,384</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(38,528</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financing charge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(35,832</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(3,145</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exchange transactions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(9,532</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(945</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(49,659</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(88,187</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(598</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(87,589</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(20.79</w:t>
            </w:r>
          </w:p>
        </w:tc>
        <w:tc>
          <w:tcPr>
            <w:tcW w:w="170" w:type="dxa"/>
            <w:tcBorders/>
            <w:shd w:fill="CCEEFF" w:val="cle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17,476,105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4,213,244</w:t>
            </w:r>
          </w:p>
        </w:tc>
        <w:tc>
          <w:tcPr>
            <w:tcW w:w="17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Redeemable Convertible Preferred Stock and Stockholders’ Deficit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except share and per share data)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tbl>
      <w:tblPr>
        <w:tblW w:w="12890" w:type="dxa"/>
        <w:jc w:val="left"/>
        <w:tblInd w:w="0" w:type="dxa"/>
        <w:tblLayout w:type="fixed"/>
        <w:tblCellMar>
          <w:top w:w="0" w:type="dxa"/>
          <w:left w:w="0" w:type="dxa"/>
          <w:bottom w:w="0" w:type="dxa"/>
          <w:right w:w="0" w:type="dxa"/>
        </w:tblCellMar>
      </w:tblPr>
      <w:tblGrid>
        <w:gridCol w:w="1010"/>
        <w:gridCol w:w="60"/>
        <w:gridCol w:w="60"/>
        <w:gridCol w:w="1100"/>
        <w:gridCol w:w="60"/>
        <w:gridCol w:w="60"/>
        <w:gridCol w:w="140"/>
        <w:gridCol w:w="800"/>
        <w:gridCol w:w="60"/>
        <w:gridCol w:w="60"/>
        <w:gridCol w:w="32"/>
        <w:gridCol w:w="33"/>
        <w:gridCol w:w="60"/>
        <w:gridCol w:w="60"/>
        <w:gridCol w:w="60"/>
        <w:gridCol w:w="1100"/>
        <w:gridCol w:w="155"/>
        <w:gridCol w:w="60"/>
        <w:gridCol w:w="301"/>
        <w:gridCol w:w="559"/>
        <w:gridCol w:w="60"/>
        <w:gridCol w:w="60"/>
        <w:gridCol w:w="60"/>
        <w:gridCol w:w="800"/>
        <w:gridCol w:w="60"/>
        <w:gridCol w:w="60"/>
        <w:gridCol w:w="301"/>
        <w:gridCol w:w="559"/>
        <w:gridCol w:w="60"/>
        <w:gridCol w:w="60"/>
        <w:gridCol w:w="220"/>
        <w:gridCol w:w="1375"/>
        <w:gridCol w:w="155"/>
        <w:gridCol w:w="60"/>
        <w:gridCol w:w="188"/>
        <w:gridCol w:w="1182"/>
        <w:gridCol w:w="155"/>
        <w:gridCol w:w="60"/>
        <w:gridCol w:w="195"/>
        <w:gridCol w:w="1220"/>
        <w:gridCol w:w="17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20" w:type="dxa"/>
            <w:gridSpan w:val="6"/>
            <w:tcBorders/>
            <w:vAlign w:val="center"/>
          </w:tcPr>
          <w:p>
            <w:pPr>
              <w:pStyle w:val="TableContents"/>
              <w:bidi w:val="0"/>
              <w:spacing w:before="0" w:after="0"/>
              <w:jc w:val="center"/>
              <w:rPr>
                <w:b/>
                <w:spacing w:val="0"/>
              </w:rPr>
            </w:pPr>
            <w:r>
              <w:rPr>
                <w:b/>
                <w:spacing w:val="0"/>
              </w:rPr>
              <w:t>Redeemable</w:t>
              <w:br/>
              <w:t>Convertible</w:t>
              <w:br/>
              <w:t>Preferred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5" w:type="dxa"/>
            <w:gridSpan w:val="2"/>
            <w:tcBorders/>
            <w:vAlign w:val="center"/>
          </w:tcPr>
          <w:p>
            <w:pPr>
              <w:pStyle w:val="TableContents"/>
              <w:bidi w:val="0"/>
              <w:spacing w:before="0" w:after="0"/>
              <w:jc w:val="center"/>
              <w:rPr>
                <w:spacing w:val="0"/>
              </w:rPr>
            </w:pPr>
            <w:r>
              <w:rPr>
                <w:spacing w:val="0"/>
              </w:rPr>
              <w:t> </w:t>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40" w:type="dxa"/>
            <w:gridSpan w:val="6"/>
            <w:tcBorders/>
            <w:vAlign w:val="center"/>
          </w:tcPr>
          <w:p>
            <w:pPr>
              <w:pStyle w:val="TableContents"/>
              <w:bidi w:val="0"/>
              <w:spacing w:before="0" w:after="0"/>
              <w:jc w:val="center"/>
              <w:rPr>
                <w:b/>
                <w:spacing w:val="0"/>
              </w:rPr>
            </w:pPr>
            <w:r>
              <w:rPr>
                <w:b/>
                <w:spacing w:val="0"/>
              </w:rPr>
              <w:t>Treasury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595"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 Capital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Accumulated</w:t>
              <w:br/>
              <w:t>Deficit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Total</w:t>
              <w:br/>
              <w:t>Stockholders’</w:t>
              <w:br/>
              <w:t>Deficit</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5" w:type="dxa"/>
            <w:gridSpan w:val="2"/>
            <w:tcBorders/>
            <w:vAlign w:val="center"/>
          </w:tcPr>
          <w:p>
            <w:pPr>
              <w:pStyle w:val="TableContents"/>
              <w:bidi w:val="0"/>
              <w:spacing w:before="0" w:after="0"/>
              <w:jc w:val="left"/>
              <w:rPr>
                <w:spacing w:val="0"/>
              </w:rPr>
            </w:pPr>
            <w:r>
              <w:rPr>
                <w:spacing w:val="0"/>
              </w:rPr>
              <w:t> </w:t>
            </w:r>
          </w:p>
        </w:tc>
        <w:tc>
          <w:tcPr>
            <w:tcW w:w="60" w:type="dxa"/>
            <w:tcBorders>
              <w:right w:val="single" w:sz="6" w:space="0" w:color="000000"/>
            </w:tcBorders>
            <w:tcMar>
              <w:right w:w="28" w:type="dxa"/>
            </w:tcMar>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5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at January 1, 2023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16,498,279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64,020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6,143,294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124,225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w:t>
            </w:r>
          </w:p>
        </w:tc>
        <w:tc>
          <w:tcPr>
            <w:tcW w:w="1375" w:type="dxa"/>
            <w:tcBorders/>
            <w:shd w:fill="CCEEFF" w:val="clear"/>
            <w:vAlign w:val="center"/>
          </w:tcPr>
          <w:p>
            <w:pPr>
              <w:pStyle w:val="TableContents"/>
              <w:bidi w:val="0"/>
              <w:spacing w:before="0" w:after="0"/>
              <w:jc w:val="right"/>
              <w:rPr>
                <w:spacing w:val="0"/>
              </w:rPr>
            </w:pPr>
            <w:r>
              <w:rPr>
                <w:spacing w:val="0"/>
              </w:rPr>
              <w:t>209,928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(280,467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(70,539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 xml:space="preserve">Reissuance of Shadow Preferred in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Pay-to-Play</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Pull</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Through Exchange at redemption value</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27,996,424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109,327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(2,799,634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 </w:t>
            </w:r>
          </w:p>
        </w:tc>
        <w:tc>
          <w:tcPr>
            <w:tcW w:w="1375" w:type="dxa"/>
            <w:tcBorders/>
            <w:shd w:fill="CCEEFF" w:val="clear"/>
            <w:vAlign w:val="center"/>
          </w:tcPr>
          <w:p>
            <w:pPr>
              <w:pStyle w:val="TableContents"/>
              <w:bidi w:val="0"/>
              <w:spacing w:before="0" w:after="0"/>
              <w:jc w:val="right"/>
              <w:rPr>
                <w:spacing w:val="0"/>
              </w:rPr>
            </w:pPr>
            <w:r>
              <w:rPr>
                <w:spacing w:val="0"/>
              </w:rPr>
              <w:t>(109,327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(109,327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Reissuance of common stock in common rights offering</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8,109,693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rPr>
            </w:pPr>
            <w:r>
              <w:rPr>
                <w:spacing w:val="0"/>
              </w:rPr>
              <w:t> </w:t>
            </w:r>
          </w:p>
        </w:tc>
        <w:tc>
          <w:tcPr>
            <w:tcW w:w="13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upon release of restricted stock units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6,000,000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 </w:t>
            </w:r>
          </w:p>
        </w:tc>
        <w:tc>
          <w:tcPr>
            <w:tcW w:w="137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Exercise of stock options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1,000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rPr>
            </w:pPr>
            <w:r>
              <w:rPr>
                <w:spacing w:val="0"/>
              </w:rPr>
              <w:t> </w:t>
            </w:r>
          </w:p>
        </w:tc>
        <w:tc>
          <w:tcPr>
            <w:tcW w:w="1375" w:type="dxa"/>
            <w:tcBorders/>
            <w:vAlign w:val="center"/>
          </w:tcPr>
          <w:p>
            <w:pPr>
              <w:pStyle w:val="TableContents"/>
              <w:bidi w:val="0"/>
              <w:spacing w:before="0" w:after="0"/>
              <w:jc w:val="right"/>
              <w:rPr>
                <w:spacing w:val="0"/>
              </w:rPr>
            </w:pPr>
            <w:r>
              <w:rPr>
                <w:spacing w:val="0"/>
              </w:rPr>
              <w:t>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 </w:t>
            </w:r>
          </w:p>
        </w:tc>
        <w:tc>
          <w:tcPr>
            <w:tcW w:w="1375" w:type="dxa"/>
            <w:tcBorders/>
            <w:shd w:fill="CCEEFF" w:val="clear"/>
            <w:vAlign w:val="center"/>
          </w:tcPr>
          <w:p>
            <w:pPr>
              <w:pStyle w:val="TableContents"/>
              <w:bidi w:val="0"/>
              <w:spacing w:before="0" w:after="0"/>
              <w:jc w:val="right"/>
              <w:rPr>
                <w:spacing w:val="0"/>
              </w:rPr>
            </w:pPr>
            <w:r>
              <w:rPr>
                <w:spacing w:val="0"/>
              </w:rPr>
              <w:t>2,483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2,483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Pay-to-Play</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financing charge</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rPr>
            </w:pPr>
            <w:r>
              <w:rPr>
                <w:spacing w:val="0"/>
              </w:rPr>
              <w:t> </w:t>
            </w:r>
          </w:p>
        </w:tc>
        <w:tc>
          <w:tcPr>
            <w:tcW w:w="1375" w:type="dxa"/>
            <w:tcBorders/>
            <w:vAlign w:val="center"/>
          </w:tcPr>
          <w:p>
            <w:pPr>
              <w:pStyle w:val="TableContents"/>
              <w:bidi w:val="0"/>
              <w:spacing w:before="0" w:after="0"/>
              <w:jc w:val="right"/>
              <w:rPr>
                <w:spacing w:val="0"/>
              </w:rPr>
            </w:pPr>
            <w:r>
              <w:rPr>
                <w:spacing w:val="0"/>
              </w:rPr>
              <w:t>35,771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35,771</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Debt financing charge on convertible notes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 </w:t>
            </w:r>
          </w:p>
        </w:tc>
        <w:tc>
          <w:tcPr>
            <w:tcW w:w="1375" w:type="dxa"/>
            <w:tcBorders/>
            <w:shd w:fill="CCEEFF" w:val="clear"/>
            <w:vAlign w:val="center"/>
          </w:tcPr>
          <w:p>
            <w:pPr>
              <w:pStyle w:val="TableContents"/>
              <w:bidi w:val="0"/>
              <w:spacing w:before="0" w:after="0"/>
              <w:jc w:val="right"/>
              <w:rPr>
                <w:spacing w:val="0"/>
              </w:rPr>
            </w:pPr>
            <w:r>
              <w:rPr>
                <w:spacing w:val="0"/>
              </w:rPr>
              <w:t>2,640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2,640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rPr>
            </w:pPr>
            <w:r>
              <w:rPr>
                <w:spacing w:val="0"/>
              </w:rPr>
              <w:t> </w:t>
            </w:r>
          </w:p>
        </w:tc>
        <w:tc>
          <w:tcPr>
            <w:tcW w:w="13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(87,589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(87,589</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at December 31, 2023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44,494,703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173,347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17,454,353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124,225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w:t>
            </w:r>
          </w:p>
        </w:tc>
        <w:tc>
          <w:tcPr>
            <w:tcW w:w="1375" w:type="dxa"/>
            <w:tcBorders/>
            <w:shd w:fill="CCEEFF" w:val="clear"/>
            <w:vAlign w:val="center"/>
          </w:tcPr>
          <w:p>
            <w:pPr>
              <w:pStyle w:val="TableContents"/>
              <w:bidi w:val="0"/>
              <w:spacing w:before="0" w:after="0"/>
              <w:jc w:val="right"/>
              <w:rPr>
                <w:spacing w:val="0"/>
              </w:rPr>
            </w:pPr>
            <w:r>
              <w:rPr>
                <w:spacing w:val="0"/>
              </w:rPr>
              <w:t>141,496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(368,056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(226,560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Exercise of stock options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65,646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rPr>
            </w:pPr>
            <w:r>
              <w:rPr>
                <w:spacing w:val="0"/>
              </w:rPr>
              <w:t> </w:t>
            </w:r>
          </w:p>
        </w:tc>
        <w:tc>
          <w:tcPr>
            <w:tcW w:w="1375" w:type="dxa"/>
            <w:tcBorders/>
            <w:vAlign w:val="center"/>
          </w:tcPr>
          <w:p>
            <w:pPr>
              <w:pStyle w:val="TableContents"/>
              <w:bidi w:val="0"/>
              <w:spacing w:before="0" w:after="0"/>
              <w:jc w:val="right"/>
              <w:rPr>
                <w:spacing w:val="0"/>
              </w:rPr>
            </w:pPr>
            <w:r>
              <w:rPr>
                <w:spacing w:val="0"/>
              </w:rPr>
              <w:t>98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98</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 </w:t>
            </w:r>
          </w:p>
        </w:tc>
        <w:tc>
          <w:tcPr>
            <w:tcW w:w="1375" w:type="dxa"/>
            <w:tcBorders/>
            <w:shd w:fill="CCEEFF" w:val="clear"/>
            <w:vAlign w:val="center"/>
          </w:tcPr>
          <w:p>
            <w:pPr>
              <w:pStyle w:val="TableContents"/>
              <w:bidi w:val="0"/>
              <w:spacing w:before="0" w:after="0"/>
              <w:jc w:val="right"/>
              <w:rPr>
                <w:spacing w:val="0"/>
              </w:rPr>
            </w:pPr>
            <w:r>
              <w:rPr>
                <w:spacing w:val="0"/>
              </w:rPr>
              <w:t>3,847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3,847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rPr>
            </w:pPr>
            <w:r>
              <w:rPr>
                <w:spacing w:val="0"/>
              </w:rPr>
              <w:t> </w:t>
            </w:r>
          </w:p>
        </w:tc>
        <w:tc>
          <w:tcPr>
            <w:tcW w:w="137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(61,195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(61,195</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at December 31,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44,494,703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173,347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spacing w:val="0"/>
              </w:rPr>
            </w:pPr>
            <w:r>
              <w:rPr>
                <w:spacing w:val="0"/>
              </w:rPr>
              <w:t>17,519,999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124,225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0" w:type="dxa"/>
            <w:tcBorders/>
            <w:shd w:fill="CCEEFF" w:val="clear"/>
            <w:vAlign w:val="center"/>
          </w:tcPr>
          <w:p>
            <w:pPr>
              <w:pStyle w:val="TableContents"/>
              <w:bidi w:val="0"/>
              <w:spacing w:before="0" w:after="0"/>
              <w:jc w:val="left"/>
              <w:rPr>
                <w:spacing w:val="0"/>
              </w:rPr>
            </w:pPr>
            <w:r>
              <w:rPr>
                <w:spacing w:val="0"/>
              </w:rPr>
              <w:t>$</w:t>
            </w:r>
          </w:p>
        </w:tc>
        <w:tc>
          <w:tcPr>
            <w:tcW w:w="1375" w:type="dxa"/>
            <w:tcBorders/>
            <w:shd w:fill="CCEEFF" w:val="clear"/>
            <w:vAlign w:val="center"/>
          </w:tcPr>
          <w:p>
            <w:pPr>
              <w:pStyle w:val="TableContents"/>
              <w:bidi w:val="0"/>
              <w:spacing w:before="0" w:after="0"/>
              <w:jc w:val="right"/>
              <w:rPr>
                <w:spacing w:val="0"/>
              </w:rPr>
            </w:pPr>
            <w:r>
              <w:rPr>
                <w:spacing w:val="0"/>
              </w:rPr>
              <w:t>145,441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(429,251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(283,810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2"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tbl>
      <w:tblPr>
        <w:tblW w:w="8570" w:type="dxa"/>
        <w:jc w:val="left"/>
        <w:tblInd w:w="0" w:type="dxa"/>
        <w:tblLayout w:type="fixed"/>
        <w:tblCellMar>
          <w:top w:w="0" w:type="dxa"/>
          <w:left w:w="0" w:type="dxa"/>
          <w:bottom w:w="0" w:type="dxa"/>
          <w:right w:w="0" w:type="dxa"/>
        </w:tblCellMar>
      </w:tblPr>
      <w:tblGrid>
        <w:gridCol w:w="6185"/>
        <w:gridCol w:w="120"/>
        <w:gridCol w:w="140"/>
        <w:gridCol w:w="800"/>
        <w:gridCol w:w="155"/>
        <w:gridCol w:w="60"/>
        <w:gridCol w:w="140"/>
        <w:gridCol w:w="800"/>
        <w:gridCol w:w="170"/>
      </w:tblGrid>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9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flows from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(61,195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(87,589</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Adjustments to reconcile net loss to net cash used in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Depreciation and amortization</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886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2,040</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 lease expense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649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815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Pay-to-Play</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financing charge</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35,832</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Debt financing charge on convertible notes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464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3,145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3,847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2,483</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Credit loss expense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570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421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Deferred income taxes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(1,124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(107</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 in fair value of convertible notes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10,022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9,532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 in fair value of warrant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5,701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945</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Loss on purchase commitments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1,165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 loss on lease termination</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(18</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Changes in operating assets and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receivable, net</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(614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362</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receivable - related party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467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639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Inventories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(2,039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(2,186</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Prepaid expenses and other current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(21,630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167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assets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64</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Accounts payable and accrued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10,988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9,500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Operating lease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(616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(854</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Income taxes payable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2,108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(590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loss on purchase commitments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(2,985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(3,022</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Accrued compensation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(325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34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liabilities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1,279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(733</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cash used in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(53,532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(27,955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flows from investing activities: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Purchases of property and equipment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(902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(220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cash used in investing activities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(902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(220</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flows from financing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Payment of deferred offering costs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(4,357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 xml:space="preserve">Proceeds from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Pay-to-Play</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convertible notes and Common Rights Offering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9,425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Proceeds from convertible notes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110,718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12,300</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Proceeds from short term demand notes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4,925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Repayment of short term demand notes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(4,750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(176</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Proceeds from exercise of stock options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98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Net cash provided by financing activities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101,709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26,475</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increase (decrease) in cash, cash equivalents and restricted cash</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47,275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(1,700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cash equivalents and restricted cash- beginning of period</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3,213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4,913</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cash equivalents and restricted cash- end of period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50,488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3,213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Components of cash, cash equivalents and restricted cash:</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50,237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3,213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Restricted cash (included within Other Assets)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251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Total cash, cash equivalents and restricted cash</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50,488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3,213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Supplemental disclosures of cash flow information:</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paid during the period for taxes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223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Cash paid during the period for interest</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245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3</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Supplemental disclosures of noncash investing and financing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 xml:space="preserve">Reissuance of Shadow Preferred in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Pay-to-Play</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Pull Through Exchange at redemption value</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109,327</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Operating lease asset obtained in exchange for new operating lease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1,673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Property and equipment acquired in accounts payable &amp; accrued expenses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510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Right-of-use</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assets and lease liabilities extinguished upon termination of lease, net of gain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(108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8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warrants with convertible notes</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4,816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800" w:type="dxa"/>
            <w:tcBorders/>
            <w:vAlign w:val="center"/>
          </w:tcPr>
          <w:p>
            <w:pPr>
              <w:pStyle w:val="TableContents"/>
              <w:bidi w:val="0"/>
              <w:spacing w:before="0" w:after="0"/>
              <w:jc w:val="right"/>
              <w:rPr>
                <w:spacing w:val="0"/>
              </w:rPr>
            </w:pPr>
            <w:r>
              <w:rPr>
                <w:spacing w:val="0"/>
              </w:rPr>
              <w:t>1,690</w:t>
            </w:r>
          </w:p>
        </w:tc>
        <w:tc>
          <w:tcPr>
            <w:tcW w:w="170" w:type="dxa"/>
            <w:tcBorders/>
            <w:vAlign w:val="center"/>
          </w:tcPr>
          <w:p>
            <w:pPr>
              <w:pStyle w:val="TableContents"/>
              <w:bidi w:val="0"/>
              <w:spacing w:before="0" w:after="0"/>
              <w:jc w:val="left"/>
              <w:rPr>
                <w:spacing w:val="0"/>
              </w:rPr>
            </w:pPr>
            <w:r>
              <w:rPr>
                <w:spacing w:val="0"/>
              </w:rPr>
              <w:t> </w:t>
            </w:r>
          </w:p>
        </w:tc>
      </w:tr>
      <w:tr>
        <w:trPr/>
        <w:tc>
          <w:tcPr>
            <w:tcW w:w="618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Capitalized deferred offering costs included in accounting payable and accrued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6,764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00" w:type="dxa"/>
            <w:tcBorders/>
            <w:shd w:fill="CCEEFF" w:val="clear"/>
            <w:vAlign w:val="center"/>
          </w:tcPr>
          <w:p>
            <w:pPr>
              <w:pStyle w:val="TableContents"/>
              <w:bidi w:val="0"/>
              <w:spacing w:before="0" w:after="0"/>
              <w:jc w:val="right"/>
              <w:rPr>
                <w:spacing w:val="0"/>
              </w:rPr>
            </w:pPr>
            <w:r>
              <w:rPr>
                <w:spacing w:val="0"/>
              </w:rPr>
              <w:t>1,491</w:t>
            </w:r>
          </w:p>
        </w:tc>
        <w:tc>
          <w:tcPr>
            <w:tcW w:w="170"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Note 1. Description of Business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Blaize,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 (collectively “Blaize” or “the Company”) was originally incorporated on </w:t>
      </w:r>
    </w:p>
    <w:p>
      <w:pPr>
        <w:pStyle w:val="TextBody"/>
        <w:bidi w:val="0"/>
        <w:spacing w:before="120" w:after="0"/>
        <w:jc w:val="left"/>
        <w:rPr>
          <w:rFonts w:ascii="Times New Roman" w:hAnsi="Times New Roman"/>
          <w:sz w:val="20"/>
        </w:rPr>
      </w:pPr>
      <w:r>
        <w:rPr>
          <w:rFonts w:ascii="Times New Roman" w:hAnsi="Times New Roman"/>
          <w:sz w:val="20"/>
        </w:rPr>
        <w:t>February 16, 2010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low-power,</w:t>
      </w:r>
    </w:p>
    <w:p>
      <w:pPr>
        <w:pStyle w:val="TextBody"/>
        <w:bidi w:val="0"/>
        <w:spacing w:before="120" w:after="0"/>
        <w:jc w:val="left"/>
        <w:rPr>
          <w:rFonts w:ascii="Times New Roman" w:hAnsi="Times New Roman"/>
          <w:spacing w:val="0"/>
          <w:sz w:val="20"/>
        </w:rPr>
      </w:pPr>
      <w:r>
        <w:rPr>
          <w:rFonts w:ascii="Times New Roman" w:hAnsi="Times New Roman"/>
          <w:spacing w:val="0"/>
          <w:sz w:val="20"/>
        </w:rPr>
        <w:t>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pStyle w:val="TextBody"/>
        <w:bidi w:val="0"/>
        <w:spacing w:before="240" w:after="0"/>
        <w:jc w:val="left"/>
        <w:rPr>
          <w:rFonts w:ascii="Times New Roman" w:hAnsi="Times New Roman"/>
          <w:spacing w:val="0"/>
          <w:sz w:val="20"/>
        </w:rPr>
      </w:pPr>
      <w:r>
        <w:rPr>
          <w:rFonts w:ascii="Times New Roman" w:hAnsi="Times New Roman"/>
          <w:spacing w:val="0"/>
          <w:sz w:val="20"/>
        </w:rPr>
        <w:t>In November</w:t>
      </w:r>
    </w:p>
    <w:p>
      <w:pPr>
        <w:pStyle w:val="TextBody"/>
        <w:bidi w:val="0"/>
        <w:spacing w:before="240" w:after="0"/>
        <w:jc w:val="left"/>
        <w:rPr>
          <w:spacing w:val="0"/>
        </w:rPr>
      </w:pPr>
      <w:r>
        <w:rPr>
          <w:spacing w:val="0"/>
        </w:rPr>
        <w:t> </w:t>
      </w:r>
      <w:r>
        <w:rPr>
          <w:rFonts w:ascii="Times New Roman" w:hAnsi="Times New Roman"/>
          <w:spacing w:val="0"/>
          <w:sz w:val="20"/>
        </w:rPr>
        <w:t xml:space="preserve">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w:t>
      </w:r>
    </w:p>
    <w:p>
      <w:pPr>
        <w:pStyle w:val="TextBody"/>
        <w:bidi w:val="0"/>
        <w:spacing w:before="240" w:after="0"/>
        <w:jc w:val="left"/>
        <w:rPr>
          <w:rFonts w:ascii="Times New Roman" w:hAnsi="Times New Roman"/>
          <w:sz w:val="20"/>
        </w:rPr>
      </w:pPr>
      <w:r>
        <w:rPr>
          <w:rFonts w:ascii="Times New Roman" w:hAnsi="Times New Roman"/>
          <w:sz w:val="20"/>
        </w:rPr>
        <w:t>35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ownership. As of December 31, 2024, there has not been an operating agreement executed between the Company and the holder of the </w:t>
      </w:r>
    </w:p>
    <w:p>
      <w:pPr>
        <w:pStyle w:val="TextBody"/>
        <w:bidi w:val="0"/>
        <w:spacing w:before="240" w:after="0"/>
        <w:jc w:val="left"/>
        <w:rPr>
          <w:rFonts w:ascii="Times New Roman" w:hAnsi="Times New Roman"/>
          <w:sz w:val="20"/>
        </w:rPr>
      </w:pPr>
      <w:r>
        <w:rPr>
          <w:rFonts w:ascii="Times New Roman" w:hAnsi="Times New Roman"/>
          <w:sz w:val="20"/>
        </w:rPr>
        <w:t>65</w:t>
      </w:r>
    </w:p>
    <w:p>
      <w:pPr>
        <w:pStyle w:val="TextBody"/>
        <w:bidi w:val="0"/>
        <w:spacing w:before="240" w:after="0"/>
        <w:jc w:val="left"/>
        <w:rPr>
          <w:rFonts w:ascii="Times New Roman" w:hAnsi="Times New Roman"/>
          <w:spacing w:val="0"/>
          <w:sz w:val="20"/>
        </w:rPr>
      </w:pPr>
      <w:r>
        <w:rPr>
          <w:rFonts w:ascii="Times New Roman" w:hAnsi="Times New Roman"/>
          <w:spacing w:val="0"/>
          <w:sz w:val="20"/>
        </w:rPr>
        <w:t>% interest that would make the Company the primary beneficiary of this new legal entity. The newly established entity has incurred insignificant expenses since its incorporation.</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Concurrent with the Merger, BurTech was renamed Blaize Holdings, Inc. (“Blaize Holdings”). Beginning on January 14, 2025, Blaize Holdings’ common stock and warrants trade on NASDAQ under the ticker symbols “BZAI” and “BZAIW”,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Prior to the Merger, BurTech LP LLC was the sponsor of BurTech (the “Sponsor”) and with the close of the Merger either BurTech LP LLC or its affiliated entities, has remained a significant shareholder in Blaize Holdings.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equity exchange and other financing-related matters associated with the Merger are summarized as follows: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Blaize Convertible Promissory Notes and Equity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Immediately before the closing of the Merger, the convertible notes outstanding plus all accrued and unpaid interest, each of the issued and outstanding shares of redeemable convertible preferred stock, and all outstanding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warrants, net exercised, were automatically converted into shares of the Company’s common stock. Upon the consummation of the Merger, </w:t>
      </w:r>
    </w:p>
    <w:p>
      <w:pPr>
        <w:pStyle w:val="TextBody"/>
        <w:bidi w:val="0"/>
        <w:spacing w:before="0" w:after="0"/>
        <w:jc w:val="left"/>
        <w:rPr>
          <w:rFonts w:ascii="Times New Roman" w:hAnsi="Times New Roman"/>
          <w:sz w:val="20"/>
        </w:rPr>
      </w:pPr>
      <w:r>
        <w:rPr>
          <w:rFonts w:ascii="Times New Roman" w:hAnsi="Times New Roman"/>
          <w:sz w:val="20"/>
        </w:rPr>
        <w:t>each share of the Company’s common stock issued and outstanding were canceled and converted into the right to receive shares of Blaize Holdings Class A common stock and each share of Merger Sub Capital Stock was converted into one share of Blaize Holdings Class A common stock</w:t>
      </w:r>
    </w:p>
    <w:p>
      <w:pPr>
        <w:pStyle w:val="TextBody"/>
        <w:bidi w:val="0"/>
        <w:spacing w:before="0" w:after="0"/>
        <w:jc w:val="left"/>
        <w:rPr>
          <w:rFonts w:ascii="Times New Roman" w:hAnsi="Times New Roman"/>
          <w:spacing w:val="0"/>
          <w:sz w:val="20"/>
        </w:rPr>
      </w:pPr>
      <w:r>
        <w:rPr>
          <w:rFonts w:ascii="Times New Roman" w:hAnsi="Times New Roman"/>
          <w:spacing w:val="0"/>
          <w:sz w:val="20"/>
        </w:rPr>
        <w:t>, par value $</w:t>
      </w:r>
    </w:p>
    <w:p>
      <w:pPr>
        <w:pStyle w:val="TextBody"/>
        <w:bidi w:val="0"/>
        <w:spacing w:before="0" w:after="0"/>
        <w:jc w:val="left"/>
        <w:rPr>
          <w:rFonts w:ascii="Times New Roman" w:hAnsi="Times New Roman"/>
          <w:sz w:val="20"/>
        </w:rPr>
      </w:pPr>
      <w:r>
        <w:rPr>
          <w:rFonts w:ascii="Times New Roman" w:hAnsi="Times New Roman"/>
          <w:sz w:val="20"/>
        </w:rPr>
        <w:t>0.0001</w:t>
      </w:r>
    </w:p>
    <w:p>
      <w:pPr>
        <w:pStyle w:val="TextBody"/>
        <w:bidi w:val="0"/>
        <w:spacing w:before="0" w:after="0"/>
        <w:jc w:val="left"/>
        <w:rPr>
          <w:rFonts w:ascii="Times New Roman" w:hAnsi="Times New Roman"/>
          <w:spacing w:val="0"/>
          <w:sz w:val="20"/>
        </w:rPr>
      </w:pPr>
      <w:r>
        <w:rPr>
          <w:rFonts w:ascii="Times New Roman" w:hAnsi="Times New Roman"/>
          <w:spacing w:val="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Earnout Arrangement with holders of Legacy Blaize Common Stock and outstanding equity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Concurrent</w:t>
      </w:r>
    </w:p>
    <w:p>
      <w:pPr>
        <w:pStyle w:val="TextBody"/>
        <w:bidi w:val="0"/>
        <w:spacing w:before="120" w:after="0"/>
        <w:jc w:val="left"/>
        <w:rPr>
          <w:spacing w:val="0"/>
        </w:rPr>
      </w:pPr>
      <w:r>
        <w:rPr>
          <w:spacing w:val="0"/>
        </w:rPr>
        <w:t> </w:t>
      </w:r>
      <w:r>
        <w:rPr>
          <w:rFonts w:ascii="Times New Roman" w:hAnsi="Times New Roman"/>
          <w:spacing w:val="0"/>
          <w:sz w:val="20"/>
        </w:rPr>
        <w:t xml:space="preserve">with the Closing Date, holders of the Company common stock and outstanding equity awards (including stock options and RSU holders) agreed to the right to receive up to an aggregate amount of </w:t>
      </w:r>
    </w:p>
    <w:p>
      <w:pPr>
        <w:pStyle w:val="TextBody"/>
        <w:bidi w:val="0"/>
        <w:spacing w:before="120" w:after="0"/>
        <w:jc w:val="left"/>
        <w:rPr>
          <w:rFonts w:ascii="Times New Roman" w:hAnsi="Times New Roman"/>
          <w:sz w:val="20"/>
        </w:rPr>
      </w:pPr>
      <w:r>
        <w:rPr>
          <w:rFonts w:ascii="Times New Roman" w:hAnsi="Times New Roman"/>
          <w:sz w:val="20"/>
        </w:rPr>
        <w:t>15,000,000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of Blaize Holdings Class A Common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Stock (the “Earnout Shares”) during specified periods following the Merger (the “Earnout Period”) that will be issued if the following targets or triggering events are achieved:</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Additionally, </w:t>
      </w:r>
    </w:p>
    <w:p>
      <w:pPr>
        <w:pStyle w:val="TextBody"/>
        <w:bidi w:val="0"/>
        <w:spacing w:before="240" w:after="0"/>
        <w:jc w:val="left"/>
        <w:rPr>
          <w:rFonts w:ascii="Times New Roman" w:hAnsi="Times New Roman"/>
          <w:sz w:val="20"/>
        </w:rPr>
      </w:pPr>
      <w:r>
        <w:rPr>
          <w:rFonts w:ascii="Times New Roman" w:hAnsi="Times New Roman"/>
          <w:sz w:val="20"/>
        </w:rPr>
        <w:t>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spacing w:val="0"/>
          <w:sz w:val="20"/>
        </w:rPr>
      </w:pPr>
      <w:r>
        <w:rPr>
          <w:rFonts w:ascii="Times New Roman" w:hAnsi="Times New Roman"/>
          <w:b/>
          <w:i/>
          <w:spacing w:val="0"/>
          <w:sz w:val="20"/>
        </w:rPr>
        <w:t>Other Arrangements entered into at time of Merger or assumed upon Merger:</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Blaize Warrants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January 13, 2025, upon closing of the Merger, 28,750,000 of public warrants and 898,250 of private warrants of BurTech that were outstanding immediately before to the Merger became warrants of Blaize Holdings.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PIPE Shares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Sponsor Note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Non-Redemption</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and around December 31, 2024, BurTech entered into an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 with one or more unaffiliated stockholders of BurTech (each, an “Investor”) who agreed not to redeem (or validly rescind any redemption requests on) their shares of BurTech Class A common stock, par value $0.0001 per share of BurTech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In exchange for the foregoing commitments not to redeem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Blaize and BurTech LP LLC have agreed to guarantee that each Investor receives a return of $1.50 per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 whether an Investor (i) sells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in the open market or (ii) exercises its option to require Blaize Holdings to repurchase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Non-Redeemed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in accordance with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Non-Redemption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Agreement.</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i/>
          <w:spacing w:val="0"/>
          <w:sz w:val="20"/>
        </w:rPr>
      </w:pPr>
      <w:r>
        <w:rPr>
          <w:rFonts w:ascii="Times New Roman" w:hAnsi="Times New Roman"/>
          <w:b/>
          <w:i/>
          <w:spacing w:val="0"/>
          <w:sz w:val="20"/>
        </w:rPr>
        <w:t>Registration Rights Agreement</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Lock-up</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At the Closing Date, Blaize Holdings entered into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agreements (the </w:t>
      </w:r>
    </w:p>
    <w:p>
      <w:pPr>
        <w:pStyle w:val="TextBody"/>
        <w:bidi w:val="0"/>
        <w:spacing w:before="120" w:after="0"/>
        <w:jc w:val="left"/>
        <w:rPr>
          <w:spacing w:val="0"/>
        </w:rPr>
      </w:pPr>
      <w:r>
        <w:rPr>
          <w:spacing w:val="0"/>
        </w:rPr>
        <w:t>“</w:t>
      </w:r>
      <w:r>
        <w:rPr>
          <w:rFonts w:ascii="Times New Roman" w:hAnsi="Times New Roman"/>
          <w:spacing w:val="0"/>
          <w:sz w:val="20"/>
        </w:rPr>
        <w:t>Lock-up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day period commencing at least 150 days after the Closing Date and (y) the liquidation of Blaize Holdings.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Accounting for the Business Combination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 is the larger entity in terms of substantive operations and employee base and its operations represent the ongoing operations of the combined entity. </w:t>
            </w:r>
          </w:p>
        </w:tc>
      </w:tr>
    </w:tbl>
    <w:p>
      <w:pPr>
        <w:pStyle w:val="TextBody"/>
        <w:bidi w:val="0"/>
        <w:spacing w:before="0" w:after="0"/>
        <w:ind w:left="0" w:right="0" w:hanging="0"/>
        <w:jc w:val="left"/>
        <w:rPr>
          <w:spacing w:val="0"/>
        </w:rPr>
      </w:pPr>
      <w:r>
        <w:rPr>
          <w:spacing w:val="0"/>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7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Blaize’s existing shareholders have the greatest voting interest in the combined entity.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Blaize’s existing shareholders have the ability to control decisions regarding election and removal of the combined entity’s board of directors. </w:t>
            </w:r>
          </w:p>
        </w:tc>
      </w:tr>
    </w:tbl>
    <w:p>
      <w:pPr>
        <w:pStyle w:val="TextBody"/>
        <w:bidi w:val="0"/>
        <w:spacing w:before="0" w:after="0"/>
        <w:ind w:left="0" w:right="0" w:hanging="0"/>
        <w:jc w:val="left"/>
        <w:rPr>
          <w:spacing w:val="0"/>
        </w:rPr>
      </w:pPr>
      <w:r>
        <w:rPr>
          <w:spacing w:val="0"/>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Blaize’s senior management is the senior management of the combined entity. </w:t>
            </w:r>
          </w:p>
        </w:tc>
      </w:tr>
    </w:tbl>
    <w:p>
      <w:pPr>
        <w:pStyle w:val="TextBody"/>
        <w:bidi w:val="0"/>
        <w:spacing w:before="0" w:after="0"/>
        <w:ind w:left="0" w:right="0" w:hanging="0"/>
        <w:jc w:val="left"/>
        <w:rPr>
          <w:spacing w:val="0"/>
        </w:rPr>
      </w:pPr>
      <w:r>
        <w:rPr>
          <w:spacing w:val="0"/>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3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combined company name is named Blaize Holdings, Inc., i.e. the combined entity has assumed Blaize’s name.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consolidated financial statements have been prepared on a going concern basis, which assumes that it will be able to meet its obligations and continue its operations during the twelve months following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Since inception</w:t>
      </w:r>
    </w:p>
    <w:p>
      <w:pPr>
        <w:pStyle w:val="TextBody"/>
        <w:bidi w:val="0"/>
        <w:spacing w:before="240" w:after="0"/>
        <w:ind w:left="0" w:right="0" w:hanging="0"/>
        <w:jc w:val="left"/>
        <w:rPr>
          <w:spacing w:val="0"/>
        </w:rPr>
      </w:pPr>
      <w:r>
        <w:rPr>
          <w:spacing w:val="0"/>
        </w:rPr>
        <w:t> </w:t>
      </w:r>
      <w:r>
        <w:rPr>
          <w:rFonts w:ascii="Times New Roman" w:hAnsi="Times New Roman"/>
          <w:spacing w:val="0"/>
          <w:sz w:val="20"/>
        </w:rPr>
        <w:t xml:space="preserve">of the Company and through December 31, 2024, the Company has funded its operations primarily with cash flows from contributions from founders or other investors and other financing activities. The Company has incurred recurring losses and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negative cash flows since its inception, including a net loss of $</w:t>
      </w:r>
    </w:p>
    <w:p>
      <w:pPr>
        <w:pStyle w:val="TextBody"/>
        <w:bidi w:val="0"/>
        <w:spacing w:before="240" w:after="0"/>
        <w:jc w:val="left"/>
        <w:rPr>
          <w:rFonts w:ascii="Times New Roman" w:hAnsi="Times New Roman"/>
          <w:sz w:val="20"/>
        </w:rPr>
      </w:pPr>
      <w:r>
        <w:rPr>
          <w:rFonts w:ascii="Times New Roman" w:hAnsi="Times New Roman"/>
          <w:sz w:val="20"/>
        </w:rPr>
        <w:t>61.2</w:t>
      </w:r>
    </w:p>
    <w:p>
      <w:pPr>
        <w:pStyle w:val="TextBody"/>
        <w:bidi w:val="0"/>
        <w:spacing w:before="240" w:after="0"/>
        <w:ind w:left="0" w:right="0" w:hanging="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87.6</w:t>
      </w:r>
    </w:p>
    <w:p>
      <w:pPr>
        <w:pStyle w:val="TextBody"/>
        <w:bidi w:val="0"/>
        <w:spacing w:before="240" w:after="0"/>
        <w:ind w:left="0" w:right="0" w:hanging="0"/>
        <w:jc w:val="left"/>
        <w:rPr>
          <w:spacing w:val="0"/>
        </w:rPr>
      </w:pPr>
      <w:r>
        <w:rPr>
          <w:spacing w:val="0"/>
        </w:rPr>
        <w:t> </w:t>
      </w:r>
      <w:r>
        <w:rPr>
          <w:rFonts w:ascii="Times New Roman" w:hAnsi="Times New Roman"/>
          <w:spacing w:val="0"/>
          <w:sz w:val="20"/>
        </w:rPr>
        <w:t>million for the years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respectively. As 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the Company had cash and cash equivalents of approximately $</w:t>
      </w:r>
    </w:p>
    <w:p>
      <w:pPr>
        <w:pStyle w:val="TextBody"/>
        <w:bidi w:val="0"/>
        <w:spacing w:before="240" w:after="0"/>
        <w:jc w:val="left"/>
        <w:rPr>
          <w:rFonts w:ascii="Times New Roman" w:hAnsi="Times New Roman"/>
          <w:sz w:val="20"/>
        </w:rPr>
      </w:pPr>
      <w:r>
        <w:rPr>
          <w:rFonts w:ascii="Times New Roman" w:hAnsi="Times New Roman"/>
          <w:sz w:val="20"/>
        </w:rPr>
        <w:t>50.2</w:t>
      </w:r>
    </w:p>
    <w:p>
      <w:pPr>
        <w:pStyle w:val="TextBody"/>
        <w:bidi w:val="0"/>
        <w:spacing w:before="240" w:after="0"/>
        <w:ind w:left="0" w:right="0" w:hanging="0"/>
        <w:jc w:val="left"/>
        <w:rPr>
          <w:spacing w:val="0"/>
        </w:rPr>
      </w:pPr>
      <w:r>
        <w:rPr>
          <w:spacing w:val="0"/>
        </w:rPr>
        <w:t> </w:t>
      </w:r>
      <w:r>
        <w:rPr>
          <w:rFonts w:ascii="Times New Roman" w:hAnsi="Times New Roman"/>
          <w:spacing w:val="0"/>
          <w:sz w:val="20"/>
        </w:rPr>
        <w:t>million, a net working capital deficit of $</w:t>
      </w:r>
    </w:p>
    <w:p>
      <w:pPr>
        <w:pStyle w:val="TextBody"/>
        <w:bidi w:val="0"/>
        <w:spacing w:before="240" w:after="0"/>
        <w:jc w:val="left"/>
        <w:rPr>
          <w:rFonts w:ascii="Times New Roman" w:hAnsi="Times New Roman"/>
          <w:sz w:val="20"/>
        </w:rPr>
      </w:pPr>
      <w:r>
        <w:rPr>
          <w:rFonts w:ascii="Times New Roman" w:hAnsi="Times New Roman"/>
          <w:sz w:val="20"/>
        </w:rPr>
        <w:t>114.5</w:t>
      </w:r>
    </w:p>
    <w:p>
      <w:pPr>
        <w:pStyle w:val="TextBody"/>
        <w:bidi w:val="0"/>
        <w:spacing w:before="240" w:after="0"/>
        <w:ind w:left="0" w:right="0" w:hanging="0"/>
        <w:jc w:val="left"/>
        <w:rPr>
          <w:spacing w:val="0"/>
        </w:rPr>
      </w:pPr>
      <w:r>
        <w:rPr>
          <w:spacing w:val="0"/>
        </w:rPr>
        <w:t> </w:t>
      </w:r>
      <w:r>
        <w:rPr>
          <w:rFonts w:ascii="Times New Roman" w:hAnsi="Times New Roman"/>
          <w:spacing w:val="0"/>
          <w:sz w:val="20"/>
        </w:rPr>
        <w:t>million, and an accumulated deficit of $</w:t>
      </w:r>
    </w:p>
    <w:p>
      <w:pPr>
        <w:pStyle w:val="TextBody"/>
        <w:bidi w:val="0"/>
        <w:spacing w:before="240" w:after="0"/>
        <w:jc w:val="left"/>
        <w:rPr>
          <w:rFonts w:ascii="Times New Roman" w:hAnsi="Times New Roman"/>
          <w:sz w:val="20"/>
        </w:rPr>
      </w:pPr>
      <w:r>
        <w:rPr>
          <w:rFonts w:ascii="Times New Roman" w:hAnsi="Times New Roman"/>
          <w:sz w:val="20"/>
        </w:rPr>
        <w:t>429.3</w:t>
      </w:r>
    </w:p>
    <w:p>
      <w:pPr>
        <w:pStyle w:val="TextBody"/>
        <w:bidi w:val="0"/>
        <w:spacing w:before="240" w:after="0"/>
        <w:ind w:left="0" w:right="0" w:hanging="0"/>
        <w:jc w:val="left"/>
        <w:rPr>
          <w:spacing w:val="0"/>
        </w:rPr>
      </w:pPr>
      <w:r>
        <w:rPr>
          <w:spacing w:val="0"/>
        </w:rPr>
        <w:t> </w:t>
      </w:r>
      <w:r>
        <w:rPr>
          <w:rFonts w:ascii="Times New Roman" w:hAnsi="Times New Roman"/>
          <w:spacing w:val="0"/>
          <w:sz w:val="20"/>
        </w:rPr>
        <w:t>million.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a result of the above, in connection with the Company’s assessment of going concern considerations in accordance with Financial Accounting Standard Board’s (“FASB”) Accounting Standards Update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2014-15,</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Disclosures of Uncertainties about an Entity’s Ability to Continue as a Going Concern</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management has determined that the Company’s liquidity condition raises substantial doubt about the Company’s ability to continue as a going concern through a year from the date these consolidated financial statements are available to be issued.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2. Summary of Significant Accounting Policies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and Principles of Consolidation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recoverability of long-lived assets, amortization method and periods for capitalized software, and the estimated fair value of convertible notes, warrant liabilities, and common stock,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stock-based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Company considers all highly liquid investments with an original maturity of </w:t>
      </w:r>
    </w:p>
    <w:p>
      <w:pPr>
        <w:pStyle w:val="TextBody"/>
        <w:bidi w:val="0"/>
        <w:spacing w:before="120" w:after="0"/>
        <w:jc w:val="left"/>
        <w:rPr>
          <w:rFonts w:ascii="Times New Roman" w:hAnsi="Times New Roman"/>
          <w:sz w:val="20"/>
        </w:rPr>
      </w:pPr>
      <w:r>
        <w:rPr>
          <w:rFonts w:ascii="Times New Roman" w:hAnsi="Times New Roman"/>
          <w:sz w:val="20"/>
        </w:rPr>
        <w:t>90</w:t>
      </w:r>
    </w:p>
    <w:p>
      <w:pPr>
        <w:pStyle w:val="TextBody"/>
        <w:bidi w:val="0"/>
        <w:spacing w:before="120" w:after="0"/>
        <w:jc w:val="left"/>
        <w:rPr>
          <w:rFonts w:ascii="Times New Roman" w:hAnsi="Times New Roman"/>
          <w:spacing w:val="0"/>
          <w:sz w:val="20"/>
        </w:rPr>
      </w:pPr>
      <w:r>
        <w:rPr>
          <w:rFonts w:ascii="Times New Roman" w:hAnsi="Times New Roman"/>
          <w:spacing w:val="0"/>
          <w:sz w:val="20"/>
        </w:rPr>
        <w:t>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 Company had cash and cash equivalents balances in excess of domestic and international insurance limits of approximately $</w:t>
      </w:r>
    </w:p>
    <w:p>
      <w:pPr>
        <w:pStyle w:val="TextBody"/>
        <w:bidi w:val="0"/>
        <w:spacing w:before="240" w:after="0"/>
        <w:jc w:val="left"/>
        <w:rPr>
          <w:rFonts w:ascii="Times New Roman" w:hAnsi="Times New Roman"/>
          <w:sz w:val="20"/>
        </w:rPr>
      </w:pPr>
      <w:r>
        <w:rPr>
          <w:rFonts w:ascii="Times New Roman" w:hAnsi="Times New Roman"/>
          <w:sz w:val="20"/>
        </w:rPr>
        <w:t>49.3</w:t>
      </w:r>
    </w:p>
    <w:p>
      <w:pPr>
        <w:pStyle w:val="TextBody"/>
        <w:bidi w:val="0"/>
        <w:spacing w:before="240" w:after="0"/>
        <w:jc w:val="left"/>
        <w:rPr>
          <w:rFonts w:ascii="Times New Roman" w:hAnsi="Times New Roman"/>
          <w:spacing w:val="0"/>
          <w:sz w:val="20"/>
        </w:rPr>
      </w:pP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2.2</w:t>
      </w:r>
    </w:p>
    <w:p>
      <w:pPr>
        <w:pStyle w:val="TextBody"/>
        <w:bidi w:val="0"/>
        <w:spacing w:before="240" w:after="0"/>
        <w:jc w:val="left"/>
        <w:rPr>
          <w:spacing w:val="0"/>
        </w:rPr>
      </w:pPr>
      <w:r>
        <w:rPr>
          <w:spacing w:val="0"/>
        </w:rPr>
        <w:t> </w:t>
      </w:r>
      <w:r>
        <w:rPr>
          <w:rFonts w:ascii="Times New Roman" w:hAnsi="Times New Roman"/>
          <w:spacing w:val="0"/>
          <w:sz w:val="20"/>
        </w:rPr>
        <w:t>million, respectively.</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 Company held $</w:t>
      </w:r>
    </w:p>
    <w:p>
      <w:pPr>
        <w:pStyle w:val="TextBody"/>
        <w:bidi w:val="0"/>
        <w:spacing w:before="240" w:after="0"/>
        <w:jc w:val="left"/>
        <w:rPr>
          <w:rFonts w:ascii="Times New Roman" w:hAnsi="Times New Roman"/>
          <w:sz w:val="20"/>
        </w:rPr>
      </w:pPr>
      <w:r>
        <w:rPr>
          <w:rFonts w:ascii="Times New Roman" w:hAnsi="Times New Roman"/>
          <w:sz w:val="20"/>
        </w:rPr>
        <w:t>30.6</w:t>
      </w:r>
    </w:p>
    <w:p>
      <w:pPr>
        <w:pStyle w:val="TextBody"/>
        <w:bidi w:val="0"/>
        <w:spacing w:before="240" w:after="0"/>
        <w:jc w:val="left"/>
        <w:rPr>
          <w:spacing w:val="0"/>
        </w:rPr>
      </w:pPr>
      <w:r>
        <w:rPr>
          <w:spacing w:val="0"/>
        </w:rPr>
        <w:t> </w:t>
      </w:r>
      <w:r>
        <w:rPr>
          <w:rFonts w:ascii="Times New Roman" w:hAnsi="Times New Roman"/>
          <w:spacing w:val="0"/>
          <w:sz w:val="20"/>
        </w:rPr>
        <w:t>million in U.S. Government treasury securities, $</w:t>
      </w:r>
    </w:p>
    <w:p>
      <w:pPr>
        <w:pStyle w:val="TextBody"/>
        <w:bidi w:val="0"/>
        <w:spacing w:before="240" w:after="0"/>
        <w:jc w:val="left"/>
        <w:rPr>
          <w:rFonts w:ascii="Times New Roman" w:hAnsi="Times New Roman"/>
          <w:sz w:val="20"/>
        </w:rPr>
      </w:pPr>
      <w:r>
        <w:rPr>
          <w:rFonts w:ascii="Times New Roman" w:hAnsi="Times New Roman"/>
          <w:sz w:val="20"/>
        </w:rPr>
        <w:t>9.2</w:t>
      </w:r>
    </w:p>
    <w:p>
      <w:pPr>
        <w:pStyle w:val="TextBody"/>
        <w:bidi w:val="0"/>
        <w:spacing w:before="240" w:after="0"/>
        <w:jc w:val="left"/>
        <w:rPr>
          <w:spacing w:val="0"/>
        </w:rPr>
      </w:pPr>
      <w:r>
        <w:rPr>
          <w:spacing w:val="0"/>
        </w:rPr>
        <w:t> </w:t>
      </w:r>
      <w:r>
        <w:rPr>
          <w:rFonts w:ascii="Times New Roman" w:hAnsi="Times New Roman"/>
          <w:spacing w:val="0"/>
          <w:sz w:val="20"/>
        </w:rPr>
        <w:t>million in a U.S. Government money market fund, and $</w:t>
      </w:r>
    </w:p>
    <w:p>
      <w:pPr>
        <w:pStyle w:val="TextBody"/>
        <w:bidi w:val="0"/>
        <w:spacing w:before="240" w:after="0"/>
        <w:jc w:val="left"/>
        <w:rPr>
          <w:rFonts w:ascii="Times New Roman" w:hAnsi="Times New Roman"/>
          <w:sz w:val="20"/>
        </w:rPr>
      </w:pPr>
      <w:r>
        <w:rPr>
          <w:rFonts w:ascii="Times New Roman" w:hAnsi="Times New Roman"/>
          <w:sz w:val="20"/>
        </w:rPr>
        <w:t>5.1</w:t>
      </w:r>
    </w:p>
    <w:p>
      <w:pPr>
        <w:pStyle w:val="TextBody"/>
        <w:bidi w:val="0"/>
        <w:spacing w:before="240" w:after="0"/>
        <w:jc w:val="left"/>
        <w:rPr>
          <w:spacing w:val="0"/>
        </w:rPr>
      </w:pPr>
      <w:r>
        <w:rPr>
          <w:spacing w:val="0"/>
        </w:rPr>
        <w:t> </w:t>
      </w:r>
      <w:r>
        <w:rPr>
          <w:rFonts w:ascii="Times New Roman" w:hAnsi="Times New Roman"/>
          <w:spacing w:val="0"/>
          <w:sz w:val="20"/>
        </w:rPr>
        <w:t xml:space="preserve">million in mutual funds (see Note </w:t>
      </w:r>
    </w:p>
    <w:p>
      <w:pPr>
        <w:pStyle w:val="TextBody"/>
        <w:bidi w:val="0"/>
        <w:spacing w:before="240" w:after="0"/>
        <w:jc w:val="left"/>
        <w:rPr>
          <w:rFonts w:ascii="Times New Roman" w:hAnsi="Times New Roman"/>
          <w:sz w:val="20"/>
        </w:rPr>
      </w:pPr>
      <w:r>
        <w:rPr>
          <w:rFonts w:ascii="Times New Roman" w:hAnsi="Times New Roman"/>
          <w:sz w:val="20"/>
        </w:rPr>
        <w:t>4)</w:t>
      </w:r>
    </w:p>
    <w:p>
      <w:pPr>
        <w:pStyle w:val="TextBody"/>
        <w:bidi w:val="0"/>
        <w:spacing w:before="240" w:after="0"/>
        <w:jc w:val="left"/>
        <w:rPr>
          <w:rFonts w:ascii="Times New Roman" w:hAnsi="Times New Roman"/>
          <w:spacing w:val="0"/>
          <w:sz w:val="20"/>
        </w:rPr>
      </w:pPr>
      <w:r>
        <w:rPr>
          <w:rFonts w:ascii="Times New Roman" w:hAnsi="Times New Roman"/>
          <w:spacing w:val="0"/>
          <w:sz w:val="20"/>
        </w:rPr>
        <w:t>. As 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the Company had </w:t>
      </w:r>
    </w:p>
    <w:p>
      <w:pPr>
        <w:pStyle w:val="TextBody"/>
        <w:bidi w:val="0"/>
        <w:spacing w:before="240" w:after="0"/>
        <w:jc w:val="left"/>
        <w:rPr>
          <w:rFonts w:ascii="Times New Roman" w:hAnsi="Times New Roman"/>
          <w:sz w:val="20"/>
        </w:rPr>
      </w:pPr>
      <w:r>
        <w:rPr>
          <w:rFonts w:ascii="Times New Roman" w:hAnsi="Times New Roman"/>
          <w:sz w:val="20"/>
        </w:rPr>
        <w:t>no</w:t>
      </w:r>
    </w:p>
    <w:p>
      <w:pPr>
        <w:pStyle w:val="TextBody"/>
        <w:bidi w:val="0"/>
        <w:spacing w:before="240" w:after="0"/>
        <w:jc w:val="left"/>
        <w:rPr>
          <w:rFonts w:ascii="Times New Roman" w:hAnsi="Times New Roman"/>
          <w:spacing w:val="0"/>
          <w:sz w:val="20"/>
        </w:rPr>
      </w:pPr>
      <w:r>
        <w:rPr>
          <w:rFonts w:ascii="Times New Roman" w:hAnsi="Times New Roman"/>
          <w:spacing w:val="0"/>
          <w:sz w:val="20"/>
        </w:rPr>
        <w:t>cash equivalents.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Restricted cash represents cash balances held as security deposits related to international payment services. As of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 restricted cash of $</w:t>
      </w:r>
    </w:p>
    <w:p>
      <w:pPr>
        <w:pStyle w:val="TextBody"/>
        <w:bidi w:val="0"/>
        <w:spacing w:before="120" w:after="0"/>
        <w:jc w:val="left"/>
        <w:rPr>
          <w:rFonts w:ascii="Times New Roman" w:hAnsi="Times New Roman"/>
          <w:sz w:val="20"/>
        </w:rPr>
      </w:pPr>
      <w:r>
        <w:rPr>
          <w:rFonts w:ascii="Times New Roman" w:hAnsi="Times New Roman"/>
          <w:sz w:val="20"/>
        </w:rPr>
        <w:t>0.3</w:t>
      </w:r>
    </w:p>
    <w:p>
      <w:pPr>
        <w:pStyle w:val="TextBody"/>
        <w:bidi w:val="0"/>
        <w:spacing w:before="120" w:after="0"/>
        <w:jc w:val="left"/>
        <w:rPr>
          <w:spacing w:val="0"/>
        </w:rPr>
      </w:pPr>
      <w:r>
        <w:rPr>
          <w:spacing w:val="0"/>
        </w:rPr>
        <w:t> </w:t>
      </w:r>
      <w:r>
        <w:rPr>
          <w:rFonts w:ascii="Times New Roman" w:hAnsi="Times New Roman"/>
          <w:spacing w:val="0"/>
          <w:sz w:val="20"/>
        </w:rPr>
        <w:t>million was included within other assets on the consolidated balance sheets. As of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the Company had </w:t>
      </w:r>
    </w:p>
    <w:p>
      <w:pPr>
        <w:pStyle w:val="TextBody"/>
        <w:bidi w:val="0"/>
        <w:spacing w:before="120" w:after="0"/>
        <w:jc w:val="left"/>
        <w:rPr>
          <w:rFonts w:ascii="Times New Roman" w:hAnsi="Times New Roman"/>
          <w:sz w:val="20"/>
        </w:rPr>
      </w:pPr>
      <w:r>
        <w:rPr>
          <w:rFonts w:ascii="Times New Roman" w:hAnsi="Times New Roman"/>
          <w:sz w:val="20"/>
        </w:rPr>
        <w:t>no</w:t>
      </w:r>
    </w:p>
    <w:p>
      <w:pPr>
        <w:pStyle w:val="TextBody"/>
        <w:bidi w:val="0"/>
        <w:spacing w:before="120" w:after="0"/>
        <w:jc w:val="left"/>
        <w:rPr>
          <w:rFonts w:ascii="Times New Roman" w:hAnsi="Times New Roman"/>
          <w:spacing w:val="0"/>
          <w:sz w:val="20"/>
        </w:rPr>
      </w:pPr>
      <w:r>
        <w:rPr>
          <w:rFonts w:ascii="Times New Roman" w:hAnsi="Times New Roman"/>
          <w:spacing w:val="0"/>
          <w:sz w:val="20"/>
        </w:rPr>
        <w:t>restricted cash.</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Accounts Receivable,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w:t>
      </w:r>
    </w:p>
    <w:p>
      <w:pPr>
        <w:pStyle w:val="TextBody"/>
        <w:bidi w:val="0"/>
        <w:spacing w:before="120" w:after="0"/>
        <w:jc w:val="left"/>
        <w:rPr>
          <w:rFonts w:ascii="Times New Roman" w:hAnsi="Times New Roman"/>
          <w:sz w:val="20"/>
        </w:rPr>
      </w:pPr>
      <w:r>
        <w:rPr>
          <w:rFonts w:ascii="Times New Roman" w:hAnsi="Times New Roman"/>
          <w:sz w:val="20"/>
        </w:rPr>
        <w:t>0.4</w:t>
      </w:r>
    </w:p>
    <w:p>
      <w:pPr>
        <w:pStyle w:val="TextBody"/>
        <w:bidi w:val="0"/>
        <w:spacing w:before="120" w:after="0"/>
        <w:jc w:val="left"/>
        <w:rPr>
          <w:spacing w:val="0"/>
        </w:rPr>
      </w:pPr>
      <w:r>
        <w:rPr>
          <w:spacing w:val="0"/>
        </w:rPr>
        <w:t> </w:t>
      </w:r>
      <w:r>
        <w:rPr>
          <w:rFonts w:ascii="Times New Roman" w:hAnsi="Times New Roman"/>
          <w:spacing w:val="0"/>
          <w:sz w:val="20"/>
        </w:rPr>
        <w:t xml:space="preserve">million as of December 31, 2024 and 2023, respectively. As of December 31, 2024 and 2023, the Company’s accounts receivable included </w:t>
      </w:r>
    </w:p>
    <w:p>
      <w:pPr>
        <w:pStyle w:val="TextBody"/>
        <w:bidi w:val="0"/>
        <w:spacing w:before="120" w:after="0"/>
        <w:jc w:val="left"/>
        <w:rPr>
          <w:rFonts w:ascii="Times New Roman" w:hAnsi="Times New Roman"/>
          <w:sz w:val="20"/>
        </w:rPr>
      </w:pPr>
      <w:r>
        <w:rPr>
          <w:rFonts w:ascii="Times New Roman" w:hAnsi="Times New Roman"/>
          <w:sz w:val="20"/>
        </w:rPr>
        <w:t>zero</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 approximately $</w:t>
      </w:r>
    </w:p>
    <w:p>
      <w:pPr>
        <w:pStyle w:val="TextBody"/>
        <w:bidi w:val="0"/>
        <w:spacing w:before="120" w:after="0"/>
        <w:jc w:val="left"/>
        <w:rPr>
          <w:rFonts w:ascii="Times New Roman" w:hAnsi="Times New Roman"/>
          <w:sz w:val="20"/>
        </w:rPr>
      </w:pPr>
      <w:r>
        <w:rPr>
          <w:rFonts w:ascii="Times New Roman" w:hAnsi="Times New Roman"/>
          <w:sz w:val="20"/>
        </w:rPr>
        <w:t>0.5</w:t>
      </w:r>
    </w:p>
    <w:p>
      <w:pPr>
        <w:pStyle w:val="TextBody"/>
        <w:bidi w:val="0"/>
        <w:spacing w:before="120" w:after="0"/>
        <w:jc w:val="left"/>
        <w:rPr>
          <w:spacing w:val="0"/>
        </w:rPr>
      </w:pPr>
      <w:r>
        <w:rPr>
          <w:spacing w:val="0"/>
        </w:rPr>
        <w:t> </w:t>
      </w:r>
      <w:r>
        <w:rPr>
          <w:rFonts w:ascii="Times New Roman" w:hAnsi="Times New Roman"/>
          <w:spacing w:val="0"/>
          <w:sz w:val="20"/>
        </w:rPr>
        <w:t>million, respectively, of unbilled accounts receivable (See Note 13).</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Inventories consist of raw materials, work in process inventories, and finished goods. Inventories are stated at the lower of cost or net realizable value, with cost being determined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first-in,</w:t>
      </w:r>
    </w:p>
    <w:p>
      <w:pPr>
        <w:pStyle w:val="TextBody"/>
        <w:bidi w:val="0"/>
        <w:spacing w:before="120" w:after="0"/>
        <w:jc w:val="left"/>
        <w:rPr>
          <w:rFonts w:ascii="Times New Roman" w:hAnsi="Times New Roman"/>
          <w:spacing w:val="0"/>
          <w:sz w:val="20"/>
        </w:rPr>
      </w:pPr>
      <w:r>
        <w:rPr>
          <w:rFonts w:ascii="Times New Roman" w:hAnsi="Times New Roman"/>
          <w:spacing w:val="0"/>
          <w:sz w:val="20"/>
        </w:rPr>
        <w:t>first-out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basis. Net realizable value is the estimated selling price in the ordinary course of business less the estimated costs of completion and the estimated costs necessary to make the sale. Adjustments to reduce the cost of inventory to its net realizable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are stated at cost less accumulated depreciation. Depreciation is computed using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straight-line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method over the following estimated useful lives: </w:t>
      </w:r>
    </w:p>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2405"/>
        <w:gridCol w:w="120"/>
        <w:gridCol w:w="426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Computer equipment</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right"/>
              <w:rPr>
                <w:spacing w:val="0"/>
              </w:rPr>
            </w:pPr>
            <w:r>
              <w:rPr>
                <w:spacing w:val="0"/>
              </w:rPr>
              <w:t>3-5</w:t>
            </w:r>
          </w:p>
          <w:p>
            <w:pPr>
              <w:pStyle w:val="TableContents"/>
              <w:bidi w:val="0"/>
              <w:spacing w:before="0" w:after="0"/>
              <w:jc w:val="right"/>
              <w:rPr/>
            </w:pPr>
            <w:r>
              <w:rPr/>
              <w:t>years</w:t>
            </w:r>
          </w:p>
        </w:tc>
      </w:tr>
      <w:tr>
        <w:trPr/>
        <w:tc>
          <w:tcPr>
            <w:tcW w:w="2405" w:type="dxa"/>
            <w:tcBorders/>
            <w:vAlign w:val="center"/>
          </w:tcPr>
          <w:p>
            <w:pPr>
              <w:pStyle w:val="TableContents"/>
              <w:bidi w:val="0"/>
              <w:spacing w:before="0" w:after="283"/>
              <w:jc w:val="left"/>
              <w:rPr/>
            </w:pPr>
            <w:r>
              <w:rPr/>
              <w:t>Software</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3 years</w:t>
            </w:r>
          </w:p>
        </w:tc>
      </w:tr>
      <w:tr>
        <w:trPr/>
        <w:tc>
          <w:tcPr>
            <w:tcW w:w="2405" w:type="dxa"/>
            <w:tcBorders/>
            <w:vAlign w:val="center"/>
          </w:tcPr>
          <w:p>
            <w:pPr>
              <w:pStyle w:val="TableContents"/>
              <w:bidi w:val="0"/>
              <w:spacing w:before="0" w:after="283"/>
              <w:jc w:val="left"/>
              <w:rPr/>
            </w:pPr>
            <w:r>
              <w:rPr/>
              <w:t>Furniture and fixtures</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5 years</w:t>
            </w:r>
          </w:p>
        </w:tc>
      </w:tr>
      <w:tr>
        <w:trPr/>
        <w:tc>
          <w:tcPr>
            <w:tcW w:w="2405" w:type="dxa"/>
            <w:tcBorders/>
            <w:vAlign w:val="center"/>
          </w:tcPr>
          <w:p>
            <w:pPr>
              <w:pStyle w:val="TableContents"/>
              <w:bidi w:val="0"/>
              <w:spacing w:before="0" w:after="283"/>
              <w:jc w:val="left"/>
              <w:rPr/>
            </w:pPr>
            <w:r>
              <w:rPr/>
              <w:t>Office equipment</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5 years</w:t>
            </w:r>
          </w:p>
        </w:tc>
      </w:tr>
      <w:tr>
        <w:trPr/>
        <w:tc>
          <w:tcPr>
            <w:tcW w:w="2405" w:type="dxa"/>
            <w:tcBorders/>
            <w:vAlign w:val="center"/>
          </w:tcPr>
          <w:p>
            <w:pPr>
              <w:pStyle w:val="TableContents"/>
              <w:bidi w:val="0"/>
              <w:spacing w:before="0" w:after="283"/>
              <w:jc w:val="left"/>
              <w:rPr/>
            </w:pPr>
            <w:r>
              <w:rPr/>
              <w:t>Vehicles</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pPr>
            <w:r>
              <w:rPr/>
              <w:t>8 years</w:t>
            </w:r>
          </w:p>
        </w:tc>
      </w:tr>
      <w:tr>
        <w:trPr/>
        <w:tc>
          <w:tcPr>
            <w:tcW w:w="2405" w:type="dxa"/>
            <w:tcBorders/>
            <w:vAlign w:val="center"/>
          </w:tcPr>
          <w:p>
            <w:pPr>
              <w:pStyle w:val="TableContents"/>
              <w:bidi w:val="0"/>
              <w:spacing w:before="0" w:after="283"/>
              <w:jc w:val="left"/>
              <w:rPr/>
            </w:pPr>
            <w:r>
              <w:rPr/>
              <w:t>Leasehold improvements</w:t>
            </w:r>
          </w:p>
        </w:tc>
        <w:tc>
          <w:tcPr>
            <w:tcW w:w="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right"/>
              <w:rPr/>
            </w:pPr>
            <w:r>
              <w:rPr/>
              <w:t>Shorter of the related lease term or useful life</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determines if an arrangement is or contains a lease based on the unique facts and circumstances present at the inception of the arrangement and if such a lease is classified as a financing lease or operating lease. Operating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lease term when determining the lease assets and liabilities. As of December 31, 2024 and 2023, the Company had </w:t>
      </w:r>
    </w:p>
    <w:p>
      <w:pPr>
        <w:pStyle w:val="TextBody"/>
        <w:bidi w:val="0"/>
        <w:spacing w:before="120" w:after="0"/>
        <w:jc w:val="left"/>
        <w:rPr>
          <w:rFonts w:ascii="Times New Roman" w:hAnsi="Times New Roman"/>
          <w:sz w:val="20"/>
        </w:rPr>
      </w:pPr>
      <w:r>
        <w:rPr>
          <w:rFonts w:ascii="Times New Roman" w:hAnsi="Times New Roman"/>
          <w:sz w:val="20"/>
        </w:rPr>
        <w:t>no</w:t>
      </w:r>
    </w:p>
    <w:p>
      <w:pPr>
        <w:pStyle w:val="TextBody"/>
        <w:bidi w:val="0"/>
        <w:spacing w:before="120" w:after="0"/>
        <w:jc w:val="left"/>
        <w:rPr>
          <w:rFonts w:ascii="Times New Roman" w:hAnsi="Times New Roman"/>
          <w:spacing w:val="0"/>
          <w:sz w:val="20"/>
        </w:rPr>
      </w:pPr>
      <w:r>
        <w:rPr>
          <w:rFonts w:ascii="Times New Roman" w:hAnsi="Times New Roman"/>
          <w:spacing w:val="0"/>
          <w:sz w:val="20"/>
        </w:rPr>
        <w:t>finance leases.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month-to-month</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leases are recognized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Software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Software development costs for software to be sold, leased, or marketed are accounted for in accordance with Accounting Standards Codification (“ASC”) 985-20,</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Software — Costs of Software to be Sold, Leased or Marketed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feature-by-feature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basis and the estimated economic life of a feature is one year. To date, the impact of capitalizing qualifying software development costs has been immaterial.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Deferred Offering Costs</w:t>
      </w:r>
    </w:p>
    <w:p>
      <w:pPr>
        <w:pStyle w:val="TextBody"/>
        <w:bidi w:val="0"/>
        <w:spacing w:before="120" w:after="0"/>
        <w:jc w:val="left"/>
        <w:rPr>
          <w:rFonts w:ascii="Times New Roman" w:hAnsi="Times New Roman"/>
          <w:spacing w:val="0"/>
          <w:sz w:val="20"/>
        </w:rPr>
      </w:pPr>
      <w:r>
        <w:rPr>
          <w:rFonts w:ascii="Times New Roman" w:hAnsi="Times New Roman"/>
          <w:spacing w:val="0"/>
          <w:sz w:val="20"/>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w:t>
      </w:r>
    </w:p>
    <w:p>
      <w:pPr>
        <w:pStyle w:val="TextBody"/>
        <w:bidi w:val="0"/>
        <w:spacing w:before="120" w:after="0"/>
        <w:jc w:val="left"/>
        <w:rPr>
          <w:rFonts w:ascii="Times New Roman" w:hAnsi="Times New Roman"/>
          <w:sz w:val="20"/>
        </w:rPr>
      </w:pPr>
      <w:r>
        <w:rPr>
          <w:rFonts w:ascii="Times New Roman" w:hAnsi="Times New Roman"/>
          <w:sz w:val="20"/>
        </w:rPr>
        <w:t>11.1</w:t>
      </w:r>
    </w:p>
    <w:p>
      <w:pPr>
        <w:pStyle w:val="TextBody"/>
        <w:bidi w:val="0"/>
        <w:spacing w:before="120" w:after="0"/>
        <w:jc w:val="left"/>
        <w:rPr>
          <w:spacing w:val="0"/>
        </w:rPr>
      </w:pPr>
      <w:r>
        <w:rPr>
          <w:spacing w:val="0"/>
        </w:rPr>
        <w:t> </w:t>
      </w:r>
      <w:r>
        <w:rPr>
          <w:rFonts w:ascii="Times New Roman" w:hAnsi="Times New Roman"/>
          <w:spacing w:val="0"/>
          <w:sz w:val="20"/>
        </w:rPr>
        <w:t>million and $</w:t>
      </w:r>
    </w:p>
    <w:p>
      <w:pPr>
        <w:pStyle w:val="TextBody"/>
        <w:bidi w:val="0"/>
        <w:spacing w:before="120" w:after="0"/>
        <w:jc w:val="left"/>
        <w:rPr>
          <w:rFonts w:ascii="Times New Roman" w:hAnsi="Times New Roman"/>
          <w:sz w:val="20"/>
        </w:rPr>
      </w:pPr>
      <w:r>
        <w:rPr>
          <w:rFonts w:ascii="Times New Roman" w:hAnsi="Times New Roman"/>
          <w:sz w:val="20"/>
        </w:rPr>
        <w:t>1.5</w:t>
      </w:r>
    </w:p>
    <w:p>
      <w:pPr>
        <w:pStyle w:val="TextBody"/>
        <w:bidi w:val="0"/>
        <w:spacing w:before="120" w:after="0"/>
        <w:jc w:val="left"/>
        <w:rPr>
          <w:spacing w:val="0"/>
        </w:rPr>
      </w:pPr>
      <w:r>
        <w:rPr>
          <w:spacing w:val="0"/>
        </w:rPr>
        <w:t> </w:t>
      </w:r>
      <w:r>
        <w:rPr>
          <w:rFonts w:ascii="Times New Roman" w:hAnsi="Times New Roman"/>
          <w:spacing w:val="0"/>
          <w:sz w:val="20"/>
        </w:rPr>
        <w:t>million, respectively, capitalized deferred offering costs included in prepaid expenses and other current assets on the consolidated balance sheets.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Long-Lived</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Whenever events or changes in circumstances indicate that the carrying amount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long-lived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w:t>
      </w:r>
    </w:p>
    <w:p>
      <w:pPr>
        <w:pStyle w:val="TextBody"/>
        <w:bidi w:val="0"/>
        <w:spacing w:before="120" w:after="0"/>
        <w:jc w:val="left"/>
        <w:rPr>
          <w:rFonts w:ascii="Times New Roman" w:hAnsi="Times New Roman"/>
          <w:sz w:val="20"/>
        </w:rPr>
      </w:pPr>
      <w:r>
        <w:rPr>
          <w:rFonts w:ascii="Times New Roman" w:hAnsi="Times New Roman"/>
          <w:sz w:val="20"/>
        </w:rPr>
        <w:t>no</w:t>
      </w:r>
    </w:p>
    <w:p>
      <w:pPr>
        <w:pStyle w:val="TextBody"/>
        <w:bidi w:val="0"/>
        <w:spacing w:before="120" w:after="0"/>
        <w:jc w:val="left"/>
        <w:rPr>
          <w:rFonts w:ascii="Times New Roman" w:hAnsi="Times New Roman"/>
          <w:spacing w:val="0"/>
          <w:sz w:val="20"/>
        </w:rPr>
      </w:pPr>
      <w:r>
        <w:rPr>
          <w:rFonts w:ascii="Times New Roman" w:hAnsi="Times New Roman"/>
          <w:spacing w:val="0"/>
          <w:sz w:val="20"/>
        </w:rPr>
        <w:t>t recognize any impairment expense related to its long-lived assets.</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Embedded Derivative Evaluation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income or expense.</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Convertible Notes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Debt—Debt with Conversion and Other Options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Derivatives and Hedging—Contracts in Entity’s Own Equity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815-40)</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 Contracts in an Entity’s Own Equity</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has elected to account for its convertible notes at fair value at each period end pursuant to ASC 825,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wherein changes in the fair value are recorded as change in fair value of convertible notes in the consolidated statements of operations.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Warrant Liabilities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Redeemable Convertible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derives revenue from product sales, license and development arrangements, joint marketing arrangements and cloud services. The Company recognizes revenue under ASC Topic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(ASC 606), in which it determines revenue recognition through the following steps: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1: Identify the contract with the customer.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2: Identify the performance obligations in the contract.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3: Determine the transaction price.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4: Allocate the transaction price to the performance obligations in the contract.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Step 5: Recognize revenue when the company satisfies a performance obligation.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w:t>
      </w:r>
    </w:p>
    <w:p>
      <w:pPr>
        <w:pStyle w:val="TextBody"/>
        <w:bidi w:val="0"/>
        <w:spacing w:before="240" w:after="0"/>
        <w:jc w:val="left"/>
        <w:rPr>
          <w:spacing w:val="0"/>
        </w:rPr>
      </w:pPr>
      <w:r>
        <w:rPr>
          <w:spacing w:val="0"/>
        </w:rPr>
        <w:t> </w:t>
      </w:r>
      <w:r>
        <w:rPr>
          <w:rFonts w:ascii="Times New Roman" w:hAnsi="Times New Roman"/>
          <w:spacing w:val="0"/>
          <w:sz w:val="20"/>
        </w:rPr>
        <w:t xml:space="preserve">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following table is a rollforward of contract liabilities, which are included in accrued expenses and other current liabilities and other liabilities on the consolidated balance sheets, as of December 31, 2024 and 2023 (in thousands):</w:t>
      </w:r>
    </w:p>
    <w:p>
      <w:pPr>
        <w:pStyle w:val="TextBody"/>
        <w:bidi w:val="0"/>
        <w:spacing w:before="0" w:after="0"/>
        <w:jc w:val="left"/>
        <w:rPr/>
      </w:pPr>
      <w:r>
        <w:rPr/>
        <w:t> </w:t>
      </w:r>
    </w:p>
    <w:p>
      <w:pPr>
        <w:pStyle w:val="TextBody"/>
        <w:bidi w:val="0"/>
        <w:spacing w:before="0" w:after="0"/>
        <w:jc w:val="left"/>
        <w:rPr>
          <w:sz w:val="24"/>
        </w:rPr>
      </w:pPr>
      <w:r>
        <w:rPr>
          <w:sz w:val="24"/>
        </w:rPr>
      </w:r>
    </w:p>
    <w:tbl>
      <w:tblPr>
        <w:tblW w:w="4490" w:type="dxa"/>
        <w:jc w:val="left"/>
        <w:tblInd w:w="0" w:type="dxa"/>
        <w:tblLayout w:type="fixed"/>
        <w:tblCellMar>
          <w:top w:w="0" w:type="dxa"/>
          <w:left w:w="0" w:type="dxa"/>
          <w:bottom w:w="0" w:type="dxa"/>
          <w:right w:w="0" w:type="dxa"/>
        </w:tblCellMar>
      </w:tblPr>
      <w:tblGrid>
        <w:gridCol w:w="2375"/>
        <w:gridCol w:w="120"/>
        <w:gridCol w:w="140"/>
        <w:gridCol w:w="635"/>
        <w:gridCol w:w="155"/>
        <w:gridCol w:w="120"/>
        <w:gridCol w:w="140"/>
        <w:gridCol w:w="635"/>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1,830</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 of 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3,113</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Recognition of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(3,843</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1,100</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offers a standard assurance-type warranty to customers for hardware sales.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Advertising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Advertising costs are expensed as incurred and are included in selling, general and administrative expenses in the consolidated statements of operations. Advertising costs were immaterial for the years ended December 31, 2024 and 2023,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subject to income taxes in the U.S. and various foreign jurisdictions. The Company uses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asset-and-liability</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jurisdiction-by-jurisdiction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recognizes the cost of employee, non-employee consultants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pacing w:val="0"/>
          <w:sz w:val="20"/>
        </w:rPr>
      </w:pPr>
      <w:r>
        <w:rPr>
          <w:rFonts w:ascii="Times New Roman" w:hAnsi="Times New Roman"/>
          <w:spacing w:val="0"/>
          <w:sz w:val="20"/>
        </w:rPr>
        <w:t>directors’ services received in exchange for awards of stock options based on the fair value of those awards at the date of grant over the requisite service period. The fair value of stock options granted is determined using the Black-</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also grants RSUs to employees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w:t>
      </w:r>
    </w:p>
    <w:p>
      <w:pPr>
        <w:pStyle w:val="TextBody"/>
        <w:bidi w:val="0"/>
        <w:spacing w:before="240" w:after="0"/>
        <w:jc w:val="left"/>
        <w:rPr>
          <w:rFonts w:ascii="Times New Roman" w:hAnsi="Times New Roman"/>
          <w:sz w:val="20"/>
        </w:rPr>
      </w:pPr>
      <w:r>
        <w:rPr>
          <w:rFonts w:ascii="Times New Roman" w:hAnsi="Times New Roman"/>
          <w:sz w:val="20"/>
        </w:rPr>
        <w:t>no</w:t>
      </w:r>
    </w:p>
    <w:p>
      <w:pPr>
        <w:pStyle w:val="TextBody"/>
        <w:bidi w:val="0"/>
        <w:spacing w:before="240" w:after="0"/>
        <w:jc w:val="left"/>
        <w:rPr>
          <w:rFonts w:ascii="Times New Roman" w:hAnsi="Times New Roman"/>
          <w:spacing w:val="0"/>
          <w:sz w:val="20"/>
        </w:rPr>
      </w:pPr>
      <w:r>
        <w:rPr>
          <w:rFonts w:ascii="Times New Roman" w:hAnsi="Times New Roman"/>
          <w:spacing w:val="0"/>
          <w:sz w:val="20"/>
        </w:rPr>
        <w:t>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Forfeitures are recognized as they occur.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requires fair value measurements be classified and disclosed in one of the following pricing categories: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This level consists of unadjusted quoted prices in active markets for identical assets or liabilities that the reporting entity can access at the measurement date.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Level 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recognized in other income (expense), net, in the consolidated statements of operations. During the year ended December 31, 2024, foreign currency transaction losses of $</w:t>
      </w:r>
    </w:p>
    <w:p>
      <w:pPr>
        <w:pStyle w:val="TextBody"/>
        <w:bidi w:val="0"/>
        <w:spacing w:before="0" w:after="0"/>
        <w:jc w:val="left"/>
        <w:rPr>
          <w:rFonts w:ascii="Times New Roman" w:hAnsi="Times New Roman"/>
          <w:sz w:val="20"/>
        </w:rPr>
      </w:pPr>
      <w:r>
        <w:rPr>
          <w:rFonts w:ascii="Times New Roman" w:hAnsi="Times New Roman"/>
          <w:sz w:val="20"/>
        </w:rPr>
        <w:t>0.2</w:t>
      </w:r>
    </w:p>
    <w:p>
      <w:pPr>
        <w:pStyle w:val="TextBody"/>
        <w:bidi w:val="0"/>
        <w:spacing w:before="0" w:after="0"/>
        <w:jc w:val="left"/>
        <w:rPr>
          <w:spacing w:val="0"/>
        </w:rPr>
      </w:pPr>
      <w:r>
        <w:rPr>
          <w:spacing w:val="0"/>
        </w:rPr>
        <w:t> </w:t>
      </w:r>
      <w:r>
        <w:rPr>
          <w:rFonts w:ascii="Times New Roman" w:hAnsi="Times New Roman"/>
          <w:spacing w:val="0"/>
          <w:sz w:val="20"/>
        </w:rPr>
        <w:t>million was included in other income (expense), net in the consolidated statements of operations. During the year ended December 31, 2023, foreign currency transaction gain was immaterial.</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w:t>
      </w:r>
    </w:p>
    <w:p>
      <w:pPr>
        <w:pStyle w:val="TextBody"/>
        <w:bidi w:val="0"/>
        <w:spacing w:before="120" w:after="0"/>
        <w:jc w:val="left"/>
        <w:rPr>
          <w:rFonts w:ascii="Times New Roman" w:hAnsi="Times New Roman"/>
          <w:sz w:val="20"/>
        </w:rPr>
      </w:pPr>
      <w:r>
        <w:rPr>
          <w:rFonts w:ascii="Times New Roman" w:hAnsi="Times New Roman"/>
          <w:sz w:val="20"/>
        </w:rPr>
        <w:t>250,000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Investments in money markets are not insured or guaranteed by the FDIC or any other government agency.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exposed to credit risk in the event of nonpayment by customers up to the amounts recorded on the consolidated balance sheets. The Company manages its accounts receivable credit risk through ongoing credit evaluation of its customers’ financial conditions.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one customer accounted for approximately </w:t>
      </w:r>
    </w:p>
    <w:p>
      <w:pPr>
        <w:pStyle w:val="TextBody"/>
        <w:bidi w:val="0"/>
        <w:spacing w:before="240" w:after="0"/>
        <w:jc w:val="left"/>
        <w:rPr>
          <w:rFonts w:ascii="Times New Roman" w:hAnsi="Times New Roman"/>
          <w:sz w:val="20"/>
        </w:rPr>
      </w:pPr>
      <w:r>
        <w:rPr>
          <w:rFonts w:ascii="Times New Roman" w:hAnsi="Times New Roman"/>
          <w:sz w:val="20"/>
        </w:rPr>
        <w:t>98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of the Company’s accounts receivable. As of December 31, 2023, one customer, a related party, accounted for approximately </w:t>
      </w:r>
    </w:p>
    <w:p>
      <w:pPr>
        <w:pStyle w:val="TextBody"/>
        <w:bidi w:val="0"/>
        <w:spacing w:before="240" w:after="0"/>
        <w:jc w:val="left"/>
        <w:rPr>
          <w:rFonts w:ascii="Times New Roman" w:hAnsi="Times New Roman"/>
          <w:sz w:val="20"/>
        </w:rPr>
      </w:pPr>
      <w:r>
        <w:rPr>
          <w:rFonts w:ascii="Times New Roman" w:hAnsi="Times New Roman"/>
          <w:sz w:val="20"/>
        </w:rPr>
        <w:t>98</w:t>
      </w:r>
    </w:p>
    <w:p>
      <w:pPr>
        <w:pStyle w:val="TextBody"/>
        <w:bidi w:val="0"/>
        <w:spacing w:before="240" w:after="0"/>
        <w:jc w:val="left"/>
        <w:rPr>
          <w:rFonts w:ascii="Times New Roman" w:hAnsi="Times New Roman"/>
          <w:spacing w:val="0"/>
          <w:sz w:val="20"/>
        </w:rPr>
      </w:pPr>
      <w:r>
        <w:rPr>
          <w:rFonts w:ascii="Times New Roman" w:hAnsi="Times New Roman"/>
          <w:spacing w:val="0"/>
          <w:sz w:val="20"/>
        </w:rPr>
        <w:t>% of the Company’s accounts receivable (see Note 13).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Historically, a relatively small number of customers have accounted for a significant portion of the Company’s revenue. For the year ended December 31, 2024, two customers, both related parties, accounted for approximately </w:t>
      </w:r>
    </w:p>
    <w:p>
      <w:pPr>
        <w:pStyle w:val="TextBody"/>
        <w:bidi w:val="0"/>
        <w:spacing w:before="240" w:after="0"/>
        <w:jc w:val="left"/>
        <w:rPr>
          <w:rFonts w:ascii="Times New Roman" w:hAnsi="Times New Roman"/>
          <w:sz w:val="20"/>
        </w:rPr>
      </w:pPr>
      <w:r>
        <w:rPr>
          <w:rFonts w:ascii="Times New Roman" w:hAnsi="Times New Roman"/>
          <w:sz w:val="20"/>
        </w:rPr>
        <w:t>77</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21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of the Company’s revenue. For the year ended December 31, 2023, one customer, a related party, accounted for nearly </w:t>
      </w:r>
    </w:p>
    <w:p>
      <w:pPr>
        <w:pStyle w:val="TextBody"/>
        <w:bidi w:val="0"/>
        <w:spacing w:before="240" w:after="0"/>
        <w:jc w:val="left"/>
        <w:rPr>
          <w:rFonts w:ascii="Times New Roman" w:hAnsi="Times New Roman"/>
          <w:sz w:val="20"/>
        </w:rPr>
      </w:pPr>
      <w:r>
        <w:rPr>
          <w:rFonts w:ascii="Times New Roman" w:hAnsi="Times New Roman"/>
          <w:sz w:val="20"/>
        </w:rPr>
        <w:t>100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of the Company’s revenue (see Note 13).</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in one reporting segment. Operating segments are defined as components of an enterprise about which separate financial information is evaluated regularly by the chief operating decision maker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November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Reporting (Topic 280): Improvements to Reportable Segment Disclosures.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October 2021,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2021-08,</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 Combinations (Topic 805): Accounting for Contract Assets and Contract Liabilities from Contracts with Customers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The FASB issued authoritative guidance that clarifies that an acquirer of a business should recognize and measure contract 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 Not Yet Adopted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2024-04,</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 Debt with Conversion and Other Options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Induced Conversions of Convertible Debt Instruments.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This ASU clarifies guidance on the requirements for determining whether certain settlements of convertible debt 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November 2024,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Statement- Reporting Comprehensive Income- Expense Disaggregation Disclosures: Disaggregation of Income Statement Expenses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This ASU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December 2023, the FASB issued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 (Topic 740): Improvements to Income Tax Disclosures.</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June 2022,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2022-03,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 (Topic 820): Fair Value Measurement of Equity Securities Subject to Contractual Sale Restrictions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This ASU clarifies guidance in Topic 820 and introduces new disclosure requirements for equity securities subject to contractual sale restrictions that are measured at fair value in accordance with Topic 820. This guidance is effective for the Company beginning on January 1, 2025. The Company does not expect the adoption to have a material impact on the Company’s consolidated financial statements.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3. Revenue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Disaggregation of Revenue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presents the Company’s revenue information by geographical region for the years ended December 31, 2024 and 2023 (in thousands): </w:t>
      </w:r>
    </w:p>
    <w:p>
      <w:pPr>
        <w:pStyle w:val="TextBody"/>
        <w:bidi w:val="0"/>
        <w:spacing w:before="0" w:after="0"/>
        <w:jc w:val="left"/>
        <w:rPr/>
      </w:pPr>
      <w:r>
        <w:rPr/>
        <w:t> </w:t>
      </w:r>
    </w:p>
    <w:p>
      <w:pPr>
        <w:pStyle w:val="TextBody"/>
        <w:bidi w:val="0"/>
        <w:spacing w:before="0" w:after="0"/>
        <w:jc w:val="left"/>
        <w:rPr>
          <w:sz w:val="24"/>
        </w:rPr>
      </w:pPr>
      <w:r>
        <w:rPr>
          <w:sz w:val="24"/>
        </w:rPr>
      </w:r>
    </w:p>
    <w:tbl>
      <w:tblPr>
        <w:tblW w:w="2935" w:type="dxa"/>
        <w:jc w:val="left"/>
        <w:tblInd w:w="0" w:type="dxa"/>
        <w:tblLayout w:type="fixed"/>
        <w:tblCellMar>
          <w:top w:w="0" w:type="dxa"/>
          <w:left w:w="0" w:type="dxa"/>
          <w:bottom w:w="0" w:type="dxa"/>
          <w:right w:w="0" w:type="dxa"/>
        </w:tblCellMar>
      </w:tblPr>
      <w:tblGrid>
        <w:gridCol w:w="1160"/>
        <w:gridCol w:w="120"/>
        <w:gridCol w:w="140"/>
        <w:gridCol w:w="560"/>
        <w:gridCol w:w="60"/>
        <w:gridCol w:w="120"/>
        <w:gridCol w:w="140"/>
        <w:gridCol w:w="560"/>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3,848</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3,856</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following provides a disaggregation of revenue based on the pattern of revenue recognition for the years ended December 31, 2024 and 2023 (in thousands): </w:t>
      </w:r>
    </w:p>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3125"/>
        <w:gridCol w:w="120"/>
        <w:gridCol w:w="140"/>
        <w:gridCol w:w="560"/>
        <w:gridCol w:w="60"/>
        <w:gridCol w:w="120"/>
        <w:gridCol w:w="140"/>
        <w:gridCol w:w="560"/>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recognized at a point in time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recognized over time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3,840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3,856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Revenue allocated to remaining performance obligations, which includes unearned or deferred revenue and amounts that will be invoiced and recognized as revenue in future periods as of December 31, 2024 and 2023, was as follows (in thousands):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010"/>
        <w:gridCol w:w="120"/>
        <w:gridCol w:w="140"/>
        <w:gridCol w:w="380"/>
        <w:gridCol w:w="60"/>
        <w:gridCol w:w="120"/>
        <w:gridCol w:w="140"/>
        <w:gridCol w:w="560"/>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733</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367</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1,100</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 4. 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table below presents the Company’s financial assets and liabilities measured at fair value on a recurring basis aggregated by the level in the fair hierarchy (in thousands): </w:t>
      </w:r>
    </w:p>
    <w:p>
      <w:pPr>
        <w:pStyle w:val="TextBody"/>
        <w:bidi w:val="0"/>
        <w:spacing w:before="0" w:after="0"/>
        <w:jc w:val="left"/>
        <w:rPr/>
      </w:pPr>
      <w:r>
        <w:rPr/>
        <w:t> </w:t>
      </w:r>
    </w:p>
    <w:tbl>
      <w:tblPr>
        <w:tblW w:w="7607" w:type="dxa"/>
        <w:jc w:val="left"/>
        <w:tblInd w:w="0" w:type="dxa"/>
        <w:tblLayout w:type="fixed"/>
        <w:tblCellMar>
          <w:top w:w="0" w:type="dxa"/>
          <w:left w:w="0" w:type="dxa"/>
          <w:bottom w:w="0" w:type="dxa"/>
          <w:right w:w="0" w:type="dxa"/>
        </w:tblCellMar>
      </w:tblPr>
      <w:tblGrid>
        <w:gridCol w:w="3155"/>
        <w:gridCol w:w="120"/>
        <w:gridCol w:w="140"/>
        <w:gridCol w:w="680"/>
        <w:gridCol w:w="60"/>
        <w:gridCol w:w="120"/>
        <w:gridCol w:w="258"/>
        <w:gridCol w:w="482"/>
        <w:gridCol w:w="74"/>
        <w:gridCol w:w="149"/>
        <w:gridCol w:w="174"/>
        <w:gridCol w:w="1000"/>
        <w:gridCol w:w="60"/>
        <w:gridCol w:w="120"/>
        <w:gridCol w:w="140"/>
        <w:gridCol w:w="800"/>
        <w:gridCol w:w="7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37" w:type="dxa"/>
            <w:gridSpan w:val="6"/>
            <w:tcBorders/>
            <w:vAlign w:val="center"/>
          </w:tcPr>
          <w:p>
            <w:pPr>
              <w:pStyle w:val="TableContents"/>
              <w:bidi w:val="0"/>
              <w:spacing w:before="0" w:after="0"/>
              <w:jc w:val="center"/>
              <w:rPr>
                <w:spacing w:val="0"/>
              </w:rPr>
            </w:pPr>
            <w:r>
              <w:rPr>
                <w:spacing w:val="0"/>
              </w:rPr>
              <w:t>December 31,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Level 2</w:t>
            </w:r>
          </w:p>
        </w:tc>
        <w:tc>
          <w:tcPr>
            <w:tcW w:w="74" w:type="dxa"/>
            <w:tcBorders/>
            <w:vAlign w:val="center"/>
          </w:tcPr>
          <w:p>
            <w:pPr>
              <w:pStyle w:val="TableContents"/>
              <w:bidi w:val="0"/>
              <w:spacing w:before="0" w:after="0"/>
              <w:jc w:val="left"/>
              <w:rPr>
                <w:spacing w:val="0"/>
              </w:rPr>
            </w:pPr>
            <w:r>
              <w:rPr>
                <w:spacing w:val="0"/>
              </w:rPr>
              <w:t> </w:t>
            </w:r>
          </w:p>
        </w:tc>
        <w:tc>
          <w:tcPr>
            <w:tcW w:w="149" w:type="dxa"/>
            <w:tcBorders/>
            <w:vAlign w:val="center"/>
          </w:tcPr>
          <w:p>
            <w:pPr>
              <w:pStyle w:val="TableContents"/>
              <w:bidi w:val="0"/>
              <w:spacing w:before="0" w:after="0"/>
              <w:jc w:val="left"/>
              <w:rPr>
                <w:spacing w:val="0"/>
              </w:rPr>
            </w:pPr>
            <w:r>
              <w:rPr>
                <w:spacing w:val="0"/>
              </w:rPr>
              <w:t>  </w:t>
            </w:r>
          </w:p>
        </w:tc>
        <w:tc>
          <w:tcPr>
            <w:tcW w:w="1174"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Level 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Total</w:t>
            </w:r>
          </w:p>
        </w:tc>
        <w:tc>
          <w:tcPr>
            <w:tcW w:w="75" w:type="dxa"/>
            <w:tcBorders/>
            <w:vAlign w:val="center"/>
          </w:tcPr>
          <w:p>
            <w:pPr>
              <w:pStyle w:val="TableContents"/>
              <w:bidi w:val="0"/>
              <w:spacing w:before="0" w:after="0"/>
              <w:jc w:val="left"/>
              <w:rPr>
                <w:spacing w:val="0"/>
              </w:rPr>
            </w:pPr>
            <w:r>
              <w:rPr>
                <w:spacing w:val="0"/>
              </w:rPr>
              <w:t> </w:t>
            </w:r>
          </w:p>
        </w:tc>
      </w:tr>
      <w:tr>
        <w:trPr/>
        <w:tc>
          <w:tcPr>
            <w:tcW w:w="3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48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treasury 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30,580</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9,247</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Mutual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5,067</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482"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44,894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44,894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482"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15,942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15,942</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132,687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132,687</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14,711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14,711</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482"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163,340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163,340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482"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2317" w:type="dxa"/>
            <w:gridSpan w:val="8"/>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7" w:type="dxa"/>
            <w:gridSpan w:val="6"/>
            <w:tcBorders/>
            <w:vAlign w:val="center"/>
          </w:tcPr>
          <w:p>
            <w:pPr>
              <w:pStyle w:val="TableContents"/>
              <w:bidi w:val="0"/>
              <w:spacing w:before="0" w:after="283"/>
              <w:jc w:val="center"/>
              <w:rPr/>
            </w:pPr>
            <w:r>
              <w:rPr/>
              <w:t>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48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14,641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14,641</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18,064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18,064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3,730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3,730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482"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36,435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36,435</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482"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Level 1 instruments consisted of U.S. Government treasury securities, U.S. Government money market funds, and mutual funds because they were valued using quoted prices in active markets and can be redeemed on any business days with an intermediary.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Level 3 instruments consisted of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Convertible Notes (“P2P Notes”), the 2023 Convertible Notes, and warrant liabilities comprised of the Company’s Series D Shadow preferred stock warrants,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Shadow preferred stock warrants, the warrants issued with the P2P Notes and the 2023 Convertible Notes,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common stock warrants (see Notes 7 and 8). The Company has elected to apply the fair value option to measure all convertible notes due to the nature of their embedded features.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change in the fair value of the Level 3 liabilities during the years ended December 31, 2024 and 2023 was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0"/>
        <w:gridCol w:w="120"/>
        <w:gridCol w:w="192"/>
        <w:gridCol w:w="938"/>
        <w:gridCol w:w="60"/>
        <w:gridCol w:w="120"/>
        <w:gridCol w:w="168"/>
        <w:gridCol w:w="962"/>
        <w:gridCol w:w="60"/>
        <w:gridCol w:w="120"/>
        <w:gridCol w:w="146"/>
        <w:gridCol w:w="714"/>
        <w:gridCol w:w="60"/>
        <w:gridCol w:w="120"/>
        <w:gridCol w:w="140"/>
        <w:gridCol w:w="800"/>
        <w:gridCol w:w="75"/>
      </w:tblGrid>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spacing w:val="0"/>
              </w:rPr>
            </w:pPr>
            <w:r>
              <w:rPr>
                <w:spacing w:val="0"/>
              </w:rPr>
              <w:t>Pay-to-Play</w:t>
            </w:r>
          </w:p>
          <w:p>
            <w:pPr>
              <w:pStyle w:val="TableContents"/>
              <w:bidi w:val="0"/>
              <w:spacing w:before="0" w:after="0"/>
              <w:jc w:val="center"/>
              <w:rPr>
                <w:spacing w:val="0"/>
              </w:rPr>
            </w:pPr>
            <w:r>
              <w:rPr>
                <w:spacing w:val="0"/>
              </w:rPr>
              <w:br/>
              <w:t>Convertible</w:t>
              <w:br/>
              <w:t>notes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spacing w:val="0"/>
              </w:rPr>
            </w:pPr>
            <w:r>
              <w:rPr>
                <w:spacing w:val="0"/>
              </w:rPr>
              <w:t>2023</w:t>
              <w:br/>
              <w:t>Convertible</w:t>
              <w:br/>
              <w:t>notes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spacing w:val="0"/>
              </w:rPr>
            </w:pPr>
            <w:r>
              <w:rPr>
                <w:spacing w:val="0"/>
              </w:rPr>
              <w:t>Warrant</w:t>
              <w:br/>
              <w:t>liabilities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spacing w:val="0"/>
              </w:rPr>
            </w:pPr>
            <w:r>
              <w:rPr>
                <w:spacing w:val="0"/>
              </w:rPr>
              <w:t>Total</w:t>
            </w:r>
          </w:p>
        </w:tc>
        <w:tc>
          <w:tcPr>
            <w:tcW w:w="75" w:type="dxa"/>
            <w:tcBorders/>
            <w:vAlign w:val="center"/>
          </w:tcPr>
          <w:p>
            <w:pPr>
              <w:pStyle w:val="TableContents"/>
              <w:bidi w:val="0"/>
              <w:spacing w:before="0" w:after="0"/>
              <w:jc w:val="left"/>
              <w:rPr>
                <w:spacing w:val="0"/>
              </w:rPr>
            </w:pPr>
            <w:r>
              <w:rPr>
                <w:spacing w:val="0"/>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January 1, 2023</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3,668</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Reinstatement of common stock warrants as preferred stock warrants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convertible notes and related warrants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8,717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9,282</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rights offering</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notes and related warrants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11,175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12,300</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505</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2,643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945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10,477</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single" w:sz="2" w:space="1" w:color="000000"/>
              </w:rPr>
            </w:pPr>
            <w:r>
              <w:rPr>
                <w:bdr w:val="single" w:sz="2" w:space="1" w:color="000000"/>
              </w:rPr>
              <w:t> </w:t>
            </w:r>
          </w:p>
        </w:tc>
        <w:tc>
          <w:tcPr>
            <w:tcW w:w="9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9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14,641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18,064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3,730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36,435</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 warrants and related warrants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105,902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110,718</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464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464</w:t>
            </w:r>
          </w:p>
        </w:tc>
        <w:tc>
          <w:tcPr>
            <w:tcW w:w="75" w:type="dxa"/>
            <w:tcBorders/>
            <w:vAlign w:val="center"/>
          </w:tcPr>
          <w:p>
            <w:pPr>
              <w:pStyle w:val="TableContents"/>
              <w:bidi w:val="0"/>
              <w:spacing w:before="0" w:after="283"/>
              <w:jc w:val="left"/>
              <w:rPr/>
            </w:pPr>
            <w:r>
              <w:rPr/>
              <w:t> </w:t>
            </w:r>
          </w:p>
        </w:tc>
      </w:tr>
      <w:tr>
        <w:trPr/>
        <w:tc>
          <w:tcPr>
            <w:tcW w:w="5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8,721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5,701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15,723</w:t>
            </w:r>
          </w:p>
        </w:tc>
        <w:tc>
          <w:tcPr>
            <w:tcW w:w="75" w:type="dxa"/>
            <w:tcBorders/>
            <w:shd w:fill="CCEEFF" w:val="clear"/>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single" w:sz="2" w:space="1" w:color="000000"/>
              </w:rPr>
            </w:pPr>
            <w:r>
              <w:rPr>
                <w:bdr w:val="single" w:sz="2" w:space="1" w:color="000000"/>
              </w:rPr>
              <w:t> </w:t>
            </w:r>
          </w:p>
        </w:tc>
        <w:tc>
          <w:tcPr>
            <w:tcW w:w="9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96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15,942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132,687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4" w:type="dxa"/>
            <w:tcBorders/>
            <w:vAlign w:val="center"/>
          </w:tcPr>
          <w:p>
            <w:pPr>
              <w:pStyle w:val="TableContents"/>
              <w:bidi w:val="0"/>
              <w:spacing w:before="0" w:after="283"/>
              <w:jc w:val="right"/>
              <w:rPr/>
            </w:pPr>
            <w:r>
              <w:rPr/>
              <w:t>14,711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163,340</w:t>
            </w:r>
          </w:p>
        </w:tc>
        <w:tc>
          <w:tcPr>
            <w:tcW w:w="75" w:type="dxa"/>
            <w:tcBorders/>
            <w:vAlign w:val="center"/>
          </w:tcPr>
          <w:p>
            <w:pPr>
              <w:pStyle w:val="TableContents"/>
              <w:bidi w:val="0"/>
              <w:spacing w:before="0" w:after="283"/>
              <w:jc w:val="left"/>
              <w:rPr/>
            </w:pPr>
            <w:r>
              <w:rPr/>
              <w:t> </w:t>
            </w:r>
          </w:p>
        </w:tc>
      </w:tr>
      <w:tr>
        <w:trPr/>
        <w:tc>
          <w:tcPr>
            <w:tcW w:w="5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double" w:sz="6" w:space="1" w:color="000000"/>
              </w:rPr>
            </w:pPr>
            <w:r>
              <w:rPr>
                <w:bdr w:val="double" w:sz="6" w:space="1" w:color="000000"/>
              </w:rPr>
              <w:t> </w:t>
            </w:r>
          </w:p>
        </w:tc>
        <w:tc>
          <w:tcPr>
            <w:tcW w:w="9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double" w:sz="6" w:space="1" w:color="000000"/>
              </w:rPr>
            </w:pPr>
            <w:r>
              <w:rPr>
                <w:bdr w:val="double" w:sz="6" w:space="1" w:color="000000"/>
              </w:rPr>
              <w:t> </w:t>
            </w:r>
          </w:p>
        </w:tc>
        <w:tc>
          <w:tcPr>
            <w:tcW w:w="96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71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convertible notes and related warrants were classified within level 3 of the fair value hierarchy because there was no active market for the liabilities or similar instruments.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Effective with the Merger on January 13, 2025, all outstanding convertible notes and outstanding warrant liabilities were converted (see Note 1).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5. Supplementary Balance Sheet Information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Inventories consists of the following as of December 31, 2024 and 2023 (in thousands):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1430"/>
        <w:gridCol w:w="120"/>
        <w:gridCol w:w="140"/>
        <w:gridCol w:w="560"/>
        <w:gridCol w:w="60"/>
        <w:gridCol w:w="120"/>
        <w:gridCol w:w="140"/>
        <w:gridCol w:w="56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1,542</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4,964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8,561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6,522</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Prepaid Expenses and Other Current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Prepaid expenses and other current assets consists of the following as of December 31, 2024 and 2023 (in thousands):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3845"/>
        <w:gridCol w:w="120"/>
        <w:gridCol w:w="140"/>
        <w:gridCol w:w="680"/>
        <w:gridCol w:w="60"/>
        <w:gridCol w:w="120"/>
        <w:gridCol w:w="140"/>
        <w:gridCol w:w="560"/>
        <w:gridCol w:w="75"/>
      </w:tblGrid>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1,491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 licenses and maintenance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paid to contract manufacturer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144</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subscriptions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366</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14,837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2,836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consists of the following as of December 31, 2024 and 2023 (in thousands): </w:t>
      </w:r>
    </w:p>
    <w:p>
      <w:pPr>
        <w:pStyle w:val="TextBody"/>
        <w:bidi w:val="0"/>
        <w:spacing w:before="0" w:after="0"/>
        <w:jc w:val="left"/>
        <w:rPr/>
      </w:pPr>
      <w:r>
        <w:rPr/>
        <w:t> </w:t>
      </w:r>
    </w:p>
    <w:tbl>
      <w:tblPr>
        <w:tblW w:w="5165" w:type="dxa"/>
        <w:jc w:val="left"/>
        <w:tblInd w:w="0" w:type="dxa"/>
        <w:tblLayout w:type="fixed"/>
        <w:tblCellMar>
          <w:top w:w="0" w:type="dxa"/>
          <w:left w:w="0" w:type="dxa"/>
          <w:bottom w:w="0" w:type="dxa"/>
          <w:right w:w="0" w:type="dxa"/>
        </w:tblCellMar>
      </w:tblPr>
      <w:tblGrid>
        <w:gridCol w:w="2810"/>
        <w:gridCol w:w="120"/>
        <w:gridCol w:w="140"/>
        <w:gridCol w:w="755"/>
        <w:gridCol w:w="155"/>
        <w:gridCol w:w="120"/>
        <w:gridCol w:w="140"/>
        <w:gridCol w:w="755"/>
        <w:gridCol w:w="170"/>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13,108</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4,984</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346</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1,594</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16,832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20,058</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(18,503</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2,081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1,555</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During</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years ended December 31, 2024 and 2023, depreciation and amortization expense of property and equipment was $</w:t>
      </w:r>
    </w:p>
    <w:p>
      <w:pPr>
        <w:pStyle w:val="TextBody"/>
        <w:bidi w:val="0"/>
        <w:spacing w:before="240" w:after="0"/>
        <w:jc w:val="left"/>
        <w:rPr>
          <w:rFonts w:ascii="Times New Roman" w:hAnsi="Times New Roman"/>
          <w:sz w:val="20"/>
        </w:rPr>
      </w:pPr>
      <w:r>
        <w:rPr>
          <w:rFonts w:ascii="Times New Roman" w:hAnsi="Times New Roman"/>
          <w:sz w:val="20"/>
        </w:rPr>
        <w:t>0.9</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2.0</w:t>
      </w:r>
    </w:p>
    <w:p>
      <w:pPr>
        <w:pStyle w:val="TextBody"/>
        <w:bidi w:val="0"/>
        <w:spacing w:before="240" w:after="0"/>
        <w:jc w:val="left"/>
        <w:rPr>
          <w:spacing w:val="0"/>
        </w:rPr>
      </w:pPr>
      <w:r>
        <w:rPr>
          <w:spacing w:val="0"/>
        </w:rPr>
        <w:t> </w:t>
      </w:r>
      <w:r>
        <w:rPr>
          <w:rFonts w:ascii="Times New Roman" w:hAnsi="Times New Roman"/>
          <w:spacing w:val="0"/>
          <w:sz w:val="20"/>
        </w:rPr>
        <w:t>million, respectively.</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consists of the following as of December 31, 2024 and 2023 (in thousands):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3395"/>
        <w:gridCol w:w="120"/>
        <w:gridCol w:w="140"/>
        <w:gridCol w:w="680"/>
        <w:gridCol w:w="60"/>
        <w:gridCol w:w="120"/>
        <w:gridCol w:w="140"/>
        <w:gridCol w:w="560"/>
        <w:gridCol w:w="75"/>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3,813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2,617</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733</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301</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11,996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7,464</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Loss on Purchase Commitments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As</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of December 31, 2024 and 2023, accrued loss on purchase commitments were $</w:t>
      </w:r>
    </w:p>
    <w:p>
      <w:pPr>
        <w:pStyle w:val="TextBody"/>
        <w:bidi w:val="0"/>
        <w:spacing w:before="120" w:after="0"/>
        <w:jc w:val="left"/>
        <w:rPr>
          <w:rFonts w:ascii="Times New Roman" w:hAnsi="Times New Roman"/>
          <w:sz w:val="20"/>
        </w:rPr>
      </w:pPr>
      <w:r>
        <w:rPr>
          <w:rFonts w:ascii="Times New Roman" w:hAnsi="Times New Roman"/>
          <w:sz w:val="20"/>
        </w:rPr>
        <w:t>0.6</w:t>
      </w:r>
    </w:p>
    <w:p>
      <w:pPr>
        <w:pStyle w:val="TextBody"/>
        <w:bidi w:val="0"/>
        <w:spacing w:before="120" w:after="0"/>
        <w:jc w:val="left"/>
        <w:rPr>
          <w:spacing w:val="0"/>
        </w:rPr>
      </w:pPr>
      <w:r>
        <w:rPr>
          <w:spacing w:val="0"/>
        </w:rPr>
        <w:t> </w:t>
      </w:r>
      <w:r>
        <w:rPr>
          <w:rFonts w:ascii="Times New Roman" w:hAnsi="Times New Roman"/>
          <w:spacing w:val="0"/>
          <w:sz w:val="20"/>
        </w:rPr>
        <w:t>million and $</w:t>
      </w:r>
    </w:p>
    <w:p>
      <w:pPr>
        <w:pStyle w:val="TextBody"/>
        <w:bidi w:val="0"/>
        <w:spacing w:before="120" w:after="0"/>
        <w:jc w:val="left"/>
        <w:rPr>
          <w:rFonts w:ascii="Times New Roman" w:hAnsi="Times New Roman"/>
          <w:sz w:val="20"/>
        </w:rPr>
      </w:pPr>
      <w:r>
        <w:rPr>
          <w:rFonts w:ascii="Times New Roman" w:hAnsi="Times New Roman"/>
          <w:sz w:val="20"/>
        </w:rPr>
        <w:t>3.6</w:t>
      </w:r>
    </w:p>
    <w:p>
      <w:pPr>
        <w:pStyle w:val="TextBody"/>
        <w:bidi w:val="0"/>
        <w:spacing w:before="120" w:after="0"/>
        <w:jc w:val="left"/>
        <w:rPr>
          <w:spacing w:val="0"/>
        </w:rPr>
      </w:pPr>
      <w:r>
        <w:rPr>
          <w:spacing w:val="0"/>
        </w:rPr>
        <w:t> </w:t>
      </w:r>
      <w:r>
        <w:rPr>
          <w:rFonts w:ascii="Times New Roman" w:hAnsi="Times New Roman"/>
          <w:spacing w:val="0"/>
          <w:sz w:val="20"/>
        </w:rPr>
        <w:t>million, respectively (see Note 12).</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compensation consists of the following as of December 31, 2024 and 2023 (in thousands): </w:t>
      </w:r>
    </w:p>
    <w:p>
      <w:pPr>
        <w:pStyle w:val="TextBody"/>
        <w:bidi w:val="0"/>
        <w:spacing w:before="0" w:after="0"/>
        <w:jc w:val="left"/>
        <w:rPr/>
      </w:pPr>
      <w:r>
        <w:rPr/>
        <w:t> </w:t>
      </w:r>
    </w:p>
    <w:p>
      <w:pPr>
        <w:pStyle w:val="TextBody"/>
        <w:bidi w:val="0"/>
        <w:spacing w:before="0" w:after="0"/>
        <w:jc w:val="left"/>
        <w:rPr>
          <w:sz w:val="24"/>
        </w:rPr>
      </w:pPr>
      <w:r>
        <w:rPr>
          <w:sz w:val="24"/>
        </w:rPr>
      </w:r>
    </w:p>
    <w:tbl>
      <w:tblPr>
        <w:tblW w:w="4105" w:type="dxa"/>
        <w:jc w:val="left"/>
        <w:tblInd w:w="0" w:type="dxa"/>
        <w:tblLayout w:type="fixed"/>
        <w:tblCellMar>
          <w:top w:w="0" w:type="dxa"/>
          <w:left w:w="0" w:type="dxa"/>
          <w:bottom w:w="0" w:type="dxa"/>
          <w:right w:w="0" w:type="dxa"/>
        </w:tblCellMar>
      </w:tblPr>
      <w:tblGrid>
        <w:gridCol w:w="2330"/>
        <w:gridCol w:w="120"/>
        <w:gridCol w:w="140"/>
        <w:gridCol w:w="560"/>
        <w:gridCol w:w="60"/>
        <w:gridCol w:w="120"/>
        <w:gridCol w:w="140"/>
        <w:gridCol w:w="560"/>
        <w:gridCol w:w="75"/>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Vacation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804</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724</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401K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215</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Salaries and Wages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113</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Statutory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1,938</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6.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represents the domestic and foreign components of loss from operations before income taxes for the years ended December 31, 2024 and 2023 (in thousands): </w:t>
      </w:r>
    </w:p>
    <w:p>
      <w:pPr>
        <w:pStyle w:val="TextBody"/>
        <w:bidi w:val="0"/>
        <w:spacing w:before="0" w:after="0"/>
        <w:jc w:val="left"/>
        <w:rPr/>
      </w:pPr>
      <w:r>
        <w:rPr/>
        <w:t> </w:t>
      </w:r>
    </w:p>
    <w:tbl>
      <w:tblPr>
        <w:tblW w:w="4850" w:type="dxa"/>
        <w:jc w:val="left"/>
        <w:tblInd w:w="0" w:type="dxa"/>
        <w:tblLayout w:type="fixed"/>
        <w:tblCellMar>
          <w:top w:w="0" w:type="dxa"/>
          <w:left w:w="0" w:type="dxa"/>
          <w:bottom w:w="0" w:type="dxa"/>
          <w:right w:w="0" w:type="dxa"/>
        </w:tblCellMar>
      </w:tblPr>
      <w:tblGrid>
        <w:gridCol w:w="2495"/>
        <w:gridCol w:w="120"/>
        <w:gridCol w:w="140"/>
        <w:gridCol w:w="755"/>
        <w:gridCol w:w="155"/>
        <w:gridCol w:w="120"/>
        <w:gridCol w:w="140"/>
        <w:gridCol w:w="755"/>
        <w:gridCol w:w="17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(89,525</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1,338</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loss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(88,187</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components of the benefit from income taxes consists of the following for the years ended December 31, 2024 and 2023 (in thousands): </w:t>
      </w:r>
    </w:p>
    <w:p>
      <w:pPr>
        <w:pStyle w:val="TextBody"/>
        <w:bidi w:val="0"/>
        <w:spacing w:before="0" w:after="0"/>
        <w:jc w:val="left"/>
        <w:rPr/>
      </w:pPr>
      <w:r>
        <w:rPr/>
        <w:t> </w:t>
      </w:r>
    </w:p>
    <w:tbl>
      <w:tblPr>
        <w:tblW w:w="4100" w:type="dxa"/>
        <w:jc w:val="left"/>
        <w:tblInd w:w="0" w:type="dxa"/>
        <w:tblLayout w:type="fixed"/>
        <w:tblCellMar>
          <w:top w:w="0" w:type="dxa"/>
          <w:left w:w="0" w:type="dxa"/>
          <w:bottom w:w="0" w:type="dxa"/>
          <w:right w:w="0" w:type="dxa"/>
        </w:tblCellMar>
      </w:tblPr>
      <w:tblGrid>
        <w:gridCol w:w="2165"/>
        <w:gridCol w:w="120"/>
        <w:gridCol w:w="140"/>
        <w:gridCol w:w="635"/>
        <w:gridCol w:w="155"/>
        <w:gridCol w:w="120"/>
        <w:gridCol w:w="140"/>
        <w:gridCol w:w="455"/>
        <w:gridCol w:w="17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(492</w:t>
            </w:r>
          </w:p>
        </w:tc>
        <w:tc>
          <w:tcPr>
            <w:tcW w:w="17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(491</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(1,124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(598</w:t>
            </w:r>
          </w:p>
        </w:tc>
        <w:tc>
          <w:tcPr>
            <w:tcW w:w="170"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Income</w:t>
      </w:r>
    </w:p>
    <w:p>
      <w:pPr>
        <w:pStyle w:val="TextBody"/>
        <w:bidi w:val="0"/>
        <w:spacing w:before="0" w:after="0"/>
        <w:jc w:val="left"/>
        <w:rPr>
          <w:spacing w:val="0"/>
        </w:rPr>
      </w:pPr>
      <w:r>
        <w:rPr>
          <w:spacing w:val="0"/>
        </w:rPr>
        <w:t> </w:t>
      </w:r>
      <w:r>
        <w:rPr>
          <w:rFonts w:ascii="Times New Roman" w:hAnsi="Times New Roman"/>
          <w:spacing w:val="0"/>
          <w:sz w:val="20"/>
        </w:rPr>
        <w:t xml:space="preserve">tax expense differs from the amount of income tax determined by applying the U.S. federal statutory income tax rate of </w:t>
      </w:r>
    </w:p>
    <w:p>
      <w:pPr>
        <w:pStyle w:val="TextBody"/>
        <w:bidi w:val="0"/>
        <w:spacing w:before="0" w:after="0"/>
        <w:jc w:val="left"/>
        <w:rPr>
          <w:rFonts w:ascii="Times New Roman" w:hAnsi="Times New Roman"/>
          <w:sz w:val="20"/>
        </w:rPr>
      </w:pPr>
      <w:r>
        <w:rPr>
          <w:rFonts w:ascii="Times New Roman" w:hAnsi="Times New Roman"/>
          <w:sz w:val="20"/>
        </w:rPr>
        <w:t>21</w:t>
      </w:r>
    </w:p>
    <w:p>
      <w:pPr>
        <w:pStyle w:val="TextBody"/>
        <w:bidi w:val="0"/>
        <w:spacing w:before="0" w:after="0"/>
        <w:jc w:val="left"/>
        <w:rPr>
          <w:rFonts w:ascii="Times New Roman" w:hAnsi="Times New Roman"/>
          <w:spacing w:val="0"/>
          <w:sz w:val="20"/>
        </w:rPr>
      </w:pPr>
      <w:r>
        <w:rPr>
          <w:rFonts w:ascii="Times New Roman" w:hAnsi="Times New Roman"/>
          <w:spacing w:val="0"/>
          <w:sz w:val="20"/>
        </w:rPr>
        <w:t>% to pretax loss as a result of the following differences for the years ended December 31, 2024 and 2023 ($ in thousands):</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3845"/>
        <w:gridCol w:w="120"/>
        <w:gridCol w:w="140"/>
        <w:gridCol w:w="755"/>
        <w:gridCol w:w="155"/>
        <w:gridCol w:w="120"/>
        <w:gridCol w:w="83"/>
        <w:gridCol w:w="717"/>
        <w:gridCol w:w="275"/>
        <w:gridCol w:w="60"/>
        <w:gridCol w:w="140"/>
        <w:gridCol w:w="755"/>
        <w:gridCol w:w="155"/>
        <w:gridCol w:w="120"/>
        <w:gridCol w:w="96"/>
        <w:gridCol w:w="704"/>
        <w:gridCol w:w="290"/>
      </w:tblGrid>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0"/>
              <w:jc w:val="left"/>
              <w:rPr>
                <w:spacing w:val="0"/>
              </w:rPr>
            </w:pPr>
            <w:r>
              <w:rPr>
                <w:spacing w:val="0"/>
              </w:rPr>
              <w:t> </w:t>
            </w:r>
          </w:p>
        </w:tc>
      </w:tr>
      <w:tr>
        <w:trPr/>
        <w:tc>
          <w:tcPr>
            <w:tcW w:w="38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w:t>
            </w:r>
          </w:p>
        </w:tc>
        <w:tc>
          <w:tcPr>
            <w:tcW w:w="290" w:type="dxa"/>
            <w:tcBorders/>
            <w:vAlign w:val="center"/>
          </w:tcPr>
          <w:p>
            <w:pPr>
              <w:pStyle w:val="TableContents"/>
              <w:bidi w:val="0"/>
              <w:spacing w:before="0" w:after="0"/>
              <w:jc w:val="left"/>
              <w:rPr>
                <w:spacing w:val="0"/>
              </w:rPr>
            </w:pPr>
            <w:r>
              <w:rPr>
                <w:spacing w:val="0"/>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Pretax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(88,187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 tax at statutory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(13,049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(18,522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21.0</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remeasurement of warrant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equity financing charge (permanent difference)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Return to accrual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tax rate differential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Uncertain tax positions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-9.0</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single" w:sz="2" w:space="1" w:color="000000"/>
              </w:rPr>
            </w:pPr>
            <w:r>
              <w:rPr>
                <w:bdr w:val="single" w:sz="2" w:space="1" w:color="000000"/>
              </w:rPr>
              <w:t> </w:t>
            </w:r>
          </w:p>
        </w:tc>
        <w:tc>
          <w:tcPr>
            <w:tcW w:w="717"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704"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double" w:sz="6" w:space="1" w:color="000000"/>
              </w:rPr>
            </w:pPr>
            <w:r>
              <w:rPr>
                <w:bdr w:val="double" w:sz="6" w:space="1" w:color="000000"/>
              </w:rPr>
              <w:t> </w:t>
            </w:r>
          </w:p>
        </w:tc>
        <w:tc>
          <w:tcPr>
            <w:tcW w:w="717"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double" w:sz="6" w:space="1" w:color="000000"/>
              </w:rPr>
            </w:pPr>
            <w:r>
              <w:rPr>
                <w:bdr w:val="double" w:sz="6" w:space="1" w:color="000000"/>
              </w:rPr>
              <w:t> </w:t>
            </w:r>
          </w:p>
        </w:tc>
        <w:tc>
          <w:tcPr>
            <w:tcW w:w="704"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components of the Company’s deferred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tax</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assets and liabilities are as follows as of December 31, 2024 and 2023 (in thousands): </w:t>
      </w:r>
    </w:p>
    <w:p>
      <w:pPr>
        <w:pStyle w:val="TextBody"/>
        <w:bidi w:val="0"/>
        <w:spacing w:before="0" w:after="0"/>
        <w:jc w:val="left"/>
        <w:rPr/>
      </w:pPr>
      <w:r>
        <w:rPr/>
        <w:t> </w:t>
      </w:r>
    </w:p>
    <w:tbl>
      <w:tblPr>
        <w:tblW w:w="5330" w:type="dxa"/>
        <w:jc w:val="left"/>
        <w:tblInd w:w="0" w:type="dxa"/>
        <w:tblLayout w:type="fixed"/>
        <w:tblCellMar>
          <w:top w:w="0" w:type="dxa"/>
          <w:left w:w="0" w:type="dxa"/>
          <w:bottom w:w="0" w:type="dxa"/>
          <w:right w:w="0" w:type="dxa"/>
        </w:tblCellMar>
      </w:tblPr>
      <w:tblGrid>
        <w:gridCol w:w="2975"/>
        <w:gridCol w:w="120"/>
        <w:gridCol w:w="140"/>
        <w:gridCol w:w="755"/>
        <w:gridCol w:w="155"/>
        <w:gridCol w:w="120"/>
        <w:gridCol w:w="140"/>
        <w:gridCol w:w="755"/>
        <w:gridCol w:w="17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55,739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45,600</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4,989</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reserves and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1,105</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736</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R&amp;D Sec 174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13,423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9,533</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78,060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62,077</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(75,826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(60,937</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1,140</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1,033</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management does not believe it is more likely than not that the net deferred tax assets will be realized. Accordingly, a full valuation allowance has been established in the U.S. and the Philippines. As of December 31, 2024 and 2023, the valuation allowance was $</w:t>
      </w:r>
    </w:p>
    <w:p>
      <w:pPr>
        <w:pStyle w:val="TextBody"/>
        <w:bidi w:val="0"/>
        <w:spacing w:before="0" w:after="0"/>
        <w:jc w:val="left"/>
        <w:rPr>
          <w:rFonts w:ascii="Times New Roman" w:hAnsi="Times New Roman"/>
          <w:sz w:val="20"/>
        </w:rPr>
      </w:pPr>
      <w:r>
        <w:rPr>
          <w:rFonts w:ascii="Times New Roman" w:hAnsi="Times New Roman"/>
          <w:sz w:val="20"/>
        </w:rPr>
        <w:t>75.8</w:t>
      </w:r>
    </w:p>
    <w:p>
      <w:pPr>
        <w:pStyle w:val="TextBody"/>
        <w:bidi w:val="0"/>
        <w:spacing w:before="0" w:after="0"/>
        <w:jc w:val="left"/>
        <w:rPr>
          <w:spacing w:val="0"/>
        </w:rPr>
      </w:pPr>
      <w:r>
        <w:rPr>
          <w:spacing w:val="0"/>
        </w:rPr>
        <w:t> </w:t>
      </w:r>
      <w:r>
        <w:rPr>
          <w:rFonts w:ascii="Times New Roman" w:hAnsi="Times New Roman"/>
          <w:spacing w:val="0"/>
          <w:sz w:val="20"/>
        </w:rPr>
        <w:t>million and $</w:t>
      </w:r>
    </w:p>
    <w:p>
      <w:pPr>
        <w:pStyle w:val="TextBody"/>
        <w:bidi w:val="0"/>
        <w:spacing w:before="0" w:after="0"/>
        <w:jc w:val="left"/>
        <w:rPr>
          <w:rFonts w:ascii="Times New Roman" w:hAnsi="Times New Roman"/>
          <w:sz w:val="20"/>
        </w:rPr>
      </w:pPr>
      <w:r>
        <w:rPr>
          <w:rFonts w:ascii="Times New Roman" w:hAnsi="Times New Roman"/>
          <w:sz w:val="20"/>
        </w:rPr>
        <w:t>60.9</w:t>
      </w:r>
    </w:p>
    <w:p>
      <w:pPr>
        <w:pStyle w:val="TextBody"/>
        <w:bidi w:val="0"/>
        <w:spacing w:before="0" w:after="0"/>
        <w:jc w:val="left"/>
        <w:rPr>
          <w:spacing w:val="0"/>
        </w:rPr>
      </w:pPr>
      <w:r>
        <w:rPr>
          <w:spacing w:val="0"/>
        </w:rPr>
        <w:t> </w:t>
      </w:r>
      <w:r>
        <w:rPr>
          <w:rFonts w:ascii="Times New Roman" w:hAnsi="Times New Roman"/>
          <w:spacing w:val="0"/>
          <w:sz w:val="20"/>
        </w:rPr>
        <w:t>million, respectively. The increase of $</w:t>
      </w:r>
    </w:p>
    <w:p>
      <w:pPr>
        <w:pStyle w:val="TextBody"/>
        <w:bidi w:val="0"/>
        <w:spacing w:before="0" w:after="0"/>
        <w:jc w:val="left"/>
        <w:rPr>
          <w:rFonts w:ascii="Times New Roman" w:hAnsi="Times New Roman"/>
          <w:sz w:val="20"/>
        </w:rPr>
      </w:pPr>
      <w:r>
        <w:rPr>
          <w:rFonts w:ascii="Times New Roman" w:hAnsi="Times New Roman"/>
          <w:sz w:val="20"/>
        </w:rPr>
        <w:t>14.9</w:t>
      </w:r>
    </w:p>
    <w:p>
      <w:pPr>
        <w:pStyle w:val="TextBody"/>
        <w:bidi w:val="0"/>
        <w:spacing w:before="0" w:after="0"/>
        <w:jc w:val="left"/>
        <w:rPr>
          <w:rFonts w:ascii="Times New Roman" w:hAnsi="Times New Roman"/>
          <w:spacing w:val="0"/>
          <w:sz w:val="20"/>
        </w:rPr>
      </w:pPr>
      <w:r>
        <w:rPr>
          <w:rFonts w:ascii="Times New Roman" w:hAnsi="Times New Roman"/>
          <w:spacing w:val="0"/>
          <w:sz w:val="20"/>
        </w:rPr>
        <w:t>million in the Company’s valuation allowance as of December 31, 2024 compared to the prior year was primarily due to an increase in deferred tax assets arising from capitalized research and experimental expenditures and net operating losses.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At December</w:t>
      </w:r>
    </w:p>
    <w:p>
      <w:pPr>
        <w:pStyle w:val="TextBody"/>
        <w:bidi w:val="0"/>
        <w:spacing w:before="240" w:after="0"/>
        <w:jc w:val="left"/>
        <w:rPr>
          <w:spacing w:val="0"/>
        </w:rPr>
      </w:pPr>
      <w:r>
        <w:rPr>
          <w:spacing w:val="0"/>
        </w:rPr>
        <w:t> </w:t>
      </w:r>
      <w:r>
        <w:rPr>
          <w:rFonts w:ascii="Times New Roman" w:hAnsi="Times New Roman"/>
          <w:spacing w:val="0"/>
          <w:sz w:val="20"/>
        </w:rPr>
        <w:t>31, 2024, the Company had U.S. federal net operating loss (“NOL”) carryforwards of $</w:t>
      </w:r>
    </w:p>
    <w:p>
      <w:pPr>
        <w:pStyle w:val="TextBody"/>
        <w:bidi w:val="0"/>
        <w:spacing w:before="240" w:after="0"/>
        <w:jc w:val="left"/>
        <w:rPr>
          <w:rFonts w:ascii="Times New Roman" w:hAnsi="Times New Roman"/>
          <w:sz w:val="20"/>
        </w:rPr>
      </w:pPr>
      <w:r>
        <w:rPr>
          <w:rFonts w:ascii="Times New Roman" w:hAnsi="Times New Roman"/>
          <w:sz w:val="20"/>
        </w:rPr>
        <w:t>215.5</w:t>
      </w:r>
    </w:p>
    <w:p>
      <w:pPr>
        <w:pStyle w:val="TextBody"/>
        <w:bidi w:val="0"/>
        <w:spacing w:before="240" w:after="0"/>
        <w:jc w:val="left"/>
        <w:rPr>
          <w:spacing w:val="0"/>
        </w:rPr>
      </w:pPr>
      <w:r>
        <w:rPr>
          <w:spacing w:val="0"/>
        </w:rPr>
        <w:t> </w:t>
      </w:r>
      <w:r>
        <w:rPr>
          <w:rFonts w:ascii="Times New Roman" w:hAnsi="Times New Roman"/>
          <w:spacing w:val="0"/>
          <w:sz w:val="20"/>
        </w:rPr>
        <w:t>million and U.S. state NOL carryforwards of $</w:t>
      </w:r>
    </w:p>
    <w:p>
      <w:pPr>
        <w:pStyle w:val="TextBody"/>
        <w:bidi w:val="0"/>
        <w:spacing w:before="240" w:after="0"/>
        <w:jc w:val="left"/>
        <w:rPr>
          <w:rFonts w:ascii="Times New Roman" w:hAnsi="Times New Roman"/>
          <w:sz w:val="20"/>
        </w:rPr>
      </w:pPr>
      <w:r>
        <w:rPr>
          <w:rFonts w:ascii="Times New Roman" w:hAnsi="Times New Roman"/>
          <w:sz w:val="20"/>
        </w:rPr>
        <w:t>149.9</w:t>
      </w:r>
    </w:p>
    <w:p>
      <w:pPr>
        <w:pStyle w:val="TextBody"/>
        <w:bidi w:val="0"/>
        <w:spacing w:before="240" w:after="0"/>
        <w:jc w:val="left"/>
        <w:rPr>
          <w:spacing w:val="0"/>
        </w:rPr>
      </w:pPr>
      <w:r>
        <w:rPr>
          <w:spacing w:val="0"/>
        </w:rPr>
        <w:t> </w:t>
      </w:r>
      <w:r>
        <w:rPr>
          <w:rFonts w:ascii="Times New Roman" w:hAnsi="Times New Roman"/>
          <w:spacing w:val="0"/>
          <w:sz w:val="20"/>
        </w:rPr>
        <w:t>million. The U.S. federal NOL carryforwards will begin to expire in the year 2030 and the state NOL carryforwards will also begin to expire in the year 2030. As of December 31, 2024, the Company had federal tax credit carryforwards of $</w:t>
      </w:r>
    </w:p>
    <w:p>
      <w:pPr>
        <w:pStyle w:val="TextBody"/>
        <w:bidi w:val="0"/>
        <w:spacing w:before="240" w:after="0"/>
        <w:jc w:val="left"/>
        <w:rPr>
          <w:rFonts w:ascii="Times New Roman" w:hAnsi="Times New Roman"/>
          <w:sz w:val="20"/>
        </w:rPr>
      </w:pPr>
      <w:r>
        <w:rPr>
          <w:rFonts w:ascii="Times New Roman" w:hAnsi="Times New Roman"/>
          <w:sz w:val="20"/>
        </w:rPr>
        <w:t>5.7</w:t>
      </w:r>
    </w:p>
    <w:p>
      <w:pPr>
        <w:pStyle w:val="TextBody"/>
        <w:bidi w:val="0"/>
        <w:spacing w:before="240" w:after="0"/>
        <w:jc w:val="left"/>
        <w:rPr>
          <w:spacing w:val="0"/>
        </w:rPr>
      </w:pPr>
      <w:r>
        <w:rPr>
          <w:spacing w:val="0"/>
        </w:rPr>
        <w:t> </w:t>
      </w:r>
      <w:r>
        <w:rPr>
          <w:rFonts w:ascii="Times New Roman" w:hAnsi="Times New Roman"/>
          <w:spacing w:val="0"/>
          <w:sz w:val="20"/>
        </w:rPr>
        <w:t>million available to offset future U.S. federal income taxes payable, which will begin to expire in the year 2035. As of December 31, 2024, the Company had state tax credit carryforwards of $</w:t>
      </w:r>
    </w:p>
    <w:p>
      <w:pPr>
        <w:pStyle w:val="TextBody"/>
        <w:bidi w:val="0"/>
        <w:spacing w:before="240" w:after="0"/>
        <w:jc w:val="left"/>
        <w:rPr>
          <w:rFonts w:ascii="Times New Roman" w:hAnsi="Times New Roman"/>
          <w:sz w:val="20"/>
        </w:rPr>
      </w:pPr>
      <w:r>
        <w:rPr>
          <w:rFonts w:ascii="Times New Roman" w:hAnsi="Times New Roman"/>
          <w:sz w:val="20"/>
        </w:rPr>
        <w:t>4.3</w:t>
      </w:r>
    </w:p>
    <w:p>
      <w:pPr>
        <w:pStyle w:val="TextBody"/>
        <w:bidi w:val="0"/>
        <w:spacing w:before="240" w:after="0"/>
        <w:jc w:val="left"/>
        <w:rPr>
          <w:spacing w:val="0"/>
        </w:rPr>
      </w:pPr>
      <w:r>
        <w:rPr>
          <w:spacing w:val="0"/>
        </w:rPr>
        <w:t> </w:t>
      </w:r>
      <w:r>
        <w:rPr>
          <w:rFonts w:ascii="Times New Roman" w:hAnsi="Times New Roman"/>
          <w:spacing w:val="0"/>
          <w:sz w:val="20"/>
        </w:rPr>
        <w:t>million available to offset future state income taxes payable and foreign tax credits of $</w:t>
      </w:r>
    </w:p>
    <w:p>
      <w:pPr>
        <w:pStyle w:val="TextBody"/>
        <w:bidi w:val="0"/>
        <w:spacing w:before="240" w:after="0"/>
        <w:jc w:val="left"/>
        <w:rPr>
          <w:rFonts w:ascii="Times New Roman" w:hAnsi="Times New Roman"/>
          <w:sz w:val="20"/>
        </w:rPr>
      </w:pPr>
      <w:r>
        <w:rPr>
          <w:rFonts w:ascii="Times New Roman" w:hAnsi="Times New Roman"/>
          <w:sz w:val="20"/>
        </w:rPr>
        <w:t>97.2</w:t>
      </w:r>
    </w:p>
    <w:p>
      <w:pPr>
        <w:pStyle w:val="TextBody"/>
        <w:bidi w:val="0"/>
        <w:spacing w:before="240" w:after="0"/>
        <w:jc w:val="left"/>
        <w:rPr>
          <w:spacing w:val="0"/>
        </w:rPr>
      </w:pPr>
      <w:r>
        <w:rPr>
          <w:spacing w:val="0"/>
        </w:rPr>
        <w:t> </w:t>
      </w:r>
      <w:r>
        <w:rPr>
          <w:rFonts w:ascii="Times New Roman" w:hAnsi="Times New Roman"/>
          <w:spacing w:val="0"/>
          <w:sz w:val="20"/>
        </w:rPr>
        <w:t>million available to offset future India income taxes payable.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It is the Company’s policy to include penalties and interest expense related to income taxes as a component of income tax expense. Management determined that no accrual for interest and penalties was required as of December 31, 2024 and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It is the Company’s policy to indefinitely reinvest undistributed earnings of their foreign subsidiaries and hence, no deferred tax liability for withholding taxes on undistributed earnings is required.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Uncertain Tax Positions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applied FASB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740-10-50,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Uncertainty in Income Tax</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which prescribes a recognition threshold and measurement attribute for the financial statement recognition and measurement of a tax position taken or expected to be taken in a tax return.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Company had unrecognized tax benefits of approximately $</w:t>
      </w:r>
    </w:p>
    <w:p>
      <w:pPr>
        <w:pStyle w:val="TextBody"/>
        <w:bidi w:val="0"/>
        <w:spacing w:before="240" w:after="0"/>
        <w:jc w:val="left"/>
        <w:rPr>
          <w:rFonts w:ascii="Times New Roman" w:hAnsi="Times New Roman"/>
          <w:sz w:val="20"/>
        </w:rPr>
      </w:pPr>
      <w:r>
        <w:rPr>
          <w:rFonts w:ascii="Times New Roman" w:hAnsi="Times New Roman"/>
          <w:sz w:val="20"/>
        </w:rPr>
        <w:t>5.0</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4.3</w:t>
      </w:r>
    </w:p>
    <w:p>
      <w:pPr>
        <w:pStyle w:val="TextBody"/>
        <w:bidi w:val="0"/>
        <w:spacing w:before="240" w:after="0"/>
        <w:jc w:val="left"/>
        <w:rPr>
          <w:spacing w:val="0"/>
        </w:rPr>
      </w:pPr>
      <w:r>
        <w:rPr>
          <w:spacing w:val="0"/>
        </w:rPr>
        <w:t> </w:t>
      </w:r>
      <w:r>
        <w:rPr>
          <w:rFonts w:ascii="Times New Roman" w:hAnsi="Times New Roman"/>
          <w:spacing w:val="0"/>
          <w:sz w:val="20"/>
        </w:rPr>
        <w:t xml:space="preserve">million as of December 31, 2024 and 2023, respectively.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740-10</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The beginning and ending unrecognized tax benefits amounts is as follows as of December 31, 2024 and 2023 (in thousands):</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5195"/>
        <w:gridCol w:w="120"/>
        <w:gridCol w:w="140"/>
        <w:gridCol w:w="560"/>
        <w:gridCol w:w="60"/>
        <w:gridCol w:w="120"/>
        <w:gridCol w:w="140"/>
        <w:gridCol w:w="560"/>
        <w:gridCol w:w="75"/>
      </w:tblGrid>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5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3,811</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related to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related to current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benefits,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4,283</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7.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Convertible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Notes and Demand Notes </w:t>
      </w:r>
    </w:p>
    <w:p>
      <w:pPr>
        <w:pStyle w:val="TextBody"/>
        <w:bidi w:val="0"/>
        <w:spacing w:before="120" w:after="0"/>
        <w:ind w:left="0" w:right="0" w:hanging="0"/>
        <w:jc w:val="left"/>
        <w:rPr>
          <w:rFonts w:ascii="Times New Roman" w:hAnsi="Times New Roman"/>
          <w:spacing w:val="0"/>
          <w:sz w:val="20"/>
          <w:u w:val="single"/>
        </w:rPr>
      </w:pPr>
      <w:r>
        <w:rPr>
          <w:rFonts w:ascii="Times New Roman" w:hAnsi="Times New Roman"/>
          <w:spacing w:val="0"/>
          <w:sz w:val="20"/>
          <w:u w:val="single"/>
        </w:rPr>
        <w:t xml:space="preserve">2022 Convertible Securities: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Pay-to-Play</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Convertible Notes: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 December</w:t>
      </w:r>
    </w:p>
    <w:p>
      <w:pPr>
        <w:pStyle w:val="TextBody"/>
        <w:bidi w:val="0"/>
        <w:spacing w:before="120" w:after="0"/>
        <w:jc w:val="left"/>
        <w:rPr>
          <w:spacing w:val="0"/>
        </w:rPr>
      </w:pPr>
      <w:r>
        <w:rPr>
          <w:spacing w:val="0"/>
        </w:rPr>
        <w:t> </w:t>
      </w:r>
      <w:r>
        <w:rPr>
          <w:rFonts w:ascii="Times New Roman" w:hAnsi="Times New Roman"/>
          <w:spacing w:val="0"/>
          <w:sz w:val="20"/>
        </w:rPr>
        <w:t xml:space="preserve">2022, in connection with the Company’s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120" w:after="0"/>
        <w:jc w:val="left"/>
        <w:rPr>
          <w:rFonts w:ascii="Times New Roman" w:hAnsi="Times New Roman"/>
          <w:spacing w:val="0"/>
          <w:sz w:val="20"/>
        </w:rPr>
      </w:pPr>
      <w:r>
        <w:rPr>
          <w:rFonts w:ascii="Times New Roman" w:hAnsi="Times New Roman"/>
          <w:spacing w:val="0"/>
          <w:sz w:val="20"/>
        </w:rPr>
        <w:t>(“P2P”) transaction (the “P2P Transaction”), the Company entered into a Note Purchase and Exchange Agreement (“2022 P2P NPA”) with a group of lenders (each, a “Lender” and collectively, the “Lenders”). In January and February of 2023, the Company received $</w:t>
      </w:r>
    </w:p>
    <w:p>
      <w:pPr>
        <w:pStyle w:val="TextBody"/>
        <w:bidi w:val="0"/>
        <w:spacing w:before="120" w:after="0"/>
        <w:jc w:val="left"/>
        <w:rPr>
          <w:rFonts w:ascii="Times New Roman" w:hAnsi="Times New Roman"/>
          <w:sz w:val="20"/>
        </w:rPr>
      </w:pPr>
      <w:r>
        <w:rPr>
          <w:rFonts w:ascii="Times New Roman" w:hAnsi="Times New Roman"/>
          <w:sz w:val="20"/>
        </w:rPr>
        <w:t>9.3</w:t>
      </w:r>
    </w:p>
    <w:p>
      <w:pPr>
        <w:pStyle w:val="TextBody"/>
        <w:bidi w:val="0"/>
        <w:spacing w:before="120" w:after="0"/>
        <w:jc w:val="left"/>
        <w:rPr>
          <w:spacing w:val="0"/>
        </w:rPr>
      </w:pPr>
      <w:r>
        <w:rPr>
          <w:spacing w:val="0"/>
        </w:rPr>
        <w:t> </w:t>
      </w:r>
      <w:r>
        <w:rPr>
          <w:rFonts w:ascii="Times New Roman" w:hAnsi="Times New Roman"/>
          <w:spacing w:val="0"/>
          <w:sz w:val="20"/>
        </w:rPr>
        <w:t>million in proceeds from the issuance of P2P Notes. Amounts received in 2022 and 2023 are referred to collectively as the “P2P Notes” (see Note 13). Pursuant to the 2022 P2P NPA, each Lender will pay the Company an agreed upon amount (“Consideration”) in return for one or more prom</w:t>
      </w:r>
    </w:p>
    <w:p>
      <w:pPr>
        <w:pStyle w:val="TextBody"/>
        <w:bidi w:val="0"/>
        <w:spacing w:before="120" w:after="0"/>
        <w:jc w:val="left"/>
        <w:rPr>
          <w:rFonts w:ascii="Times New Roman" w:hAnsi="Times New Roman"/>
          <w:spacing w:val="0"/>
          <w:sz w:val="20"/>
        </w:rPr>
      </w:pPr>
      <w:r>
        <w:rPr>
          <w:rFonts w:ascii="Times New Roman" w:hAnsi="Times New Roman"/>
          <w:spacing w:val="0"/>
          <w:sz w:val="20"/>
        </w:rPr>
        <w:t>is</w:t>
      </w:r>
    </w:p>
    <w:p>
      <w:pPr>
        <w:pStyle w:val="TextBody"/>
        <w:bidi w:val="0"/>
        <w:spacing w:before="120" w:after="0"/>
        <w:jc w:val="left"/>
        <w:rPr>
          <w:rFonts w:ascii="Times New Roman" w:hAnsi="Times New Roman"/>
          <w:spacing w:val="0"/>
          <w:sz w:val="20"/>
        </w:rPr>
      </w:pPr>
      <w:r>
        <w:rPr>
          <w:rFonts w:ascii="Times New Roman" w:hAnsi="Times New Roman"/>
          <w:spacing w:val="0"/>
          <w:sz w:val="20"/>
        </w:rPr>
        <w:t>sory notes. The</w:t>
      </w:r>
    </w:p>
    <w:p>
      <w:pPr>
        <w:pStyle w:val="TextBody"/>
        <w:bidi w:val="0"/>
        <w:spacing w:before="120" w:after="0"/>
        <w:jc w:val="left"/>
        <w:rPr>
          <w:rFonts w:ascii="Times New Roman" w:hAnsi="Times New Roman"/>
          <w:sz w:val="20"/>
        </w:rPr>
      </w:pPr>
      <w:r>
        <w:rPr>
          <w:rFonts w:ascii="Times New Roman" w:hAnsi="Times New Roman"/>
          <w:sz w:val="20"/>
        </w:rPr>
        <w:t>P2P</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Notes have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24-month</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term from the date of the 2022 P2P NPA which is </w:t>
      </w:r>
    </w:p>
    <w:p>
      <w:pPr>
        <w:pStyle w:val="TextBody"/>
        <w:bidi w:val="0"/>
        <w:spacing w:before="120" w:after="0"/>
        <w:jc w:val="left"/>
        <w:rPr>
          <w:rFonts w:ascii="Times New Roman" w:hAnsi="Times New Roman"/>
          <w:sz w:val="20"/>
        </w:rPr>
      </w:pPr>
      <w:r>
        <w:rPr>
          <w:rFonts w:ascii="Times New Roman" w:hAnsi="Times New Roman"/>
          <w:sz w:val="20"/>
        </w:rPr>
        <w:t>December 9, 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2022 P2P NPA provides that the P2P Notes may be converted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 xml:space="preserve">Preferred stock or warrants to purchase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preferred stock, following the date of the 2022 P2P NPA for the purpose of raising capital with gross proceeds of at least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5</w:t>
            </w:r>
          </w:p>
          <w:p>
            <w:pPr>
              <w:pStyle w:val="TableContents"/>
              <w:bidi w:val="0"/>
              <w:spacing w:before="0" w:after="0"/>
              <w:jc w:val="left"/>
              <w:rPr/>
            </w:pPr>
            <w:r>
              <w:rPr/>
              <w:t> </w:t>
            </w:r>
            <w:r>
              <w:rPr>
                <w:rFonts w:ascii="Times New Roman" w:hAnsi="Times New Roman"/>
                <w:sz w:val="20"/>
              </w:rPr>
              <w:t xml:space="preserve">million excluding the P2P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 </w:t>
            </w:r>
          </w:p>
        </w:tc>
      </w:tr>
    </w:tbl>
    <w:p>
      <w:pPr>
        <w:pStyle w:val="TextBody"/>
        <w:bidi w:val="0"/>
        <w:spacing w:before="0" w:after="0"/>
        <w:ind w:left="0" w:right="0" w:hanging="0"/>
        <w:jc w:val="left"/>
        <w:rPr>
          <w:sz w:val="12"/>
        </w:rPr>
      </w:pPr>
      <w:r>
        <w:rPr>
          <w:sz w:val="12"/>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 </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w:t>
      </w:r>
    </w:p>
    <w:p>
      <w:pPr>
        <w:pStyle w:val="TextBody"/>
        <w:bidi w:val="0"/>
        <w:spacing w:before="240" w:after="0"/>
        <w:jc w:val="left"/>
        <w:rPr>
          <w:spacing w:val="0"/>
        </w:rPr>
      </w:pPr>
      <w:r>
        <w:rPr>
          <w:spacing w:val="0"/>
        </w:rPr>
        <w:t> </w:t>
      </w:r>
      <w:r>
        <w:rPr>
          <w:rFonts w:ascii="Times New Roman" w:hAnsi="Times New Roman"/>
          <w:spacing w:val="0"/>
          <w:sz w:val="20"/>
        </w:rPr>
        <w:t>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w:t>
      </w:r>
    </w:p>
    <w:p>
      <w:pPr>
        <w:pStyle w:val="TextBody"/>
        <w:bidi w:val="0"/>
        <w:spacing w:before="240" w:after="0"/>
        <w:jc w:val="left"/>
        <w:rPr>
          <w:rFonts w:ascii="Times New Roman" w:hAnsi="Times New Roman"/>
          <w:sz w:val="20"/>
        </w:rPr>
      </w:pPr>
      <w:r>
        <w:rPr>
          <w:rFonts w:ascii="Times New Roman" w:hAnsi="Times New Roman"/>
          <w:sz w:val="20"/>
        </w:rPr>
        <w:t>1.3</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2.6</w:t>
      </w:r>
    </w:p>
    <w:p>
      <w:pPr>
        <w:pStyle w:val="TextBody"/>
        <w:bidi w:val="0"/>
        <w:spacing w:before="240" w:after="0"/>
        <w:jc w:val="left"/>
        <w:rPr>
          <w:spacing w:val="0"/>
        </w:rPr>
      </w:pPr>
      <w:r>
        <w:rPr>
          <w:spacing w:val="0"/>
        </w:rPr>
        <w:t> </w:t>
      </w:r>
      <w:r>
        <w:rPr>
          <w:rFonts w:ascii="Times New Roman" w:hAnsi="Times New Roman"/>
          <w:spacing w:val="0"/>
          <w:sz w:val="20"/>
        </w:rPr>
        <w:t>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contribution (see Note 10). Additionally, investors in the P2P Notes also received warrants (the “P2P Warrants”) whose total exercise price is determined based on the timing of investment as well as the level of investor participation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vis-à-vis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investor’s designated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portion (see Note 8). </w:t>
      </w:r>
    </w:p>
    <w:p>
      <w:pPr>
        <w:pStyle w:val="TextBody"/>
        <w:bidi w:val="0"/>
        <w:spacing w:before="240" w:after="0"/>
        <w:jc w:val="left"/>
        <w:rPr>
          <w:rFonts w:ascii="Times New Roman" w:hAnsi="Times New Roman"/>
          <w:spacing w:val="0"/>
          <w:sz w:val="20"/>
        </w:rPr>
      </w:pPr>
      <w:r>
        <w:rPr>
          <w:rFonts w:ascii="Times New Roman" w:hAnsi="Times New Roman"/>
          <w:spacing w:val="0"/>
          <w:sz w:val="20"/>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w:t>
      </w:r>
    </w:p>
    <w:p>
      <w:pPr>
        <w:pStyle w:val="TextBody"/>
        <w:bidi w:val="0"/>
        <w:spacing w:before="240" w:after="0"/>
        <w:jc w:val="left"/>
        <w:rPr>
          <w:rFonts w:ascii="Times New Roman" w:hAnsi="Times New Roman"/>
          <w:sz w:val="20"/>
        </w:rPr>
      </w:pPr>
      <w:r>
        <w:rPr>
          <w:rFonts w:ascii="Times New Roman" w:hAnsi="Times New Roman"/>
          <w:sz w:val="20"/>
        </w:rPr>
        <w:t>61,000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was recognized as a component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240" w:after="0"/>
        <w:jc w:val="left"/>
        <w:rPr>
          <w:rFonts w:ascii="Times New Roman" w:hAnsi="Times New Roman"/>
          <w:spacing w:val="0"/>
          <w:sz w:val="20"/>
        </w:rPr>
      </w:pPr>
      <w:r>
        <w:rPr>
          <w:rFonts w:ascii="Times New Roman" w:hAnsi="Times New Roman"/>
          <w:spacing w:val="0"/>
          <w:sz w:val="20"/>
        </w:rPr>
        <w:t>financing charge for the year ended December 31, 2023.</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w:t>
      </w:r>
    </w:p>
    <w:p>
      <w:pPr>
        <w:pStyle w:val="TextBody"/>
        <w:bidi w:val="0"/>
        <w:spacing w:before="0" w:after="0"/>
        <w:jc w:val="left"/>
        <w:rPr>
          <w:rFonts w:ascii="Times New Roman" w:hAnsi="Times New Roman"/>
          <w:sz w:val="20"/>
        </w:rPr>
      </w:pPr>
      <w:r>
        <w:rPr>
          <w:rFonts w:ascii="Times New Roman" w:hAnsi="Times New Roman"/>
          <w:sz w:val="20"/>
        </w:rPr>
        <w:t>0.1</w:t>
      </w:r>
    </w:p>
    <w:p>
      <w:pPr>
        <w:pStyle w:val="TextBody"/>
        <w:bidi w:val="0"/>
        <w:spacing w:before="0" w:after="0"/>
        <w:jc w:val="left"/>
        <w:rPr>
          <w:spacing w:val="0"/>
        </w:rPr>
      </w:pPr>
      <w:r>
        <w:rPr>
          <w:spacing w:val="0"/>
        </w:rPr>
        <w:t> </w:t>
      </w:r>
      <w:r>
        <w:rPr>
          <w:rFonts w:ascii="Times New Roman" w:hAnsi="Times New Roman"/>
          <w:spacing w:val="0"/>
          <w:sz w:val="20"/>
        </w:rPr>
        <w:t>million. In addition to the P2P Note, each participating eligible common shareholder also received the right to have the number of common shares held immediately prior to the Offering restored to the total number of common shares held prior to the Company’s</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rFonts w:ascii="Times New Roman" w:hAnsi="Times New Roman"/>
          <w:sz w:val="20"/>
        </w:rPr>
      </w:pPr>
      <w:r>
        <w:rPr>
          <w:rFonts w:ascii="Times New Roman" w:hAnsi="Times New Roman"/>
          <w:sz w:val="20"/>
        </w:rPr>
        <w:t xml:space="preserve">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w:t>
      </w:r>
    </w:p>
    <w:p>
      <w:pPr>
        <w:pStyle w:val="TextBody"/>
        <w:bidi w:val="0"/>
        <w:spacing w:before="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0" w:after="0"/>
        <w:jc w:val="left"/>
        <w:rPr>
          <w:rFonts w:ascii="Times New Roman" w:hAnsi="Times New Roman"/>
          <w:sz w:val="20"/>
        </w:rPr>
      </w:pPr>
      <w:r>
        <w:rPr>
          <w:rFonts w:ascii="Times New Roman" w:hAnsi="Times New Roman"/>
          <w:sz w:val="20"/>
        </w:rPr>
        <w:t xml:space="preserve">financing charge in the accompanying consolidated statements of operations. During the year ended December 31, 2024, the Company did not enter into any Exchange Agreements with eligible common shareholders.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the Closing Date, as provided by the terms of the P2P notes, the outstanding P2P Notes were converted, at the option of the holders, to common stock upon the execution of the Merger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2023 Convertible Notes: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From July 2023 through November 2023, the Company raised $</w:t>
      </w:r>
    </w:p>
    <w:p>
      <w:pPr>
        <w:pStyle w:val="TextBody"/>
        <w:bidi w:val="0"/>
        <w:spacing w:before="120" w:after="0"/>
        <w:jc w:val="left"/>
        <w:rPr>
          <w:rFonts w:ascii="Times New Roman" w:hAnsi="Times New Roman"/>
          <w:sz w:val="20"/>
        </w:rPr>
      </w:pPr>
      <w:r>
        <w:rPr>
          <w:rFonts w:ascii="Times New Roman" w:hAnsi="Times New Roman"/>
          <w:sz w:val="20"/>
        </w:rPr>
        <w:t>12.3</w:t>
      </w:r>
    </w:p>
    <w:p>
      <w:pPr>
        <w:pStyle w:val="TextBody"/>
        <w:bidi w:val="0"/>
        <w:spacing w:before="120" w:after="0"/>
        <w:jc w:val="left"/>
        <w:rPr>
          <w:spacing w:val="0"/>
        </w:rPr>
      </w:pPr>
      <w:r>
        <w:rPr>
          <w:spacing w:val="0"/>
        </w:rPr>
        <w:t> </w:t>
      </w:r>
      <w:r>
        <w:rPr>
          <w:rFonts w:ascii="Times New Roman" w:hAnsi="Times New Roman"/>
          <w:spacing w:val="0"/>
          <w:sz w:val="20"/>
        </w:rPr>
        <w:t xml:space="preserve">million in convertible notes (the “2023 Convertible Notes”) under the note purchase agreement dated July 3, 2023, as amended on August 1, 2023 to refine the valuation cap definition (the “2023 NPA”) (see Note 13). The 2023 Convertible Notes accrue interest at </w:t>
      </w:r>
    </w:p>
    <w:p>
      <w:pPr>
        <w:pStyle w:val="TextBody"/>
        <w:bidi w:val="0"/>
        <w:spacing w:before="120" w:after="0"/>
        <w:jc w:val="left"/>
        <w:rPr>
          <w:rFonts w:ascii="Times New Roman" w:hAnsi="Times New Roman"/>
          <w:sz w:val="20"/>
        </w:rPr>
      </w:pPr>
      <w:r>
        <w:rPr>
          <w:rFonts w:ascii="Times New Roman" w:hAnsi="Times New Roman"/>
          <w:sz w:val="20"/>
        </w:rPr>
        <w:t>10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per annum and mature </w:t>
      </w:r>
    </w:p>
    <w:p>
      <w:pPr>
        <w:pStyle w:val="TextBody"/>
        <w:bidi w:val="0"/>
        <w:spacing w:before="120" w:after="0"/>
        <w:jc w:val="left"/>
        <w:rPr>
          <w:rFonts w:ascii="Times New Roman" w:hAnsi="Times New Roman"/>
          <w:sz w:val="20"/>
        </w:rPr>
      </w:pPr>
      <w:r>
        <w:rPr>
          <w:rFonts w:ascii="Times New Roman" w:hAnsi="Times New Roman"/>
          <w:sz w:val="20"/>
        </w:rPr>
        <w:t>18</w:t>
      </w:r>
    </w:p>
    <w:p>
      <w:pPr>
        <w:pStyle w:val="TextBody"/>
        <w:bidi w:val="0"/>
        <w:spacing w:before="120" w:after="0"/>
        <w:jc w:val="left"/>
        <w:rPr>
          <w:rFonts w:ascii="Times New Roman" w:hAnsi="Times New Roman"/>
          <w:spacing w:val="0"/>
          <w:sz w:val="20"/>
        </w:rPr>
      </w:pPr>
      <w:r>
        <w:rPr>
          <w:rFonts w:ascii="Times New Roman" w:hAnsi="Times New Roman"/>
          <w:spacing w:val="0"/>
          <w:sz w:val="20"/>
        </w:rPr>
        <w:t>months from the date of the 2023 NPA. The 2023 Convertible Notes are secured by all of the Company’s assets.</w:t>
      </w:r>
    </w:p>
    <w:p>
      <w:pPr>
        <w:pStyle w:val="TextBody"/>
        <w:bidi w:val="0"/>
        <w:spacing w:before="240" w:after="0"/>
        <w:jc w:val="left"/>
        <w:rPr>
          <w:rFonts w:ascii="Times New Roman" w:hAnsi="Times New Roman"/>
          <w:spacing w:val="0"/>
          <w:sz w:val="20"/>
        </w:rPr>
      </w:pPr>
      <w:r>
        <w:rPr>
          <w:rFonts w:ascii="Times New Roman" w:hAnsi="Times New Roman"/>
          <w:spacing w:val="0"/>
          <w:sz w:val="20"/>
        </w:rPr>
        <w:t>During</w:t>
      </w:r>
    </w:p>
    <w:p>
      <w:pPr>
        <w:pStyle w:val="TextBody"/>
        <w:bidi w:val="0"/>
        <w:spacing w:before="240" w:after="0"/>
        <w:jc w:val="left"/>
        <w:rPr>
          <w:spacing w:val="0"/>
        </w:rPr>
      </w:pPr>
      <w:r>
        <w:rPr>
          <w:spacing w:val="0"/>
        </w:rPr>
        <w:t> </w:t>
      </w:r>
      <w:r>
        <w:rPr>
          <w:rFonts w:ascii="Times New Roman" w:hAnsi="Times New Roman"/>
          <w:spacing w:val="0"/>
          <w:sz w:val="20"/>
        </w:rPr>
        <w:t>the year ended December 31, 2024, the Company received $</w:t>
      </w:r>
    </w:p>
    <w:p>
      <w:pPr>
        <w:pStyle w:val="TextBody"/>
        <w:bidi w:val="0"/>
        <w:spacing w:before="240" w:after="0"/>
        <w:jc w:val="left"/>
        <w:rPr>
          <w:rFonts w:ascii="Times New Roman" w:hAnsi="Times New Roman"/>
          <w:sz w:val="20"/>
        </w:rPr>
      </w:pPr>
      <w:r>
        <w:rPr>
          <w:rFonts w:ascii="Times New Roman" w:hAnsi="Times New Roman"/>
          <w:sz w:val="20"/>
        </w:rPr>
        <w:t>110.7</w:t>
      </w:r>
    </w:p>
    <w:p>
      <w:pPr>
        <w:pStyle w:val="TextBody"/>
        <w:bidi w:val="0"/>
        <w:spacing w:before="240" w:after="0"/>
        <w:jc w:val="left"/>
        <w:rPr>
          <w:spacing w:val="0"/>
        </w:rPr>
      </w:pPr>
      <w:r>
        <w:rPr>
          <w:spacing w:val="0"/>
        </w:rPr>
        <w:t> </w:t>
      </w:r>
      <w:r>
        <w:rPr>
          <w:rFonts w:ascii="Times New Roman" w:hAnsi="Times New Roman"/>
          <w:spacing w:val="0"/>
          <w:sz w:val="20"/>
        </w:rPr>
        <w:t xml:space="preserve">million in additional proceeds from the issuance of </w:t>
      </w:r>
    </w:p>
    <w:p>
      <w:pPr>
        <w:pStyle w:val="TextBody"/>
        <w:bidi w:val="0"/>
        <w:spacing w:before="240" w:after="0"/>
        <w:jc w:val="left"/>
        <w:rPr>
          <w:rFonts w:ascii="Times New Roman" w:hAnsi="Times New Roman"/>
          <w:sz w:val="20"/>
        </w:rPr>
      </w:pPr>
      <w:r>
        <w:rPr>
          <w:rFonts w:ascii="Times New Roman" w:hAnsi="Times New Roman"/>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w:t>
      </w:r>
    </w:p>
    <w:p>
      <w:pPr>
        <w:pStyle w:val="TextBody"/>
        <w:bidi w:val="0"/>
        <w:spacing w:before="240" w:after="0"/>
        <w:jc w:val="left"/>
        <w:rPr>
          <w:rFonts w:ascii="Times New Roman" w:hAnsi="Times New Roman"/>
          <w:sz w:val="20"/>
        </w:rPr>
      </w:pPr>
      <w:r>
        <w:rPr>
          <w:rFonts w:ascii="Times New Roman" w:hAnsi="Times New Roman"/>
          <w:sz w:val="20"/>
        </w:rPr>
        <w:t>11.50</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w:t>
      </w:r>
    </w:p>
    <w:p>
      <w:pPr>
        <w:pStyle w:val="TextBody"/>
        <w:bidi w:val="0"/>
        <w:spacing w:before="240" w:after="0"/>
        <w:jc w:val="left"/>
        <w:rPr>
          <w:rFonts w:ascii="Times New Roman" w:hAnsi="Times New Roman"/>
          <w:spacing w:val="0"/>
          <w:sz w:val="20"/>
        </w:rPr>
      </w:pPr>
      <w:r>
        <w:rPr>
          <w:rFonts w:ascii="Times New Roman" w:hAnsi="Times New Roman"/>
          <w:spacing w:val="0"/>
          <w:sz w:val="20"/>
        </w:rPr>
        <w:t>he $</w:t>
      </w:r>
    </w:p>
    <w:p>
      <w:pPr>
        <w:pStyle w:val="TextBody"/>
        <w:bidi w:val="0"/>
        <w:spacing w:before="240" w:after="0"/>
        <w:jc w:val="left"/>
        <w:rPr>
          <w:rFonts w:ascii="Times New Roman" w:hAnsi="Times New Roman"/>
          <w:sz w:val="20"/>
        </w:rPr>
      </w:pPr>
      <w:r>
        <w:rPr>
          <w:rFonts w:ascii="Times New Roman" w:hAnsi="Times New Roman"/>
          <w:sz w:val="20"/>
        </w:rPr>
        <w:t>110.7</w:t>
      </w:r>
    </w:p>
    <w:p>
      <w:pPr>
        <w:pStyle w:val="TextBody"/>
        <w:bidi w:val="0"/>
        <w:spacing w:before="240" w:after="0"/>
        <w:jc w:val="left"/>
        <w:rPr>
          <w:spacing w:val="0"/>
        </w:rPr>
      </w:pPr>
      <w:r>
        <w:rPr>
          <w:spacing w:val="0"/>
        </w:rPr>
        <w:t> </w:t>
      </w:r>
      <w:r>
        <w:rPr>
          <w:rFonts w:ascii="Times New Roman" w:hAnsi="Times New Roman"/>
          <w:spacing w:val="0"/>
          <w:sz w:val="20"/>
        </w:rPr>
        <w:t>million in proceeds received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11.5</w:t>
      </w:r>
    </w:p>
    <w:p>
      <w:pPr>
        <w:pStyle w:val="TextBody"/>
        <w:bidi w:val="0"/>
        <w:spacing w:before="240" w:after="0"/>
        <w:jc w:val="left"/>
        <w:rPr>
          <w:spacing w:val="0"/>
        </w:rPr>
      </w:pPr>
      <w:r>
        <w:rPr>
          <w:spacing w:val="0"/>
        </w:rPr>
        <w:t> </w:t>
      </w:r>
      <w:r>
        <w:rPr>
          <w:rFonts w:ascii="Times New Roman" w:hAnsi="Times New Roman"/>
          <w:spacing w:val="0"/>
          <w:sz w:val="20"/>
        </w:rPr>
        <w:t>million was received from BurTech (see Note 1), $</w:t>
      </w:r>
    </w:p>
    <w:p>
      <w:pPr>
        <w:pStyle w:val="TextBody"/>
        <w:bidi w:val="0"/>
        <w:spacing w:before="240" w:after="0"/>
        <w:jc w:val="left"/>
        <w:rPr>
          <w:rFonts w:ascii="Times New Roman" w:hAnsi="Times New Roman"/>
          <w:sz w:val="20"/>
        </w:rPr>
      </w:pPr>
      <w:r>
        <w:rPr>
          <w:rFonts w:ascii="Times New Roman" w:hAnsi="Times New Roman"/>
          <w:sz w:val="20"/>
        </w:rPr>
        <w:t>2.4</w:t>
      </w:r>
    </w:p>
    <w:p>
      <w:pPr>
        <w:pStyle w:val="TextBody"/>
        <w:bidi w:val="0"/>
        <w:spacing w:before="240" w:after="0"/>
        <w:jc w:val="left"/>
        <w:rPr>
          <w:spacing w:val="0"/>
        </w:rPr>
      </w:pPr>
      <w:r>
        <w:rPr>
          <w:spacing w:val="0"/>
        </w:rPr>
        <w:t> </w:t>
      </w:r>
      <w:r>
        <w:rPr>
          <w:rFonts w:ascii="Times New Roman" w:hAnsi="Times New Roman"/>
          <w:spacing w:val="0"/>
          <w:sz w:val="20"/>
        </w:rPr>
        <w:t>million from miscellaneous parties, and $</w:t>
      </w:r>
    </w:p>
    <w:p>
      <w:pPr>
        <w:pStyle w:val="TextBody"/>
        <w:bidi w:val="0"/>
        <w:spacing w:before="240" w:after="0"/>
        <w:jc w:val="left"/>
        <w:rPr>
          <w:rFonts w:ascii="Times New Roman" w:hAnsi="Times New Roman"/>
          <w:sz w:val="20"/>
        </w:rPr>
      </w:pPr>
      <w:r>
        <w:rPr>
          <w:rFonts w:ascii="Times New Roman" w:hAnsi="Times New Roman"/>
          <w:sz w:val="20"/>
        </w:rPr>
        <w:t>96.8</w:t>
      </w:r>
    </w:p>
    <w:p>
      <w:pPr>
        <w:pStyle w:val="TextBody"/>
        <w:bidi w:val="0"/>
        <w:spacing w:before="240" w:after="0"/>
        <w:jc w:val="left"/>
        <w:rPr>
          <w:spacing w:val="0"/>
        </w:rPr>
      </w:pPr>
      <w:r>
        <w:rPr>
          <w:spacing w:val="0"/>
        </w:rPr>
        <w:t> </w:t>
      </w:r>
      <w:r>
        <w:rPr>
          <w:rFonts w:ascii="Times New Roman" w:hAnsi="Times New Roman"/>
          <w:spacing w:val="0"/>
          <w:sz w:val="20"/>
        </w:rPr>
        <w:t>million from a separate third-party group of investors (the “RT Parties”) in connection with an agreement to provide convertible note financing of up to $</w:t>
      </w:r>
    </w:p>
    <w:p>
      <w:pPr>
        <w:pStyle w:val="TextBody"/>
        <w:bidi w:val="0"/>
        <w:spacing w:before="240" w:after="0"/>
        <w:jc w:val="left"/>
        <w:rPr>
          <w:rFonts w:ascii="Times New Roman" w:hAnsi="Times New Roman"/>
          <w:sz w:val="20"/>
        </w:rPr>
      </w:pPr>
      <w:r>
        <w:rPr>
          <w:rFonts w:ascii="Times New Roman" w:hAnsi="Times New Roman"/>
          <w:sz w:val="20"/>
        </w:rPr>
        <w:t>125.0</w:t>
      </w:r>
    </w:p>
    <w:p>
      <w:pPr>
        <w:pStyle w:val="TextBody"/>
        <w:bidi w:val="0"/>
        <w:spacing w:before="240" w:after="0"/>
        <w:jc w:val="left"/>
        <w:rPr>
          <w:spacing w:val="0"/>
        </w:rPr>
      </w:pPr>
      <w:r>
        <w:rPr>
          <w:spacing w:val="0"/>
        </w:rPr>
        <w:t> </w:t>
      </w:r>
      <w:r>
        <w:rPr>
          <w:rFonts w:ascii="Times New Roman" w:hAnsi="Times New Roman"/>
          <w:spacing w:val="0"/>
          <w:sz w:val="20"/>
        </w:rPr>
        <w:t xml:space="preserve">million (the “Blaize Note Financing Agreement”). Under this separate agreement, the RT Parties and their transferees or distributes will not be required to execute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pacing w:val="0"/>
          <w:sz w:val="20"/>
        </w:rPr>
      </w:pPr>
      <w:r>
        <w:rPr>
          <w:rFonts w:ascii="Times New Roman" w:hAnsi="Times New Roman"/>
          <w:spacing w:val="0"/>
          <w:sz w:val="20"/>
        </w:rPr>
        <w:t>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2023 NPA provides that the notes may be converted as follows: </w:t>
      </w:r>
    </w:p>
    <w:p>
      <w:pPr>
        <w:pStyle w:val="TextBody"/>
        <w:bidi w:val="0"/>
        <w:spacing w:before="0" w:after="0"/>
        <w:ind w:left="0" w:right="0" w:hanging="0"/>
        <w:jc w:val="left"/>
        <w:rPr>
          <w:sz w:val="12"/>
        </w:rPr>
      </w:pPr>
      <w:r>
        <w:rPr>
          <w:sz w:val="12"/>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2023 Convertible Notes shall be repaid as follows at the closing of the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after July 3, 2024, an amount equal to the then accrued but unpaid interest plus five (5) times the then outstanding principal.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in respect of any such Corporate Transaction, an amount equal to the then accrued but unpaid interest plus one and a half (1.5) times the then outstanding principal.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Investors in the 2023 Convertible Notes also received warrants to purchase the same type of equity shares into which the 2023 Convertible Notes are converted (see Notes 8 and 13).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Investors in these secured convertible notes also received warrants to purchase equity shares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For</w:t>
      </w:r>
    </w:p>
    <w:p>
      <w:pPr>
        <w:pStyle w:val="TextBody"/>
        <w:bidi w:val="0"/>
        <w:spacing w:before="240" w:after="0"/>
        <w:jc w:val="left"/>
        <w:rPr>
          <w:spacing w:val="0"/>
        </w:rPr>
      </w:pPr>
      <w:r>
        <w:rPr>
          <w:spacing w:val="0"/>
        </w:rPr>
        <w:t> </w:t>
      </w:r>
      <w:r>
        <w:rPr>
          <w:rFonts w:ascii="Times New Roman" w:hAnsi="Times New Roman"/>
          <w:spacing w:val="0"/>
          <w:sz w:val="20"/>
        </w:rPr>
        <w:t>the years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 Company recognized a change in fair value of approximately $</w:t>
      </w:r>
    </w:p>
    <w:p>
      <w:pPr>
        <w:pStyle w:val="TextBody"/>
        <w:bidi w:val="0"/>
        <w:spacing w:before="240" w:after="0"/>
        <w:jc w:val="left"/>
        <w:rPr>
          <w:rFonts w:ascii="Times New Roman" w:hAnsi="Times New Roman"/>
          <w:sz w:val="20"/>
        </w:rPr>
      </w:pPr>
      <w:r>
        <w:rPr>
          <w:rFonts w:ascii="Times New Roman" w:hAnsi="Times New Roman"/>
          <w:sz w:val="20"/>
        </w:rPr>
        <w:t>8.7</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6.9</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respectively.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One investor who purchased a 2023 Convertible Note also received an RSU grant for a total of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RSUs (see Note </w:t>
      </w:r>
    </w:p>
    <w:p>
      <w:pPr>
        <w:pStyle w:val="TextBody"/>
        <w:bidi w:val="0"/>
        <w:spacing w:before="240" w:after="0"/>
        <w:jc w:val="left"/>
        <w:rPr>
          <w:rFonts w:ascii="Times New Roman" w:hAnsi="Times New Roman"/>
          <w:sz w:val="20"/>
        </w:rPr>
      </w:pPr>
      <w:r>
        <w:rPr>
          <w:rFonts w:ascii="Times New Roman" w:hAnsi="Times New Roman"/>
          <w:sz w:val="20"/>
        </w:rPr>
        <w:t>13)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which originally vested in full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240" w:after="0"/>
        <w:jc w:val="left"/>
        <w:rPr>
          <w:rFonts w:ascii="Times New Roman" w:hAnsi="Times New Roman"/>
          <w:spacing w:val="0"/>
          <w:sz w:val="20"/>
        </w:rPr>
      </w:pPr>
      <w:r>
        <w:rPr>
          <w:rFonts w:ascii="Times New Roman" w:hAnsi="Times New Roman"/>
          <w:spacing w:val="0"/>
          <w:sz w:val="20"/>
        </w:rPr>
        <w:t>anniversary of the grant date with such vesting subject to full acceleration upon the consummation of an IPO, SPAC Transaction, Direct Listing or Sale Event, as defined. The RSUs were valued on the date of issuance equal to the fair value of common stock approximating $</w:t>
      </w:r>
    </w:p>
    <w:p>
      <w:pPr>
        <w:pStyle w:val="TextBody"/>
        <w:bidi w:val="0"/>
        <w:spacing w:before="240" w:after="0"/>
        <w:jc w:val="left"/>
        <w:rPr>
          <w:rFonts w:ascii="Times New Roman" w:hAnsi="Times New Roman"/>
          <w:sz w:val="20"/>
        </w:rPr>
      </w:pPr>
      <w:r>
        <w:rPr>
          <w:rFonts w:ascii="Times New Roman" w:hAnsi="Times New Roman"/>
          <w:sz w:val="20"/>
        </w:rPr>
        <w:t>2.6</w:t>
      </w:r>
    </w:p>
    <w:p>
      <w:pPr>
        <w:pStyle w:val="TextBody"/>
        <w:bidi w:val="0"/>
        <w:spacing w:before="240" w:after="0"/>
        <w:jc w:val="left"/>
        <w:rPr>
          <w:spacing w:val="0"/>
        </w:rPr>
      </w:pPr>
      <w:r>
        <w:rPr>
          <w:spacing w:val="0"/>
        </w:rPr>
        <w:t> </w:t>
      </w:r>
      <w:r>
        <w:rPr>
          <w:rFonts w:ascii="Times New Roman" w:hAnsi="Times New Roman"/>
          <w:spacing w:val="0"/>
          <w:sz w:val="20"/>
        </w:rPr>
        <w:t xml:space="preserve">million and accounted for as Debt Financing Charge on the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Convertible Note. On December </w:t>
      </w:r>
    </w:p>
    <w:p>
      <w:pPr>
        <w:pStyle w:val="TextBody"/>
        <w:bidi w:val="0"/>
        <w:spacing w:before="240" w:after="0"/>
        <w:jc w:val="left"/>
        <w:rPr>
          <w:rFonts w:ascii="Times New Roman" w:hAnsi="Times New Roman"/>
          <w:sz w:val="20"/>
        </w:rPr>
      </w:pPr>
      <w:r>
        <w:rPr>
          <w:rFonts w:ascii="Times New Roman" w:hAnsi="Times New Roman"/>
          <w:sz w:val="20"/>
        </w:rPr>
        <w:t>22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the Company modified the RSU terms to immediately accelerate the vesting of the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awards outstanding and issue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shares of common stock (see Note </w:t>
      </w:r>
    </w:p>
    <w:p>
      <w:pPr>
        <w:pStyle w:val="TextBody"/>
        <w:bidi w:val="0"/>
        <w:spacing w:before="240" w:after="0"/>
        <w:jc w:val="left"/>
        <w:rPr>
          <w:rFonts w:ascii="Times New Roman" w:hAnsi="Times New Roman"/>
          <w:sz w:val="20"/>
        </w:rPr>
      </w:pPr>
      <w:r>
        <w:rPr>
          <w:rFonts w:ascii="Times New Roman" w:hAnsi="Times New Roman"/>
          <w:sz w:val="20"/>
        </w:rPr>
        <w:t>13)</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scheduled maturities of the Company’s outstanding convertible notes as of December 31, 2024 is as follows (in thousands): </w:t>
      </w:r>
    </w:p>
    <w:p>
      <w:pPr>
        <w:pStyle w:val="TextBody"/>
        <w:bidi w:val="0"/>
        <w:spacing w:before="0" w:after="0"/>
        <w:ind w:left="0" w:right="0" w:hanging="0"/>
        <w:jc w:val="left"/>
        <w:rPr>
          <w:spacing w:val="0"/>
        </w:rPr>
      </w:pPr>
      <w:r>
        <w:rPr>
          <w:spacing w:val="0"/>
        </w:rPr>
        <w:t> </w:t>
      </w:r>
    </w:p>
    <w:tbl>
      <w:tblPr>
        <w:tblW w:w="3950" w:type="dxa"/>
        <w:jc w:val="left"/>
        <w:tblInd w:w="0" w:type="dxa"/>
        <w:tblLayout w:type="fixed"/>
        <w:tblCellMar>
          <w:top w:w="0" w:type="dxa"/>
          <w:left w:w="0" w:type="dxa"/>
          <w:bottom w:w="0" w:type="dxa"/>
          <w:right w:w="0" w:type="dxa"/>
        </w:tblCellMar>
      </w:tblPr>
      <w:tblGrid>
        <w:gridCol w:w="2645"/>
        <w:gridCol w:w="120"/>
        <w:gridCol w:w="140"/>
        <w:gridCol w:w="875"/>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Year ending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148,629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(148,629</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the Closing Date, as provided by the terms of the 2023 Convertible Note Agreement, the outstanding 2023 Convertible Notes were converted, at the option of the holders, to common stock upon the execution of the Merger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Demand Notes: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During the year ended December 31, 2023, the Company issued short-term demand notes totaling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rFonts w:ascii="Times New Roman" w:hAnsi="Times New Roman"/>
          <w:sz w:val="20"/>
        </w:rPr>
      </w:pPr>
      <w:r>
        <w:rPr>
          <w:rFonts w:ascii="Times New Roman" w:hAnsi="Times New Roman"/>
          <w:sz w:val="20"/>
        </w:rPr>
        <w:t>5.1</w:t>
      </w:r>
    </w:p>
    <w:p>
      <w:pPr>
        <w:pStyle w:val="TextBody"/>
        <w:bidi w:val="0"/>
        <w:spacing w:before="120" w:after="0"/>
        <w:jc w:val="left"/>
        <w:rPr>
          <w:spacing w:val="0"/>
        </w:rPr>
      </w:pPr>
      <w:r>
        <w:rPr>
          <w:spacing w:val="0"/>
        </w:rPr>
        <w:t> </w:t>
      </w:r>
      <w:r>
        <w:rPr>
          <w:rFonts w:ascii="Times New Roman" w:hAnsi="Times New Roman"/>
          <w:spacing w:val="0"/>
          <w:sz w:val="20"/>
        </w:rPr>
        <w:t>million, of which $</w:t>
      </w:r>
    </w:p>
    <w:p>
      <w:pPr>
        <w:pStyle w:val="TextBody"/>
        <w:bidi w:val="0"/>
        <w:spacing w:before="120" w:after="0"/>
        <w:jc w:val="left"/>
        <w:rPr>
          <w:rFonts w:ascii="Times New Roman" w:hAnsi="Times New Roman"/>
          <w:sz w:val="20"/>
        </w:rPr>
      </w:pPr>
      <w:r>
        <w:rPr>
          <w:rFonts w:ascii="Times New Roman" w:hAnsi="Times New Roman"/>
          <w:sz w:val="20"/>
        </w:rPr>
        <w:t>4.8</w:t>
      </w:r>
    </w:p>
    <w:p>
      <w:pPr>
        <w:pStyle w:val="TextBody"/>
        <w:bidi w:val="0"/>
        <w:spacing w:before="120" w:after="0"/>
        <w:jc w:val="left"/>
        <w:rPr>
          <w:spacing w:val="0"/>
        </w:rPr>
      </w:pPr>
      <w:r>
        <w:rPr>
          <w:spacing w:val="0"/>
        </w:rPr>
        <w:t> </w:t>
      </w:r>
      <w:r>
        <w:rPr>
          <w:rFonts w:ascii="Times New Roman" w:hAnsi="Times New Roman"/>
          <w:spacing w:val="0"/>
          <w:sz w:val="20"/>
        </w:rPr>
        <w:t>million remained outstanding as of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The outstanding notes earn simple interest based on a rate of </w:t>
      </w:r>
    </w:p>
    <w:p>
      <w:pPr>
        <w:pStyle w:val="TextBody"/>
        <w:bidi w:val="0"/>
        <w:spacing w:before="120" w:after="0"/>
        <w:jc w:val="left"/>
        <w:rPr>
          <w:rFonts w:ascii="Times New Roman" w:hAnsi="Times New Roman"/>
          <w:sz w:val="20"/>
        </w:rPr>
      </w:pPr>
      <w:r>
        <w:rPr>
          <w:rFonts w:ascii="Times New Roman" w:hAnsi="Times New Roman"/>
          <w:sz w:val="20"/>
        </w:rPr>
        <w:t>twelve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percent </w:t>
      </w:r>
    </w:p>
    <w:p>
      <w:pPr>
        <w:pStyle w:val="TextBody"/>
        <w:bidi w:val="0"/>
        <w:spacing w:before="120" w:after="0"/>
        <w:jc w:val="left"/>
        <w:rPr>
          <w:rFonts w:ascii="Times New Roman" w:hAnsi="Times New Roman"/>
          <w:sz w:val="20"/>
        </w:rPr>
      </w:pPr>
      <w:r>
        <w:rPr>
          <w:rFonts w:ascii="Times New Roman" w:hAnsi="Times New Roman"/>
          <w:sz w:val="20"/>
        </w:rPr>
        <w:t>(12</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with the outstanding principal and all accrued interest due and payable on demand by the holders at any time on or after the earlier of </w:t>
      </w:r>
    </w:p>
    <w:p>
      <w:pPr>
        <w:pStyle w:val="TextBody"/>
        <w:bidi w:val="0"/>
        <w:spacing w:before="120" w:after="0"/>
        <w:jc w:val="left"/>
        <w:rPr>
          <w:rFonts w:ascii="Times New Roman" w:hAnsi="Times New Roman"/>
          <w:sz w:val="20"/>
        </w:rPr>
      </w:pPr>
      <w:r>
        <w:rPr>
          <w:rFonts w:ascii="Times New Roman" w:hAnsi="Times New Roman"/>
          <w:sz w:val="20"/>
        </w:rPr>
        <w:t>(1)</w:t>
      </w:r>
    </w:p>
    <w:p>
      <w:pPr>
        <w:pStyle w:val="TextBody"/>
        <w:bidi w:val="0"/>
        <w:spacing w:before="120" w:after="0"/>
        <w:jc w:val="left"/>
        <w:rPr>
          <w:spacing w:val="0"/>
        </w:rPr>
      </w:pPr>
      <w:r>
        <w:rPr>
          <w:spacing w:val="0"/>
        </w:rPr>
        <w:t> </w:t>
      </w:r>
      <w:r>
        <w:rPr>
          <w:rFonts w:ascii="Times New Roman" w:hAnsi="Times New Roman"/>
          <w:spacing w:val="0"/>
          <w:sz w:val="20"/>
        </w:rPr>
        <w:t>the receipt of a minimum of</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w:t>
      </w:r>
    </w:p>
    <w:p>
      <w:pPr>
        <w:pStyle w:val="TextBody"/>
        <w:bidi w:val="0"/>
        <w:spacing w:before="0" w:after="0"/>
        <w:jc w:val="left"/>
        <w:rPr>
          <w:rFonts w:ascii="Times New Roman" w:hAnsi="Times New Roman"/>
          <w:sz w:val="20"/>
        </w:rPr>
      </w:pPr>
      <w:r>
        <w:rPr>
          <w:rFonts w:ascii="Times New Roman" w:hAnsi="Times New Roman"/>
          <w:sz w:val="20"/>
        </w:rPr>
        <w:t>15.0</w:t>
      </w:r>
    </w:p>
    <w:p>
      <w:pPr>
        <w:pStyle w:val="TextBody"/>
        <w:bidi w:val="0"/>
        <w:spacing w:before="0" w:after="0"/>
        <w:jc w:val="left"/>
        <w:rPr>
          <w:spacing w:val="0"/>
        </w:rPr>
      </w:pPr>
      <w:r>
        <w:rPr>
          <w:spacing w:val="0"/>
        </w:rPr>
        <w:t> </w:t>
      </w:r>
      <w:r>
        <w:rPr>
          <w:rFonts w:ascii="Times New Roman" w:hAnsi="Times New Roman"/>
          <w:spacing w:val="0"/>
          <w:sz w:val="20"/>
        </w:rPr>
        <w:t>million from BurTech and other investors pursuant to the Note Purchase Agreement dated July </w:t>
      </w:r>
    </w:p>
    <w:p>
      <w:pPr>
        <w:pStyle w:val="TextBody"/>
        <w:bidi w:val="0"/>
        <w:spacing w:before="0" w:after="0"/>
        <w:jc w:val="left"/>
        <w:rPr>
          <w:rFonts w:ascii="Times New Roman" w:hAnsi="Times New Roman"/>
          <w:sz w:val="20"/>
        </w:rPr>
      </w:pPr>
      <w:r>
        <w:rPr>
          <w:rFonts w:ascii="Times New Roman" w:hAnsi="Times New Roman"/>
          <w:sz w:val="20"/>
        </w:rPr>
        <w:t>2</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2023</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(2)</w:t>
      </w:r>
    </w:p>
    <w:p>
      <w:pPr>
        <w:pStyle w:val="TextBody"/>
        <w:bidi w:val="0"/>
        <w:spacing w:before="0" w:after="0"/>
        <w:jc w:val="left"/>
        <w:rPr>
          <w:spacing w:val="0"/>
        </w:rPr>
      </w:pPr>
      <w:r>
        <w:rPr>
          <w:spacing w:val="0"/>
        </w:rPr>
        <w:t> </w:t>
      </w:r>
      <w:r>
        <w:rPr>
          <w:rFonts w:ascii="Times New Roman" w:hAnsi="Times New Roman"/>
          <w:spacing w:val="0"/>
          <w:sz w:val="20"/>
        </w:rPr>
        <w:t>March </w:t>
      </w:r>
    </w:p>
    <w:p>
      <w:pPr>
        <w:pStyle w:val="TextBody"/>
        <w:bidi w:val="0"/>
        <w:spacing w:before="0" w:after="0"/>
        <w:jc w:val="left"/>
        <w:rPr>
          <w:rFonts w:ascii="Times New Roman" w:hAnsi="Times New Roman"/>
          <w:sz w:val="20"/>
        </w:rPr>
      </w:pPr>
      <w:r>
        <w:rPr>
          <w:rFonts w:ascii="Times New Roman" w:hAnsi="Times New Roman"/>
          <w:sz w:val="20"/>
        </w:rPr>
        <w:t>31</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2024</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(see Note </w:t>
      </w:r>
    </w:p>
    <w:p>
      <w:pPr>
        <w:pStyle w:val="TextBody"/>
        <w:bidi w:val="0"/>
        <w:spacing w:before="0" w:after="0"/>
        <w:jc w:val="left"/>
        <w:rPr>
          <w:rFonts w:ascii="Times New Roman" w:hAnsi="Times New Roman"/>
          <w:sz w:val="20"/>
        </w:rPr>
      </w:pPr>
      <w:r>
        <w:rPr>
          <w:rFonts w:ascii="Times New Roman" w:hAnsi="Times New Roman"/>
          <w:sz w:val="20"/>
        </w:rPr>
        <w:t>13)</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In </w:t>
      </w:r>
    </w:p>
    <w:p>
      <w:pPr>
        <w:pStyle w:val="TextBody"/>
        <w:bidi w:val="0"/>
        <w:spacing w:before="0" w:after="0"/>
        <w:jc w:val="left"/>
        <w:rPr>
          <w:rFonts w:ascii="Times New Roman" w:hAnsi="Times New Roman"/>
          <w:sz w:val="20"/>
        </w:rPr>
      </w:pPr>
      <w:r>
        <w:rPr>
          <w:rFonts w:ascii="Times New Roman" w:hAnsi="Times New Roman"/>
          <w:sz w:val="20"/>
        </w:rPr>
        <w:t>April 2024</w:t>
      </w:r>
    </w:p>
    <w:p>
      <w:pPr>
        <w:pStyle w:val="TextBody"/>
        <w:bidi w:val="0"/>
        <w:spacing w:before="0" w:after="0"/>
        <w:jc w:val="left"/>
        <w:rPr>
          <w:rFonts w:ascii="Times New Roman" w:hAnsi="Times New Roman"/>
          <w:spacing w:val="0"/>
          <w:sz w:val="20"/>
        </w:rPr>
      </w:pPr>
      <w:r>
        <w:rPr>
          <w:rFonts w:ascii="Times New Roman" w:hAnsi="Times New Roman"/>
          <w:spacing w:val="0"/>
          <w:sz w:val="20"/>
        </w:rPr>
        <w:t>, the Company repaid the total outstanding principal and interest of $</w:t>
      </w:r>
    </w:p>
    <w:p>
      <w:pPr>
        <w:pStyle w:val="TextBody"/>
        <w:bidi w:val="0"/>
        <w:spacing w:before="0" w:after="0"/>
        <w:jc w:val="left"/>
        <w:rPr>
          <w:rFonts w:ascii="Times New Roman" w:hAnsi="Times New Roman"/>
          <w:sz w:val="20"/>
        </w:rPr>
      </w:pPr>
      <w:r>
        <w:rPr>
          <w:rFonts w:ascii="Times New Roman" w:hAnsi="Times New Roman"/>
          <w:sz w:val="20"/>
        </w:rPr>
        <w:t>5.0</w:t>
      </w:r>
    </w:p>
    <w:p>
      <w:pPr>
        <w:pStyle w:val="TextBody"/>
        <w:bidi w:val="0"/>
        <w:spacing w:before="0" w:after="0"/>
        <w:jc w:val="left"/>
        <w:rPr>
          <w:spacing w:val="0"/>
        </w:rPr>
      </w:pPr>
      <w:r>
        <w:rPr>
          <w:spacing w:val="0"/>
        </w:rPr>
        <w:t> </w:t>
      </w:r>
      <w:r>
        <w:rPr>
          <w:rFonts w:ascii="Times New Roman" w:hAnsi="Times New Roman"/>
          <w:spacing w:val="0"/>
          <w:sz w:val="20"/>
        </w:rPr>
        <w:t>million.</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8. Warrant Liabilities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P2P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Certain investors who invested in the P2P Notes (see Notes 7 and 13) also received P2P Warrants for no additional consideration resulting in the allocation of proceeds between the P2P Notes and P2P Warrants (see Notes 7 and 13).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Under</w:t>
      </w:r>
    </w:p>
    <w:p>
      <w:pPr>
        <w:pStyle w:val="TextBody"/>
        <w:bidi w:val="0"/>
        <w:spacing w:before="240" w:after="0"/>
        <w:jc w:val="left"/>
        <w:rPr>
          <w:spacing w:val="0"/>
        </w:rPr>
      </w:pPr>
      <w:r>
        <w:rPr>
          <w:spacing w:val="0"/>
        </w:rPr>
        <w:t> </w:t>
      </w:r>
      <w:r>
        <w:rPr>
          <w:rFonts w:ascii="Times New Roman" w:hAnsi="Times New Roman"/>
          <w:spacing w:val="0"/>
          <w:sz w:val="20"/>
        </w:rPr>
        <w:t xml:space="preserve">the terms of the </w:t>
      </w:r>
    </w:p>
    <w:p>
      <w:pPr>
        <w:pStyle w:val="TextBody"/>
        <w:bidi w:val="0"/>
        <w:spacing w:before="240" w:after="0"/>
        <w:jc w:val="left"/>
        <w:rPr>
          <w:rFonts w:ascii="Times New Roman" w:hAnsi="Times New Roman"/>
          <w:sz w:val="20"/>
        </w:rPr>
      </w:pPr>
      <w:r>
        <w:rPr>
          <w:rFonts w:ascii="Times New Roman" w:hAnsi="Times New Roman"/>
          <w:sz w:val="20"/>
        </w:rPr>
        <w:t>2022</w:t>
      </w:r>
    </w:p>
    <w:p>
      <w:pPr>
        <w:pStyle w:val="TextBody"/>
        <w:bidi w:val="0"/>
        <w:spacing w:before="240" w:after="0"/>
        <w:jc w:val="left"/>
        <w:rPr>
          <w:rFonts w:ascii="Times New Roman" w:hAnsi="Times New Roman"/>
          <w:spacing w:val="0"/>
          <w:sz w:val="20"/>
        </w:rPr>
      </w:pPr>
      <w:r>
        <w:rPr>
          <w:rFonts w:ascii="Times New Roman" w:hAnsi="Times New Roman"/>
          <w:spacing w:val="0"/>
          <w:sz w:val="20"/>
        </w:rPr>
        <w:t>P</w:t>
      </w:r>
    </w:p>
    <w:p>
      <w:pPr>
        <w:pStyle w:val="TextBody"/>
        <w:bidi w:val="0"/>
        <w:spacing w:before="240" w:after="0"/>
        <w:jc w:val="left"/>
        <w:rPr>
          <w:rFonts w:ascii="Times New Roman" w:hAnsi="Times New Roman"/>
          <w:sz w:val="20"/>
        </w:rPr>
      </w:pPr>
      <w:r>
        <w:rPr>
          <w:rFonts w:ascii="Times New Roman" w:hAnsi="Times New Roman"/>
          <w:sz w:val="20"/>
        </w:rPr>
        <w:t>2</w:t>
      </w:r>
    </w:p>
    <w:p>
      <w:pPr>
        <w:pStyle w:val="TextBody"/>
        <w:bidi w:val="0"/>
        <w:spacing w:before="240" w:after="0"/>
        <w:jc w:val="left"/>
        <w:rPr>
          <w:rFonts w:ascii="Times New Roman" w:hAnsi="Times New Roman"/>
          <w:spacing w:val="0"/>
          <w:sz w:val="20"/>
        </w:rPr>
      </w:pPr>
      <w:r>
        <w:rPr>
          <w:rFonts w:ascii="Times New Roman" w:hAnsi="Times New Roman"/>
          <w:spacing w:val="0"/>
          <w:sz w:val="20"/>
        </w:rPr>
        <w:t>P NPA and related warrant agreements, the P</w:t>
      </w:r>
    </w:p>
    <w:p>
      <w:pPr>
        <w:pStyle w:val="TextBody"/>
        <w:bidi w:val="0"/>
        <w:spacing w:before="240" w:after="0"/>
        <w:jc w:val="left"/>
        <w:rPr>
          <w:rFonts w:ascii="Times New Roman" w:hAnsi="Times New Roman"/>
          <w:sz w:val="20"/>
        </w:rPr>
      </w:pPr>
      <w:r>
        <w:rPr>
          <w:rFonts w:ascii="Times New Roman" w:hAnsi="Times New Roman"/>
          <w:sz w:val="20"/>
        </w:rPr>
        <w:t>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 Warrants will be exercisable, in whole or in part, during the term commencing on the date of issuance through the </w:t>
      </w:r>
    </w:p>
    <w:p>
      <w:pPr>
        <w:pStyle w:val="TextBody"/>
        <w:bidi w:val="0"/>
        <w:spacing w:before="240" w:after="0"/>
        <w:jc w:val="left"/>
        <w:rPr>
          <w:rFonts w:ascii="Times New Roman" w:hAnsi="Times New Roman"/>
          <w:sz w:val="20"/>
        </w:rPr>
      </w:pPr>
      <w:r>
        <w:rPr>
          <w:rFonts w:ascii="Times New Roman" w:hAnsi="Times New Roman"/>
          <w:sz w:val="20"/>
        </w:rPr>
        <w:t>three</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w:t>
      </w:r>
    </w:p>
    <w:p>
      <w:pPr>
        <w:pStyle w:val="TextBody"/>
        <w:bidi w:val="0"/>
        <w:spacing w:before="240" w:after="0"/>
        <w:jc w:val="left"/>
        <w:rPr>
          <w:rFonts w:ascii="Times New Roman" w:hAnsi="Times New Roman"/>
          <w:sz w:val="20"/>
        </w:rPr>
      </w:pPr>
      <w:r>
        <w:rPr>
          <w:rFonts w:ascii="Times New Roman" w:hAnsi="Times New Roman"/>
          <w:sz w:val="20"/>
        </w:rPr>
        <w:t>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 Notes. The total number of warrants ranges from </w:t>
      </w:r>
    </w:p>
    <w:p>
      <w:pPr>
        <w:pStyle w:val="TextBody"/>
        <w:bidi w:val="0"/>
        <w:spacing w:before="240" w:after="0"/>
        <w:jc w:val="left"/>
        <w:rPr>
          <w:rFonts w:ascii="Times New Roman" w:hAnsi="Times New Roman"/>
          <w:sz w:val="20"/>
        </w:rPr>
      </w:pPr>
      <w:r>
        <w:rPr>
          <w:rFonts w:ascii="Times New Roman" w:hAnsi="Times New Roman"/>
          <w:sz w:val="20"/>
        </w:rPr>
        <w:t>20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to </w:t>
      </w:r>
    </w:p>
    <w:p>
      <w:pPr>
        <w:pStyle w:val="TextBody"/>
        <w:bidi w:val="0"/>
        <w:spacing w:before="240" w:after="0"/>
        <w:jc w:val="left"/>
        <w:rPr>
          <w:rFonts w:ascii="Times New Roman" w:hAnsi="Times New Roman"/>
          <w:sz w:val="20"/>
        </w:rPr>
      </w:pPr>
      <w:r>
        <w:rPr>
          <w:rFonts w:ascii="Times New Roman" w:hAnsi="Times New Roman"/>
          <w:sz w:val="20"/>
        </w:rPr>
        <w:t>40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of the total Conversion Shares to be issued for Lenders who invest at or less then their pro rata portion and for Lenders who invest above their pro rata portion, the total number of warrant shares is an additional </w:t>
      </w:r>
    </w:p>
    <w:p>
      <w:pPr>
        <w:pStyle w:val="TextBody"/>
        <w:bidi w:val="0"/>
        <w:spacing w:before="240" w:after="0"/>
        <w:jc w:val="left"/>
        <w:rPr>
          <w:rFonts w:ascii="Times New Roman" w:hAnsi="Times New Roman"/>
          <w:sz w:val="20"/>
        </w:rPr>
      </w:pPr>
      <w:r>
        <w:rPr>
          <w:rFonts w:ascii="Times New Roman" w:hAnsi="Times New Roman"/>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to </w:t>
      </w:r>
    </w:p>
    <w:p>
      <w:pPr>
        <w:pStyle w:val="TextBody"/>
        <w:bidi w:val="0"/>
        <w:spacing w:before="240" w:after="0"/>
        <w:jc w:val="left"/>
        <w:rPr>
          <w:rFonts w:ascii="Times New Roman" w:hAnsi="Times New Roman"/>
          <w:sz w:val="20"/>
        </w:rPr>
      </w:pPr>
      <w:r>
        <w:rPr>
          <w:rFonts w:ascii="Times New Roman" w:hAnsi="Times New Roman"/>
          <w:sz w:val="20"/>
        </w:rPr>
        <w:t>20</w:t>
      </w:r>
    </w:p>
    <w:p>
      <w:pPr>
        <w:pStyle w:val="TextBody"/>
        <w:bidi w:val="0"/>
        <w:spacing w:before="240" w:after="0"/>
        <w:jc w:val="left"/>
        <w:rPr>
          <w:rFonts w:ascii="Times New Roman" w:hAnsi="Times New Roman"/>
          <w:spacing w:val="0"/>
          <w:sz w:val="20"/>
        </w:rPr>
      </w:pPr>
      <w:r>
        <w:rPr>
          <w:rFonts w:ascii="Times New Roman" w:hAnsi="Times New Roman"/>
          <w:spacing w:val="0"/>
          <w:sz w:val="20"/>
        </w:rPr>
        <w:t>% of a calculated incremental number of shares over the designated pro rata portion.</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During 2023, in connection with the additional issuance of P2P notes, </w:t>
      </w:r>
    </w:p>
    <w:p>
      <w:pPr>
        <w:pStyle w:val="TextBody"/>
        <w:bidi w:val="0"/>
        <w:spacing w:before="240" w:after="0"/>
        <w:jc w:val="left"/>
        <w:rPr>
          <w:rFonts w:ascii="Times New Roman" w:hAnsi="Times New Roman"/>
          <w:sz w:val="20"/>
        </w:rPr>
      </w:pPr>
      <w:r>
        <w:rPr>
          <w:rFonts w:ascii="Times New Roman" w:hAnsi="Times New Roman"/>
          <w:sz w:val="20"/>
        </w:rPr>
        <w:t xml:space="preserve">336,950 Series D Shadow Preferred Stock warrants were reinstated at a fair value of approximately $61,000 (see Note 7) and reclassified from equity to warrant liability.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Effective February 28, 2024 the Series D Shadow Preferred Stock warrants expired unexercised.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provided by the terms of the P2P notes, the notes remained outstanding and were converted, at the option of the holders, to common stock upon the Closing Date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2023 Convertible Note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w:t>
      </w:r>
    </w:p>
    <w:p>
      <w:pPr>
        <w:pStyle w:val="TextBody"/>
        <w:bidi w:val="0"/>
        <w:spacing w:before="240" w:after="0"/>
        <w:jc w:val="left"/>
        <w:rPr>
          <w:rFonts w:ascii="Times New Roman" w:hAnsi="Times New Roman"/>
          <w:sz w:val="20"/>
        </w:rPr>
      </w:pPr>
      <w:r>
        <w:rPr>
          <w:rFonts w:ascii="Times New Roman" w:hAnsi="Times New Roman"/>
          <w:sz w:val="20"/>
        </w:rPr>
        <w:t>April 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amendment, the number of warrant shares issuable upon exercise is equal to the quotient obtained by dividing (i) </w:t>
      </w:r>
    </w:p>
    <w:p>
      <w:pPr>
        <w:pStyle w:val="TextBody"/>
        <w:bidi w:val="0"/>
        <w:spacing w:before="240" w:after="0"/>
        <w:jc w:val="left"/>
        <w:rPr>
          <w:rFonts w:ascii="Times New Roman" w:hAnsi="Times New Roman"/>
          <w:sz w:val="20"/>
        </w:rPr>
      </w:pPr>
      <w:r>
        <w:rPr>
          <w:rFonts w:ascii="Times New Roman" w:hAnsi="Times New Roman"/>
          <w:sz w:val="20"/>
        </w:rPr>
        <w:t>25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Additionally,</w:t>
      </w:r>
    </w:p>
    <w:p>
      <w:pPr>
        <w:pStyle w:val="TextBody"/>
        <w:bidi w:val="0"/>
        <w:spacing w:before="240" w:after="0"/>
        <w:jc w:val="left"/>
        <w:rPr>
          <w:spacing w:val="0"/>
        </w:rPr>
      </w:pPr>
      <w:r>
        <w:rPr>
          <w:spacing w:val="0"/>
        </w:rPr>
        <w:t> </w:t>
      </w:r>
      <w:r>
        <w:rPr>
          <w:rFonts w:ascii="Times New Roman" w:hAnsi="Times New Roman"/>
          <w:spacing w:val="0"/>
          <w:sz w:val="20"/>
        </w:rPr>
        <w:t xml:space="preserve">the expiration date of the warrants was changed from </w:t>
      </w:r>
    </w:p>
    <w:p>
      <w:pPr>
        <w:pStyle w:val="TextBody"/>
        <w:bidi w:val="0"/>
        <w:spacing w:before="240" w:after="0"/>
        <w:jc w:val="left"/>
        <w:rPr>
          <w:rFonts w:ascii="Times New Roman" w:hAnsi="Times New Roman"/>
          <w:sz w:val="20"/>
        </w:rPr>
      </w:pPr>
      <w:r>
        <w:rPr>
          <w:rFonts w:ascii="Times New Roman" w:hAnsi="Times New Roman"/>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years to </w:t>
      </w:r>
    </w:p>
    <w:p>
      <w:pPr>
        <w:pStyle w:val="TextBody"/>
        <w:bidi w:val="0"/>
        <w:spacing w:before="240" w:after="0"/>
        <w:jc w:val="left"/>
        <w:rPr>
          <w:rFonts w:ascii="Times New Roman" w:hAnsi="Times New Roman"/>
          <w:sz w:val="20"/>
        </w:rPr>
      </w:pPr>
      <w:r>
        <w:rPr>
          <w:rFonts w:ascii="Times New Roman" w:hAnsi="Times New Roman"/>
          <w:sz w:val="20"/>
        </w:rPr>
        <w:t>5</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years from the original date of issuance.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2023 Convertible Note Warrants are legally detachable and separately exercisable from the 2023 Convertible Notes. The Company accounts for the 2023 Convertible Note Warrants as liabilities measured at fair value with subsequent changes in fair value recognized in earnings.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provided by the terms of the 2023 Convertible Notes, the notes remained outstanding and were converted, at the option of the holders, to common stock upon the Closing Date (see Note 1).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conjunction with the December 22, 2023 Merger Agreement, the Company entered into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Warrant is </w:t>
      </w:r>
    </w:p>
    <w:p>
      <w:pPr>
        <w:pStyle w:val="TextBody"/>
        <w:bidi w:val="0"/>
        <w:spacing w:before="120" w:after="0"/>
        <w:jc w:val="left"/>
        <w:rPr>
          <w:rFonts w:ascii="Times New Roman" w:hAnsi="Times New Roman"/>
          <w:sz w:val="20"/>
        </w:rPr>
      </w:pPr>
      <w:r>
        <w:rPr>
          <w:rFonts w:ascii="Times New Roman" w:hAnsi="Times New Roman"/>
          <w:sz w:val="20"/>
        </w:rPr>
        <w:t>6,833,333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wherein a portion of this total share amount is subject to reduction, depending on the Available Acquiror Cash, as defined in the Merger Agreement, at closing. Pursuant to the terms of the Burkhan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Warrant, in no case would the holder receive less than </w:t>
      </w:r>
    </w:p>
    <w:p>
      <w:pPr>
        <w:pStyle w:val="TextBody"/>
        <w:bidi w:val="0"/>
        <w:spacing w:before="120" w:after="0"/>
        <w:jc w:val="left"/>
        <w:rPr>
          <w:rFonts w:ascii="Times New Roman" w:hAnsi="Times New Roman"/>
          <w:sz w:val="20"/>
        </w:rPr>
      </w:pPr>
      <w:r>
        <w:rPr>
          <w:rFonts w:ascii="Times New Roman" w:hAnsi="Times New Roman"/>
          <w:sz w:val="20"/>
        </w:rPr>
        <w:t>2,500,000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shares of BurTech Class A common stock at closing.</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w:t>
      </w:r>
    </w:p>
    <w:p>
      <w:pPr>
        <w:pStyle w:val="TextBody"/>
        <w:bidi w:val="0"/>
        <w:spacing w:before="240" w:after="0"/>
        <w:jc w:val="left"/>
        <w:rPr>
          <w:rFonts w:ascii="Times New Roman" w:hAnsi="Times New Roman"/>
          <w:sz w:val="20"/>
        </w:rPr>
      </w:pPr>
      <w:r>
        <w:rPr>
          <w:rFonts w:ascii="Times New Roman" w:hAnsi="Times New Roman"/>
          <w:sz w:val="20"/>
        </w:rPr>
        <w:t>6,833,333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 to a fixed </w:t>
      </w:r>
    </w:p>
    <w:p>
      <w:pPr>
        <w:pStyle w:val="TextBody"/>
        <w:bidi w:val="0"/>
        <w:spacing w:before="240" w:after="0"/>
        <w:jc w:val="left"/>
        <w:rPr>
          <w:rFonts w:ascii="Times New Roman" w:hAnsi="Times New Roman"/>
          <w:sz w:val="20"/>
        </w:rPr>
      </w:pPr>
      <w:r>
        <w:rPr>
          <w:rFonts w:ascii="Times New Roman" w:hAnsi="Times New Roman"/>
          <w:sz w:val="20"/>
        </w:rPr>
        <w:t>2,000,000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shares. This amendment, in turn, reduces the</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 of the Company’s warrants exercisable into preferred stock are classified as liabilities requiring ongoing remeasurement at fair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provided by the terms of the P2P notes, the notes remained outstanding and were converted, at the option of the holders, to common stock upon the execution of the Merger (see Note 1). </w:t>
      </w:r>
    </w:p>
    <w:p>
      <w:pPr>
        <w:pStyle w:val="TextBody"/>
        <w:bidi w:val="0"/>
        <w:spacing w:before="0" w:after="0"/>
        <w:jc w:val="left"/>
        <w:rPr/>
      </w:pPr>
      <w:r>
        <w:rPr/>
        <w:t> </w:t>
      </w:r>
    </w:p>
    <w:tbl>
      <w:tblPr>
        <w:tblW w:w="8956" w:type="dxa"/>
        <w:jc w:val="left"/>
        <w:tblInd w:w="0" w:type="dxa"/>
        <w:tblLayout w:type="fixed"/>
        <w:tblCellMar>
          <w:top w:w="0" w:type="dxa"/>
          <w:left w:w="0" w:type="dxa"/>
          <w:bottom w:w="0" w:type="dxa"/>
          <w:right w:w="0" w:type="dxa"/>
        </w:tblCellMar>
      </w:tblPr>
      <w:tblGrid>
        <w:gridCol w:w="2915"/>
        <w:gridCol w:w="120"/>
        <w:gridCol w:w="140"/>
        <w:gridCol w:w="740"/>
        <w:gridCol w:w="335"/>
        <w:gridCol w:w="60"/>
        <w:gridCol w:w="61"/>
        <w:gridCol w:w="822"/>
        <w:gridCol w:w="359"/>
        <w:gridCol w:w="61"/>
        <w:gridCol w:w="61"/>
        <w:gridCol w:w="1007"/>
        <w:gridCol w:w="350"/>
        <w:gridCol w:w="60"/>
        <w:gridCol w:w="147"/>
        <w:gridCol w:w="716"/>
        <w:gridCol w:w="63"/>
        <w:gridCol w:w="126"/>
        <w:gridCol w:w="147"/>
        <w:gridCol w:w="591"/>
        <w:gridCol w:w="75"/>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80" w:type="dxa"/>
            <w:gridSpan w:val="2"/>
            <w:tcBorders/>
            <w:vAlign w:val="center"/>
          </w:tcPr>
          <w:p>
            <w:pPr>
              <w:pStyle w:val="TableContents"/>
              <w:bidi w:val="0"/>
              <w:spacing w:before="0" w:after="0"/>
              <w:jc w:val="left"/>
              <w:rPr>
                <w:spacing w:val="0"/>
              </w:rPr>
            </w:pPr>
            <w:r>
              <w:rPr>
                <w:spacing w:val="0"/>
              </w:rPr>
              <w:t> </w:t>
            </w:r>
          </w:p>
        </w:tc>
        <w:tc>
          <w:tcPr>
            <w:tcW w:w="33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37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warrant</w:t>
              <w:br/>
              <w:t>shares at December 31,</w:t>
            </w:r>
          </w:p>
        </w:tc>
        <w:tc>
          <w:tcPr>
            <w:tcW w:w="35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Approximate fair</w:t>
              <w:br/>
              <w:t>value at</w:t>
              <w:b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2915" w:type="dxa"/>
            <w:tcBorders/>
            <w:vAlign w:val="center"/>
          </w:tcPr>
          <w:p>
            <w:pPr>
              <w:pStyle w:val="TableContents"/>
              <w:bidi w:val="0"/>
              <w:spacing w:before="0" w:after="0"/>
              <w:jc w:val="left"/>
              <w:rPr>
                <w:b/>
                <w:spacing w:val="0"/>
              </w:rPr>
            </w:pPr>
            <w:r>
              <w:rPr>
                <w:b/>
                <w:spacing w:val="0"/>
              </w:rPr>
              <w:t>Warrant Type:</w:t>
            </w:r>
          </w:p>
        </w:tc>
        <w:tc>
          <w:tcPr>
            <w:tcW w:w="120" w:type="dxa"/>
            <w:tcBorders/>
            <w:vAlign w:val="center"/>
          </w:tcPr>
          <w:p>
            <w:pPr>
              <w:pStyle w:val="TableContents"/>
              <w:bidi w:val="0"/>
              <w:spacing w:before="0" w:after="0"/>
              <w:jc w:val="left"/>
              <w:rPr>
                <w:spacing w:val="0"/>
              </w:rPr>
            </w:pPr>
            <w:r>
              <w:rPr>
                <w:spacing w:val="0"/>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w:t>
            </w:r>
          </w:p>
          <w:p>
            <w:pPr>
              <w:pStyle w:val="TableContents"/>
              <w:bidi w:val="0"/>
              <w:spacing w:before="0" w:after="0"/>
              <w:jc w:val="center"/>
              <w:rPr/>
            </w:pPr>
            <w:r>
              <w:rPr/>
            </w:r>
          </w:p>
          <w:p>
            <w:pPr>
              <w:pStyle w:val="TableContents"/>
              <w:bidi w:val="0"/>
              <w:spacing w:before="0" w:after="0"/>
              <w:jc w:val="center"/>
              <w:rPr>
                <w:b/>
                <w:spacing w:val="0"/>
              </w:rPr>
            </w:pPr>
            <w:r>
              <w:rPr>
                <w:b/>
                <w:spacing w:val="0"/>
              </w:rPr>
              <w:t>Price</w:t>
            </w:r>
          </w:p>
        </w:tc>
        <w:tc>
          <w:tcPr>
            <w:tcW w:w="33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359"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6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5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3" w:type="dxa"/>
            <w:tcBorders/>
            <w:vAlign w:val="center"/>
          </w:tcPr>
          <w:p>
            <w:pPr>
              <w:pStyle w:val="TableContents"/>
              <w:bidi w:val="0"/>
              <w:spacing w:before="0" w:after="0"/>
              <w:jc w:val="left"/>
              <w:rPr>
                <w:spacing w:val="0"/>
              </w:rPr>
            </w:pPr>
            <w:r>
              <w:rPr>
                <w:spacing w:val="0"/>
              </w:rPr>
              <w:t> </w:t>
            </w:r>
          </w:p>
        </w:tc>
        <w:tc>
          <w:tcPr>
            <w:tcW w:w="126" w:type="dxa"/>
            <w:tcBorders/>
            <w:vAlign w:val="center"/>
          </w:tcPr>
          <w:p>
            <w:pPr>
              <w:pStyle w:val="TableContents"/>
              <w:bidi w:val="0"/>
              <w:spacing w:before="0" w:after="0"/>
              <w:jc w:val="left"/>
              <w:rPr>
                <w:spacing w:val="0"/>
              </w:rPr>
            </w:pPr>
            <w:r>
              <w:rPr>
                <w:spacing w:val="0"/>
              </w:rPr>
              <w:t>  </w:t>
            </w:r>
          </w:p>
        </w:tc>
        <w:tc>
          <w:tcPr>
            <w:tcW w:w="7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 Shadow Preferred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10.44</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338,495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Shadow Preferred Warrants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4.97</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756,172</w:t>
            </w:r>
          </w:p>
        </w:tc>
        <w:tc>
          <w:tcPr>
            <w:tcW w:w="3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756,172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56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894</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(a)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976</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359" w:type="dxa"/>
            <w:tcBorders/>
            <w:vAlign w:val="center"/>
          </w:tcPr>
          <w:p>
            <w:pPr>
              <w:pStyle w:val="TableContents"/>
              <w:bidi w:val="0"/>
              <w:spacing w:before="0" w:after="283"/>
              <w:jc w:val="left"/>
              <w:rPr/>
            </w:pPr>
            <w:r>
              <w:rPr/>
              <w:t>(c)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79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1,352</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 (b)</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104.43</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2,063</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 (d)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0.01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359" w:type="dxa"/>
            <w:tcBorders/>
            <w:vAlign w:val="center"/>
          </w:tcPr>
          <w:p>
            <w:pPr>
              <w:pStyle w:val="TableContents"/>
              <w:bidi w:val="0"/>
              <w:spacing w:before="0" w:after="283"/>
              <w:jc w:val="left"/>
              <w:rPr/>
            </w:pPr>
            <w:r>
              <w:rPr/>
              <w:t>(d)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4,485</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505</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common stock warrants (e)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100.00</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(e)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10,091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22" w:type="dxa"/>
            <w:tcBorders/>
            <w:vAlign w:val="center"/>
          </w:tcPr>
          <w:p>
            <w:pPr>
              <w:pStyle w:val="TableContents"/>
              <w:bidi w:val="0"/>
              <w:spacing w:before="0" w:after="0"/>
              <w:jc w:val="left"/>
              <w:rPr>
                <w:bdr w:val="single" w:sz="2" w:space="1" w:color="000000"/>
              </w:rPr>
            </w:pPr>
            <w:r>
              <w:rPr>
                <w:bdr w:val="single" w:sz="2" w:space="1" w:color="000000"/>
              </w:rPr>
              <w:t> </w:t>
            </w:r>
          </w:p>
        </w:tc>
        <w:tc>
          <w:tcPr>
            <w:tcW w:w="3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007" w:type="dxa"/>
            <w:tcBorders/>
            <w:vAlign w:val="center"/>
          </w:tcPr>
          <w:p>
            <w:pPr>
              <w:pStyle w:val="TableContents"/>
              <w:bidi w:val="0"/>
              <w:spacing w:before="0" w:after="0"/>
              <w:jc w:val="left"/>
              <w:rPr>
                <w:bdr w:val="single" w:sz="2" w:space="1" w:color="000000"/>
              </w:rPr>
            </w:pPr>
            <w:r>
              <w:rPr>
                <w:bdr w:val="single" w:sz="2"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716"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59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756,172</w:t>
            </w:r>
          </w:p>
        </w:tc>
        <w:tc>
          <w:tcPr>
            <w:tcW w:w="3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1,096,730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716" w:type="dxa"/>
            <w:tcBorders/>
            <w:vAlign w:val="center"/>
          </w:tcPr>
          <w:p>
            <w:pPr>
              <w:pStyle w:val="TableContents"/>
              <w:bidi w:val="0"/>
              <w:spacing w:before="0" w:after="283"/>
              <w:jc w:val="right"/>
              <w:rPr/>
            </w:pPr>
            <w:r>
              <w:rPr/>
              <w:t>14,712</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591" w:type="dxa"/>
            <w:tcBorders/>
            <w:vAlign w:val="center"/>
          </w:tcPr>
          <w:p>
            <w:pPr>
              <w:pStyle w:val="TableContents"/>
              <w:bidi w:val="0"/>
              <w:spacing w:before="0" w:after="283"/>
              <w:jc w:val="right"/>
              <w:rPr/>
            </w:pPr>
            <w:r>
              <w:rPr/>
              <w:t>3,730</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22" w:type="dxa"/>
            <w:tcBorders/>
            <w:vAlign w:val="center"/>
          </w:tcPr>
          <w:p>
            <w:pPr>
              <w:pStyle w:val="TableContents"/>
              <w:bidi w:val="0"/>
              <w:spacing w:before="0" w:after="0"/>
              <w:jc w:val="left"/>
              <w:rPr>
                <w:bdr w:val="double" w:sz="6" w:space="1" w:color="000000"/>
              </w:rPr>
            </w:pPr>
            <w:r>
              <w:rPr>
                <w:bdr w:val="double" w:sz="6" w:space="1" w:color="000000"/>
              </w:rPr>
              <w:t> </w:t>
            </w:r>
          </w:p>
        </w:tc>
        <w:tc>
          <w:tcPr>
            <w:tcW w:w="3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007" w:type="dxa"/>
            <w:tcBorders/>
            <w:vAlign w:val="center"/>
          </w:tcPr>
          <w:p>
            <w:pPr>
              <w:pStyle w:val="TableContents"/>
              <w:bidi w:val="0"/>
              <w:spacing w:before="0" w:after="0"/>
              <w:jc w:val="left"/>
              <w:rPr>
                <w:bdr w:val="double" w:sz="6" w:space="1" w:color="000000"/>
              </w:rPr>
            </w:pPr>
            <w:r>
              <w:rPr>
                <w:bdr w:val="double" w:sz="6"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716"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59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12"/>
        </w:rPr>
      </w:pPr>
      <w:r>
        <w:rPr>
          <w:sz w:val="12"/>
        </w:rPr>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(b)</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(c)</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(d)</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exercise price is $45,000. As of December 31, 2024, the number of warrant shares to be issued in the form of BurTech Class A Common stock is a fixed 4,500,000 shares.</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Assumptions used in the Black-Scholes option pricing model to fair value the Shadow Series D warrants reinstated January 2023 and the assumptions used to fair value the Shadow Series D and Shadow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preferred stock warrants as of the respective reporting period were as follows: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At issuance: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Issued during the years ended December 31, 2024 and 2023: </w:t>
      </w:r>
    </w:p>
    <w:p>
      <w:pPr>
        <w:pStyle w:val="TextBody"/>
        <w:bidi w:val="0"/>
        <w:spacing w:before="0" w:after="0"/>
        <w:jc w:val="left"/>
        <w:rPr/>
      </w:pPr>
      <w:r>
        <w:rPr/>
        <w:t> </w:t>
      </w:r>
    </w:p>
    <w:p>
      <w:pPr>
        <w:pStyle w:val="TextBody"/>
        <w:bidi w:val="0"/>
        <w:spacing w:before="0" w:after="0"/>
        <w:jc w:val="left"/>
        <w:rPr>
          <w:sz w:val="24"/>
        </w:rPr>
      </w:pPr>
      <w:r>
        <w:rPr>
          <w:sz w:val="24"/>
        </w:rPr>
      </w:r>
    </w:p>
    <w:tbl>
      <w:tblPr>
        <w:tblW w:w="8803" w:type="dxa"/>
        <w:jc w:val="left"/>
        <w:tblInd w:w="0" w:type="dxa"/>
        <w:tblLayout w:type="fixed"/>
        <w:tblCellMar>
          <w:top w:w="0" w:type="dxa"/>
          <w:left w:w="0" w:type="dxa"/>
          <w:bottom w:w="0" w:type="dxa"/>
          <w:right w:w="0" w:type="dxa"/>
        </w:tblCellMar>
      </w:tblPr>
      <w:tblGrid>
        <w:gridCol w:w="2300"/>
        <w:gridCol w:w="120"/>
        <w:gridCol w:w="3902"/>
        <w:gridCol w:w="320"/>
        <w:gridCol w:w="374"/>
        <w:gridCol w:w="1497"/>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093"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D-2 Shadow Preferred Stock Warrant Reinstatement</w:t>
            </w:r>
          </w:p>
        </w:tc>
        <w:tc>
          <w:tcPr>
            <w:tcW w:w="290" w:type="dxa"/>
            <w:tcBorders/>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02"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2024</w:t>
            </w:r>
          </w:p>
        </w:tc>
        <w:tc>
          <w:tcPr>
            <w:tcW w:w="320" w:type="dxa"/>
            <w:tcBorders/>
            <w:vAlign w:val="center"/>
          </w:tcPr>
          <w:p>
            <w:pPr>
              <w:pStyle w:val="TableContents"/>
              <w:bidi w:val="0"/>
              <w:spacing w:before="0" w:after="0"/>
              <w:jc w:val="left"/>
              <w:rPr>
                <w:spacing w:val="0"/>
              </w:rPr>
            </w:pPr>
            <w:r>
              <w:rPr>
                <w:spacing w:val="0"/>
              </w:rPr>
              <w:t>  </w:t>
            </w:r>
          </w:p>
        </w:tc>
        <w:tc>
          <w:tcPr>
            <w:tcW w:w="187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Issued in 2023</w:t>
            </w:r>
          </w:p>
        </w:tc>
        <w:tc>
          <w:tcPr>
            <w:tcW w:w="290"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3902" w:type="dxa"/>
            <w:tcBorders/>
            <w:shd w:fill="CCEEFF" w:val="clear"/>
            <w:vAlign w:val="center"/>
          </w:tcPr>
          <w:p>
            <w:pPr>
              <w:pStyle w:val="TableContents"/>
              <w:bidi w:val="0"/>
              <w:spacing w:before="0" w:after="283"/>
              <w:jc w:val="center"/>
              <w:rPr/>
            </w:pPr>
            <w:r>
              <w:rPr/>
              <w:t>NA</w:t>
            </w:r>
          </w:p>
        </w:tc>
        <w:tc>
          <w:tcPr>
            <w:tcW w:w="3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4.65</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3902" w:type="dxa"/>
            <w:tcBorders/>
            <w:vAlign w:val="center"/>
          </w:tcPr>
          <w:p>
            <w:pPr>
              <w:pStyle w:val="TableContents"/>
              <w:bidi w:val="0"/>
              <w:spacing w:before="0" w:after="283"/>
              <w:jc w:val="center"/>
              <w:rPr/>
            </w:pPr>
            <w:r>
              <w:rPr/>
              <w:t>NA</w:t>
            </w:r>
          </w:p>
        </w:tc>
        <w:tc>
          <w:tcPr>
            <w:tcW w:w="3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1.11</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3902" w:type="dxa"/>
            <w:tcBorders/>
            <w:shd w:fill="CCEEFF" w:val="clear"/>
            <w:vAlign w:val="center"/>
          </w:tcPr>
          <w:p>
            <w:pPr>
              <w:pStyle w:val="TableContents"/>
              <w:bidi w:val="0"/>
              <w:spacing w:before="0" w:after="283"/>
              <w:jc w:val="center"/>
              <w:rPr/>
            </w:pPr>
            <w:r>
              <w:rPr/>
              <w:t>NA</w:t>
            </w:r>
          </w:p>
        </w:tc>
        <w:tc>
          <w:tcPr>
            <w:tcW w:w="3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65.00</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3902" w:type="dxa"/>
            <w:tcBorders/>
            <w:vAlign w:val="center"/>
          </w:tcPr>
          <w:p>
            <w:pPr>
              <w:pStyle w:val="TableContents"/>
              <w:bidi w:val="0"/>
              <w:spacing w:before="0" w:after="283"/>
              <w:jc w:val="center"/>
              <w:rPr/>
            </w:pPr>
            <w:r>
              <w:rPr/>
              <w:t>NA</w:t>
            </w:r>
          </w:p>
        </w:tc>
        <w:tc>
          <w:tcPr>
            <w:tcW w:w="3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0.00</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3902" w:type="dxa"/>
            <w:tcBorders/>
            <w:shd w:fill="CCEEFF" w:val="clear"/>
            <w:vAlign w:val="center"/>
          </w:tcPr>
          <w:p>
            <w:pPr>
              <w:pStyle w:val="TableContents"/>
              <w:bidi w:val="0"/>
              <w:spacing w:before="0" w:after="283"/>
              <w:jc w:val="center"/>
              <w:rPr/>
            </w:pPr>
            <w:r>
              <w:rPr/>
              <w:t>NA</w:t>
            </w:r>
          </w:p>
        </w:tc>
        <w:tc>
          <w:tcPr>
            <w:tcW w:w="3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4.01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and 2023: </w:t>
      </w:r>
    </w:p>
    <w:p>
      <w:pPr>
        <w:pStyle w:val="TextBody"/>
        <w:bidi w:val="0"/>
        <w:spacing w:before="0" w:after="0"/>
        <w:jc w:val="left"/>
        <w:rPr/>
      </w:pPr>
      <w:r>
        <w:rPr/>
        <w:t> </w:t>
      </w:r>
    </w:p>
    <w:tbl>
      <w:tblPr>
        <w:tblW w:w="9150" w:type="dxa"/>
        <w:jc w:val="left"/>
        <w:tblInd w:w="0" w:type="dxa"/>
        <w:tblLayout w:type="fixed"/>
        <w:tblCellMar>
          <w:top w:w="0" w:type="dxa"/>
          <w:left w:w="0" w:type="dxa"/>
          <w:bottom w:w="0" w:type="dxa"/>
          <w:right w:w="0" w:type="dxa"/>
        </w:tblCellMar>
      </w:tblPr>
      <w:tblGrid>
        <w:gridCol w:w="2300"/>
        <w:gridCol w:w="120"/>
        <w:gridCol w:w="287"/>
        <w:gridCol w:w="2570"/>
        <w:gridCol w:w="123"/>
        <w:gridCol w:w="246"/>
        <w:gridCol w:w="299"/>
        <w:gridCol w:w="1205"/>
        <w:gridCol w:w="60"/>
        <w:gridCol w:w="120"/>
        <w:gridCol w:w="349"/>
        <w:gridCol w:w="1396"/>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57" w:type="dxa"/>
            <w:gridSpan w:val="2"/>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246" w:type="dxa"/>
            <w:tcBorders/>
            <w:vAlign w:val="center"/>
          </w:tcPr>
          <w:p>
            <w:pPr>
              <w:pStyle w:val="TableContents"/>
              <w:bidi w:val="0"/>
              <w:spacing w:before="0" w:after="0"/>
              <w:jc w:val="left"/>
              <w:rPr>
                <w:spacing w:val="0"/>
              </w:rPr>
            </w:pPr>
            <w:r>
              <w:rPr>
                <w:spacing w:val="0"/>
              </w:rPr>
              <w:t>  </w:t>
            </w:r>
          </w:p>
        </w:tc>
        <w:tc>
          <w:tcPr>
            <w:tcW w:w="1504"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7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 Shadow</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p>
            <w:pPr>
              <w:pStyle w:val="TableContents"/>
              <w:bidi w:val="0"/>
              <w:spacing w:before="0" w:after="0"/>
              <w:jc w:val="center"/>
              <w:rPr/>
            </w:pPr>
            <w:r>
              <w:rPr/>
            </w:r>
          </w:p>
          <w:p>
            <w:pPr>
              <w:pStyle w:val="TableContents"/>
              <w:bidi w:val="0"/>
              <w:spacing w:before="0" w:after="0"/>
              <w:jc w:val="center"/>
              <w:rPr>
                <w:b/>
                <w:spacing w:val="0"/>
              </w:rPr>
            </w:pPr>
            <w:r>
              <w:rPr>
                <w:b/>
                <w:spacing w:val="0"/>
              </w:rPr>
              <w:t>Warrants</w:t>
            </w:r>
          </w:p>
        </w:tc>
        <w:tc>
          <w:tcPr>
            <w:tcW w:w="75" w:type="dxa"/>
            <w:vMerge w:val="restart"/>
            <w:tcBorders/>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Series D-2 Shadow Preferred Stock Warrants</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745"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57"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December 31, </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23" w:type="dxa"/>
            <w:tcBorders/>
            <w:vAlign w:val="center"/>
          </w:tcPr>
          <w:p>
            <w:pPr>
              <w:pStyle w:val="TableContents"/>
              <w:bidi w:val="0"/>
              <w:spacing w:before="0" w:after="0"/>
              <w:jc w:val="left"/>
              <w:rPr>
                <w:spacing w:val="0"/>
              </w:rPr>
            </w:pPr>
            <w:r>
              <w:rPr>
                <w:spacing w:val="0"/>
              </w:rPr>
              <w:t> </w:t>
            </w:r>
          </w:p>
        </w:tc>
        <w:tc>
          <w:tcPr>
            <w:tcW w:w="246" w:type="dxa"/>
            <w:tcBorders/>
            <w:vAlign w:val="center"/>
          </w:tcPr>
          <w:p>
            <w:pPr>
              <w:pStyle w:val="TableContents"/>
              <w:bidi w:val="0"/>
              <w:spacing w:before="0" w:after="0"/>
              <w:jc w:val="left"/>
              <w:rPr>
                <w:spacing w:val="0"/>
              </w:rPr>
            </w:pPr>
            <w:r>
              <w:rPr>
                <w:spacing w:val="0"/>
              </w:rPr>
              <w:t>  </w:t>
            </w:r>
          </w:p>
        </w:tc>
        <w:tc>
          <w:tcPr>
            <w:tcW w:w="1504"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December 31, </w:t>
              <w:b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0"/>
              <w:jc w:val="right"/>
              <w:rPr>
                <w:spacing w:val="0"/>
              </w:rPr>
            </w:pPr>
            <w:r>
              <w:rPr>
                <w:spacing w:val="0"/>
              </w:rPr>
              <w:t>4.20% - 4.40%</w:t>
            </w:r>
          </w:p>
        </w:tc>
        <w:tc>
          <w:tcPr>
            <w:tcW w:w="12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5.50%</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right"/>
              <w:rPr/>
            </w:pPr>
            <w:r>
              <w:rPr/>
              <w:t>0.04 - 0.72</w:t>
            </w:r>
          </w:p>
        </w:tc>
        <w:tc>
          <w:tcPr>
            <w:tcW w:w="12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right"/>
              <w:rPr/>
            </w:pPr>
            <w:r>
              <w:rPr/>
              <w:t>0.16</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right"/>
              <w:rPr/>
            </w:pPr>
            <w:r>
              <w:rPr/>
              <w:t>50.80%</w:t>
            </w:r>
          </w:p>
        </w:tc>
        <w:tc>
          <w:tcPr>
            <w:tcW w:w="12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52.50%</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right"/>
              <w:rPr/>
            </w:pPr>
            <w:r>
              <w:rPr/>
              <w:t>0.00%</w:t>
            </w:r>
          </w:p>
        </w:tc>
        <w:tc>
          <w:tcPr>
            <w:tcW w:w="12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2570" w:type="dxa"/>
            <w:tcBorders/>
            <w:shd w:fill="CCEEFF" w:val="clear"/>
            <w:vAlign w:val="center"/>
          </w:tcPr>
          <w:p>
            <w:pPr>
              <w:pStyle w:val="TableContents"/>
              <w:bidi w:val="0"/>
              <w:spacing w:before="0" w:after="283"/>
              <w:jc w:val="right"/>
              <w:rPr/>
            </w:pPr>
            <w:r>
              <w:rPr/>
              <w:t>4.36</w:t>
            </w:r>
          </w:p>
        </w:tc>
        <w:tc>
          <w:tcPr>
            <w:tcW w:w="123"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396"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issuance: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Issued during the years ended December 31, 2024 and 2023: </w:t>
      </w:r>
    </w:p>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2300"/>
        <w:gridCol w:w="120"/>
        <w:gridCol w:w="2076"/>
        <w:gridCol w:w="170"/>
        <w:gridCol w:w="199"/>
        <w:gridCol w:w="2120"/>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56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Warrants issued with P2P Convertible Notes</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6" w:type="dxa"/>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Issued in 2024 </w:t>
            </w:r>
          </w:p>
        </w:tc>
        <w:tc>
          <w:tcPr>
            <w:tcW w:w="170" w:type="dxa"/>
            <w:tcBorders/>
            <w:vAlign w:val="center"/>
          </w:tcPr>
          <w:p>
            <w:pPr>
              <w:pStyle w:val="TableContents"/>
              <w:bidi w:val="0"/>
              <w:spacing w:before="0" w:after="0"/>
              <w:jc w:val="left"/>
              <w:rPr>
                <w:spacing w:val="0"/>
              </w:rPr>
            </w:pPr>
            <w:r>
              <w:rPr>
                <w:spacing w:val="0"/>
              </w:rPr>
              <w:t>  </w:t>
            </w:r>
          </w:p>
        </w:tc>
        <w:tc>
          <w:tcPr>
            <w:tcW w:w="231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Issued in 2023 </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076" w:type="dxa"/>
            <w:tcBorders/>
            <w:shd w:fill="CCEEFF" w:val="clear"/>
            <w:vAlign w:val="center"/>
          </w:tcPr>
          <w:p>
            <w:pPr>
              <w:pStyle w:val="TableContents"/>
              <w:bidi w:val="0"/>
              <w:spacing w:before="0" w:after="283"/>
              <w:jc w:val="center"/>
              <w:rPr/>
            </w:pPr>
            <w:r>
              <w:rPr/>
              <w:t>NA</w:t>
            </w:r>
          </w:p>
        </w:tc>
        <w:tc>
          <w:tcPr>
            <w:tcW w:w="17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120" w:type="dxa"/>
            <w:tcBorders/>
            <w:shd w:fill="CCEEFF" w:val="clear"/>
            <w:vAlign w:val="center"/>
          </w:tcPr>
          <w:p>
            <w:pPr>
              <w:pStyle w:val="TableContents"/>
              <w:bidi w:val="0"/>
              <w:spacing w:before="0" w:after="0"/>
              <w:jc w:val="center"/>
              <w:rPr>
                <w:spacing w:val="0"/>
              </w:rPr>
            </w:pPr>
            <w:r>
              <w:rPr>
                <w:spacing w:val="0"/>
              </w:rPr>
              <w:t>4.09% - 4.65%</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center"/>
              <w:rPr/>
            </w:pPr>
            <w:r>
              <w:rPr/>
              <w:t>NA</w:t>
            </w:r>
          </w:p>
        </w:tc>
        <w:tc>
          <w:tcPr>
            <w:tcW w:w="17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1.0 - 1.94 years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2076" w:type="dxa"/>
            <w:tcBorders/>
            <w:shd w:fill="CCEEFF" w:val="clear"/>
            <w:vAlign w:val="center"/>
          </w:tcPr>
          <w:p>
            <w:pPr>
              <w:pStyle w:val="TableContents"/>
              <w:bidi w:val="0"/>
              <w:spacing w:before="0" w:after="283"/>
              <w:jc w:val="center"/>
              <w:rPr/>
            </w:pPr>
            <w:r>
              <w:rPr/>
              <w:t>NA</w:t>
            </w:r>
          </w:p>
        </w:tc>
        <w:tc>
          <w:tcPr>
            <w:tcW w:w="17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120" w:type="dxa"/>
            <w:tcBorders/>
            <w:shd w:fill="CCEEFF" w:val="clear"/>
            <w:vAlign w:val="center"/>
          </w:tcPr>
          <w:p>
            <w:pPr>
              <w:pStyle w:val="TableContents"/>
              <w:bidi w:val="0"/>
              <w:spacing w:before="0" w:after="283"/>
              <w:jc w:val="center"/>
              <w:rPr/>
            </w:pPr>
            <w:r>
              <w:rPr/>
              <w:t>66.6% - 71.6%</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center"/>
              <w:rPr/>
            </w:pPr>
            <w:r>
              <w:rPr/>
              <w:t>NA</w:t>
            </w:r>
          </w:p>
        </w:tc>
        <w:tc>
          <w:tcPr>
            <w:tcW w:w="17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2076" w:type="dxa"/>
            <w:tcBorders/>
            <w:shd w:fill="CCEEFF" w:val="clear"/>
            <w:vAlign w:val="center"/>
          </w:tcPr>
          <w:p>
            <w:pPr>
              <w:pStyle w:val="TableContents"/>
              <w:bidi w:val="0"/>
              <w:spacing w:before="0" w:after="283"/>
              <w:jc w:val="center"/>
              <w:rPr/>
            </w:pPr>
            <w:r>
              <w:rPr/>
              <w:t>NA</w:t>
            </w:r>
          </w:p>
        </w:tc>
        <w:tc>
          <w:tcPr>
            <w:tcW w:w="17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2120" w:type="dxa"/>
            <w:tcBorders/>
            <w:shd w:fill="CCEEFF" w:val="clear"/>
            <w:vAlign w:val="center"/>
          </w:tcPr>
          <w:p>
            <w:pPr>
              <w:pStyle w:val="TableContents"/>
              <w:bidi w:val="0"/>
              <w:spacing w:before="0" w:after="283"/>
              <w:jc w:val="right"/>
              <w:rPr/>
            </w:pPr>
            <w:r>
              <w:rPr/>
              <w:t>1.51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center"/>
              <w:rPr/>
            </w:pPr>
            <w:r>
              <w:rPr/>
              <w:t>NA</w:t>
            </w:r>
          </w:p>
        </w:tc>
        <w:tc>
          <w:tcPr>
            <w:tcW w:w="17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right"/>
              <w:rPr/>
            </w:pPr>
            <w:r>
              <w:rPr/>
              <w:t>0.46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31, 2024 and 2023: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spacing w:val="0"/>
        </w:rPr>
      </w:pPr>
      <w:r>
        <w:rPr>
          <w:spacing w:val="0"/>
        </w:rPr>
        <w:t> </w:t>
      </w:r>
    </w:p>
    <w:tbl>
      <w:tblPr>
        <w:tblW w:w="6600" w:type="dxa"/>
        <w:jc w:val="left"/>
        <w:tblInd w:w="0" w:type="dxa"/>
        <w:tblLayout w:type="fixed"/>
        <w:tblCellMar>
          <w:top w:w="0" w:type="dxa"/>
          <w:left w:w="0" w:type="dxa"/>
          <w:bottom w:w="0" w:type="dxa"/>
          <w:right w:w="0" w:type="dxa"/>
        </w:tblCellMar>
      </w:tblPr>
      <w:tblGrid>
        <w:gridCol w:w="2300"/>
        <w:gridCol w:w="120"/>
        <w:gridCol w:w="157"/>
        <w:gridCol w:w="1798"/>
        <w:gridCol w:w="65"/>
        <w:gridCol w:w="130"/>
        <w:gridCol w:w="166"/>
        <w:gridCol w:w="1789"/>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105" w:type="dxa"/>
            <w:gridSpan w:val="6"/>
            <w:tcBorders/>
            <w:vAlign w:val="center"/>
          </w:tcPr>
          <w:p>
            <w:pPr>
              <w:pStyle w:val="TableContents"/>
              <w:bidi w:val="0"/>
              <w:spacing w:before="0" w:after="0"/>
              <w:jc w:val="center"/>
              <w:rPr>
                <w:b/>
                <w:spacing w:val="0"/>
              </w:rPr>
            </w:pPr>
            <w:r>
              <w:rPr>
                <w:b/>
                <w:spacing w:val="0"/>
              </w:rPr>
              <w:t>Warrants issued with 2022 P2P Notes</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2024</w:t>
            </w:r>
          </w:p>
        </w:tc>
        <w:tc>
          <w:tcPr>
            <w:tcW w:w="65" w:type="dxa"/>
            <w:tcBorders/>
            <w:vAlign w:val="center"/>
          </w:tcPr>
          <w:p>
            <w:pPr>
              <w:pStyle w:val="TableContents"/>
              <w:bidi w:val="0"/>
              <w:spacing w:before="0" w:after="0"/>
              <w:jc w:val="left"/>
              <w:rPr>
                <w:spacing w:val="0"/>
              </w:rPr>
            </w:pPr>
            <w:r>
              <w:rPr>
                <w:spacing w:val="0"/>
              </w:rPr>
              <w:t> </w:t>
            </w:r>
          </w:p>
        </w:tc>
        <w:tc>
          <w:tcPr>
            <w:tcW w:w="13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4.16% - 4.31%</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283"/>
              <w:jc w:val="right"/>
              <w:rPr/>
            </w:pPr>
            <w:r>
              <w:rPr/>
              <w:t>4.54% - 4.79%</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0.04 - 1.00 years</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0"/>
              <w:jc w:val="right"/>
              <w:rPr>
                <w:spacing w:val="0"/>
              </w:rPr>
            </w:pPr>
            <w:r>
              <w:rPr>
                <w:spacing w:val="0"/>
              </w:rPr>
              <w:t>1.0 - 1.44 years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0"/>
              <w:jc w:val="right"/>
              <w:rPr>
                <w:spacing w:val="0"/>
              </w:rPr>
            </w:pPr>
            <w:r>
              <w:rPr>
                <w:spacing w:val="0"/>
              </w:rPr>
              <w:t>69.8% - 71.6%</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789" w:type="dxa"/>
            <w:tcBorders/>
            <w:shd w:fill="CCEEFF" w:val="clear"/>
            <w:vAlign w:val="center"/>
          </w:tcPr>
          <w:p>
            <w:pPr>
              <w:pStyle w:val="TableContents"/>
              <w:bidi w:val="0"/>
              <w:spacing w:before="0" w:after="0"/>
              <w:jc w:val="right"/>
              <w:rPr>
                <w:spacing w:val="0"/>
              </w:rPr>
            </w:pPr>
            <w:r>
              <w:rPr>
                <w:spacing w:val="0"/>
              </w:rPr>
              <w:t>61.2% - 62.3%</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798" w:type="dxa"/>
            <w:tcBorders/>
            <w:vAlign w:val="center"/>
          </w:tcPr>
          <w:p>
            <w:pPr>
              <w:pStyle w:val="TableContents"/>
              <w:bidi w:val="0"/>
              <w:spacing w:before="0" w:after="283"/>
              <w:jc w:val="right"/>
              <w:rPr/>
            </w:pPr>
            <w:r>
              <w:rPr/>
              <w:t>0.00%</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right"/>
              <w:rPr/>
            </w:pPr>
            <w:r>
              <w:rPr/>
              <w:t>immaterial</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789" w:type="dxa"/>
            <w:tcBorders/>
            <w:shd w:fill="CCEEFF" w:val="clear"/>
            <w:vAlign w:val="center"/>
          </w:tcPr>
          <w:p>
            <w:pPr>
              <w:pStyle w:val="TableContents"/>
              <w:bidi w:val="0"/>
              <w:spacing w:before="0" w:after="283"/>
              <w:jc w:val="right"/>
              <w:rPr/>
            </w:pPr>
            <w:r>
              <w:rPr/>
              <w:t>4.16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798" w:type="dxa"/>
            <w:tcBorders/>
            <w:vAlign w:val="center"/>
          </w:tcPr>
          <w:p>
            <w:pPr>
              <w:pStyle w:val="TableContents"/>
              <w:bidi w:val="0"/>
              <w:spacing w:before="0" w:after="283"/>
              <w:jc w:val="right"/>
              <w:rPr/>
            </w:pPr>
            <w:r>
              <w:rPr/>
              <w:t>1.94</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789" w:type="dxa"/>
            <w:tcBorders/>
            <w:vAlign w:val="center"/>
          </w:tcPr>
          <w:p>
            <w:pPr>
              <w:pStyle w:val="TableContents"/>
              <w:bidi w:val="0"/>
              <w:spacing w:before="0" w:after="283"/>
              <w:jc w:val="right"/>
              <w:rPr/>
            </w:pPr>
            <w:r>
              <w:rPr/>
              <w:t>0.74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2023</w:t>
      </w:r>
    </w:p>
    <w:p>
      <w:pPr>
        <w:pStyle w:val="TextBody"/>
        <w:bidi w:val="0"/>
        <w:spacing w:before="240" w:after="0"/>
        <w:jc w:val="left"/>
        <w:rPr>
          <w:spacing w:val="0"/>
        </w:rPr>
      </w:pPr>
      <w:r>
        <w:rPr>
          <w:spacing w:val="0"/>
        </w:rPr>
        <w:t> </w:t>
      </w:r>
      <w:r>
        <w:rPr>
          <w:rFonts w:ascii="Times New Roman" w:hAnsi="Times New Roman"/>
          <w:spacing w:val="0"/>
          <w:sz w:val="20"/>
        </w:rPr>
        <w:t xml:space="preserve">Convertible Note Warrants, issued in 2023 and in January and February of 2024 were valued using the Black-Scholes option pricing model probability-weighted for future event scenarios as defined in the 2023 Convertible Note NPA.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exercise price is a floating exercise price, thus, was estimated using a Monte Carlo simulation model. The following summarizes additional related valuation assumptions: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issuance: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Issued during the years ended December 31, 2024 and 2023: </w:t>
      </w:r>
    </w:p>
    <w:p>
      <w:pPr>
        <w:pStyle w:val="TextBody"/>
        <w:bidi w:val="0"/>
        <w:spacing w:before="0" w:after="0"/>
        <w:jc w:val="left"/>
        <w:rPr/>
      </w:pPr>
      <w:r>
        <w:rPr/>
        <w:t> </w:t>
      </w:r>
    </w:p>
    <w:p>
      <w:pPr>
        <w:pStyle w:val="TextBody"/>
        <w:bidi w:val="0"/>
        <w:spacing w:before="0" w:after="0"/>
        <w:jc w:val="left"/>
        <w:rPr>
          <w:sz w:val="24"/>
        </w:rPr>
      </w:pPr>
      <w:r>
        <w:rPr>
          <w:sz w:val="24"/>
        </w:rPr>
      </w:r>
    </w:p>
    <w:tbl>
      <w:tblPr>
        <w:tblW w:w="7060" w:type="dxa"/>
        <w:jc w:val="left"/>
        <w:tblInd w:w="0" w:type="dxa"/>
        <w:tblLayout w:type="fixed"/>
        <w:tblCellMar>
          <w:top w:w="0" w:type="dxa"/>
          <w:left w:w="0" w:type="dxa"/>
          <w:bottom w:w="0" w:type="dxa"/>
          <w:right w:w="0" w:type="dxa"/>
        </w:tblCellMar>
      </w:tblPr>
      <w:tblGrid>
        <w:gridCol w:w="2300"/>
        <w:gridCol w:w="120"/>
        <w:gridCol w:w="190"/>
        <w:gridCol w:w="2193"/>
        <w:gridCol w:w="81"/>
        <w:gridCol w:w="163"/>
        <w:gridCol w:w="2013"/>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640" w:type="dxa"/>
            <w:gridSpan w:val="5"/>
            <w:tcBorders/>
            <w:vAlign w:val="center"/>
          </w:tcPr>
          <w:p>
            <w:pPr>
              <w:pStyle w:val="TableContents"/>
              <w:bidi w:val="0"/>
              <w:spacing w:before="0" w:after="0"/>
              <w:jc w:val="center"/>
              <w:rPr>
                <w:b/>
                <w:spacing w:val="0"/>
              </w:rPr>
            </w:pPr>
            <w:r>
              <w:rPr>
                <w:b/>
                <w:spacing w:val="0"/>
              </w:rPr>
              <w:t>Warrants issued with 2023 Convertible Notes</w:t>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383" w:type="dxa"/>
            <w:gridSpan w:val="2"/>
            <w:tcBorders/>
            <w:vAlign w:val="center"/>
          </w:tcPr>
          <w:p>
            <w:pPr>
              <w:pStyle w:val="TableContents"/>
              <w:bidi w:val="0"/>
              <w:spacing w:before="0" w:after="0"/>
              <w:jc w:val="center"/>
              <w:rPr>
                <w:b/>
                <w:spacing w:val="0"/>
              </w:rPr>
            </w:pPr>
            <w:r>
              <w:rPr>
                <w:b/>
                <w:spacing w:val="0"/>
              </w:rPr>
              <w:t>Issued in 2024</w:t>
            </w:r>
          </w:p>
        </w:tc>
        <w:tc>
          <w:tcPr>
            <w:tcW w:w="81"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2013" w:type="dxa"/>
            <w:tcBorders/>
            <w:vAlign w:val="center"/>
          </w:tcPr>
          <w:p>
            <w:pPr>
              <w:pStyle w:val="TableContents"/>
              <w:bidi w:val="0"/>
              <w:spacing w:before="0" w:after="0"/>
              <w:jc w:val="center"/>
              <w:rPr>
                <w:spacing w:val="0"/>
              </w:rPr>
            </w:pPr>
            <w:r>
              <w:rPr>
                <w:spacing w:val="0"/>
              </w:rPr>
              <w:t> </w:t>
            </w:r>
            <w:r>
              <w:rPr>
                <w:b/>
                <w:spacing w:val="0"/>
              </w:rPr>
              <w:t>Issued in 2023 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193" w:type="dxa"/>
            <w:tcBorders/>
            <w:shd w:fill="CCEEFF" w:val="clear"/>
            <w:vAlign w:val="center"/>
          </w:tcPr>
          <w:p>
            <w:pPr>
              <w:pStyle w:val="TableContents"/>
              <w:bidi w:val="0"/>
              <w:spacing w:before="0" w:after="0"/>
              <w:jc w:val="right"/>
              <w:rPr>
                <w:spacing w:val="0"/>
              </w:rPr>
            </w:pPr>
            <w:r>
              <w:rPr>
                <w:spacing w:val="0"/>
              </w:rPr>
              <w:t>3.86% - 5.55%</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center"/>
              <w:rPr/>
            </w:pPr>
            <w:r>
              <w:rPr/>
              <w:t>NA</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193" w:type="dxa"/>
            <w:tcBorders/>
            <w:vAlign w:val="center"/>
          </w:tcPr>
          <w:p>
            <w:pPr>
              <w:pStyle w:val="TableContents"/>
              <w:bidi w:val="0"/>
              <w:spacing w:before="0" w:after="0"/>
              <w:jc w:val="right"/>
              <w:rPr>
                <w:spacing w:val="0"/>
              </w:rPr>
            </w:pPr>
            <w:r>
              <w:rPr>
                <w:spacing w:val="0"/>
              </w:rPr>
              <w:t>0.36 - 5.00 years</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center"/>
              <w:rPr/>
            </w:pPr>
            <w:r>
              <w:rPr/>
              <w:t>NA</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193" w:type="dxa"/>
            <w:tcBorders/>
            <w:shd w:fill="CCEEFF" w:val="clear"/>
            <w:vAlign w:val="center"/>
          </w:tcPr>
          <w:p>
            <w:pPr>
              <w:pStyle w:val="TableContents"/>
              <w:bidi w:val="0"/>
              <w:spacing w:before="0" w:after="0"/>
              <w:jc w:val="right"/>
              <w:rPr>
                <w:spacing w:val="0"/>
              </w:rPr>
            </w:pPr>
            <w:r>
              <w:rPr>
                <w:spacing w:val="0"/>
              </w:rPr>
              <w:t>61.2% - 73.0%</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center"/>
              <w:rPr/>
            </w:pPr>
            <w:r>
              <w:rPr/>
              <w:t>NA</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193" w:type="dxa"/>
            <w:tcBorders/>
            <w:vAlign w:val="center"/>
          </w:tcPr>
          <w:p>
            <w:pPr>
              <w:pStyle w:val="TableContents"/>
              <w:bidi w:val="0"/>
              <w:spacing w:before="0" w:after="283"/>
              <w:jc w:val="right"/>
              <w:rPr/>
            </w:pPr>
            <w:r>
              <w:rPr/>
              <w:t>0.00%</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center"/>
              <w:rPr/>
            </w:pPr>
            <w:r>
              <w:rPr/>
              <w:t>NA</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2193" w:type="dxa"/>
            <w:tcBorders/>
            <w:shd w:fill="CCEEFF" w:val="clear"/>
            <w:vAlign w:val="center"/>
          </w:tcPr>
          <w:p>
            <w:pPr>
              <w:pStyle w:val="TableContents"/>
              <w:bidi w:val="0"/>
              <w:spacing w:before="0" w:after="283"/>
              <w:jc w:val="right"/>
              <w:rPr/>
            </w:pPr>
            <w:r>
              <w:rPr/>
              <w:t>4.16 - $4.43</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center"/>
              <w:rPr/>
            </w:pPr>
            <w:r>
              <w:rPr/>
              <w:t>NA</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2193" w:type="dxa"/>
            <w:tcBorders/>
            <w:vAlign w:val="center"/>
          </w:tcPr>
          <w:p>
            <w:pPr>
              <w:pStyle w:val="TableContents"/>
              <w:bidi w:val="0"/>
              <w:spacing w:before="0" w:after="283"/>
              <w:jc w:val="right"/>
              <w:rPr/>
            </w:pPr>
            <w:r>
              <w:rPr/>
              <w:t>0.74 - $0.81</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and 2023: </w:t>
      </w:r>
    </w:p>
    <w:p>
      <w:pPr>
        <w:pStyle w:val="TextBody"/>
        <w:bidi w:val="0"/>
        <w:spacing w:before="0" w:after="0"/>
        <w:jc w:val="left"/>
        <w:rPr/>
      </w:pPr>
      <w:r>
        <w:rPr/>
        <w:t> </w:t>
      </w:r>
    </w:p>
    <w:tbl>
      <w:tblPr>
        <w:tblW w:w="7131" w:type="dxa"/>
        <w:jc w:val="left"/>
        <w:tblInd w:w="0" w:type="dxa"/>
        <w:tblLayout w:type="fixed"/>
        <w:tblCellMar>
          <w:top w:w="0" w:type="dxa"/>
          <w:left w:w="0" w:type="dxa"/>
          <w:bottom w:w="0" w:type="dxa"/>
          <w:right w:w="0" w:type="dxa"/>
        </w:tblCellMar>
      </w:tblPr>
      <w:tblGrid>
        <w:gridCol w:w="2300"/>
        <w:gridCol w:w="120"/>
        <w:gridCol w:w="196"/>
        <w:gridCol w:w="1759"/>
        <w:gridCol w:w="83"/>
        <w:gridCol w:w="167"/>
        <w:gridCol w:w="195"/>
        <w:gridCol w:w="2236"/>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636" w:type="dxa"/>
            <w:gridSpan w:val="6"/>
            <w:tcBorders/>
            <w:vAlign w:val="center"/>
          </w:tcPr>
          <w:p>
            <w:pPr>
              <w:pStyle w:val="TableContents"/>
              <w:bidi w:val="0"/>
              <w:spacing w:before="0" w:after="0"/>
              <w:jc w:val="center"/>
              <w:rPr>
                <w:b/>
                <w:spacing w:val="0"/>
              </w:rPr>
            </w:pPr>
            <w:r>
              <w:rPr>
                <w:b/>
                <w:spacing w:val="0"/>
              </w:rPr>
              <w:t>Warrants issued with 2023 Convertible Notes</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2024</w:t>
            </w:r>
          </w:p>
        </w:tc>
        <w:tc>
          <w:tcPr>
            <w:tcW w:w="83" w:type="dxa"/>
            <w:tcBorders/>
            <w:vAlign w:val="center"/>
          </w:tcPr>
          <w:p>
            <w:pPr>
              <w:pStyle w:val="TableContents"/>
              <w:bidi w:val="0"/>
              <w:spacing w:before="0" w:after="0"/>
              <w:jc w:val="left"/>
              <w:rPr>
                <w:spacing w:val="0"/>
              </w:rPr>
            </w:pPr>
            <w:r>
              <w:rPr>
                <w:spacing w:val="0"/>
              </w:rPr>
              <w:t> </w:t>
            </w:r>
          </w:p>
        </w:tc>
        <w:tc>
          <w:tcPr>
            <w:tcW w:w="167" w:type="dxa"/>
            <w:tcBorders/>
            <w:vAlign w:val="center"/>
          </w:tcPr>
          <w:p>
            <w:pPr>
              <w:pStyle w:val="TableContents"/>
              <w:bidi w:val="0"/>
              <w:spacing w:before="0" w:after="0"/>
              <w:jc w:val="left"/>
              <w:rPr>
                <w:spacing w:val="0"/>
              </w:rPr>
            </w:pPr>
            <w:r>
              <w:rPr>
                <w:spacing w:val="0"/>
              </w:rPr>
              <w:t>  </w:t>
            </w:r>
          </w:p>
        </w:tc>
        <w:tc>
          <w:tcPr>
            <w:tcW w:w="2431" w:type="dxa"/>
            <w:gridSpan w:val="2"/>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pPr>
            <w:r>
              <w:rPr/>
              <w:t>3.98% - 4.99%</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36" w:type="dxa"/>
            <w:tcBorders/>
            <w:shd w:fill="CCEEFF" w:val="clear"/>
            <w:vAlign w:val="center"/>
          </w:tcPr>
          <w:p>
            <w:pPr>
              <w:pStyle w:val="TableContents"/>
              <w:bidi w:val="0"/>
              <w:spacing w:before="0" w:after="283"/>
              <w:jc w:val="right"/>
              <w:rPr/>
            </w:pPr>
            <w:r>
              <w:rPr/>
              <w:t>3.88% - 5.26%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right"/>
              <w:rPr/>
            </w:pPr>
            <w:r>
              <w:rPr/>
              <w:t>0.04 - 1.00 years</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right"/>
              <w:rPr/>
            </w:pPr>
            <w:r>
              <w:rPr/>
              <w:t>0.51 - 9.51 years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0"/>
              <w:jc w:val="right"/>
              <w:rPr>
                <w:spacing w:val="0"/>
              </w:rPr>
            </w:pPr>
            <w:r>
              <w:rPr>
                <w:spacing w:val="0"/>
              </w:rPr>
              <w:t>69.8% - 73.2%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36" w:type="dxa"/>
            <w:tcBorders/>
            <w:shd w:fill="CCEEFF" w:val="clear"/>
            <w:vAlign w:val="center"/>
          </w:tcPr>
          <w:p>
            <w:pPr>
              <w:pStyle w:val="TableContents"/>
              <w:bidi w:val="0"/>
              <w:spacing w:before="0" w:after="0"/>
              <w:jc w:val="right"/>
              <w:rPr>
                <w:spacing w:val="0"/>
              </w:rPr>
            </w:pPr>
            <w:r>
              <w:rPr>
                <w:spacing w:val="0"/>
              </w:rPr>
              <w:t>61.2% - 62.8%</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right"/>
              <w:rPr/>
            </w:pPr>
            <w:r>
              <w:rPr/>
              <w:t>0.00%</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pPr>
            <w:r>
              <w:rPr/>
              <w:t>immaterial</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2236" w:type="dxa"/>
            <w:tcBorders/>
            <w:shd w:fill="CCEEFF" w:val="clear"/>
            <w:vAlign w:val="center"/>
          </w:tcPr>
          <w:p>
            <w:pPr>
              <w:pStyle w:val="TableContents"/>
              <w:bidi w:val="0"/>
              <w:spacing w:before="0" w:after="283"/>
              <w:jc w:val="right"/>
              <w:rPr/>
            </w:pPr>
            <w:r>
              <w:rPr/>
              <w:t>4.16</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1759" w:type="dxa"/>
            <w:tcBorders/>
            <w:vAlign w:val="center"/>
          </w:tcPr>
          <w:p>
            <w:pPr>
              <w:pStyle w:val="TableContents"/>
              <w:bidi w:val="0"/>
              <w:spacing w:before="0" w:after="283"/>
              <w:jc w:val="right"/>
              <w:rPr/>
            </w:pPr>
            <w:r>
              <w:rPr/>
              <w:t>1.94</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283"/>
              <w:jc w:val="right"/>
              <w:rPr/>
            </w:pPr>
            <w:r>
              <w:rPr/>
              <w:t>0.74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common stock warrants has been estimated based on a probability-weighted approach of scenarios, including the scenarios that the Merger will and will not be consummated.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no Company warrants have been exercised.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provided by the terms of the Merger, the outstanding warrants were converted, at the option of the holders, to common stock upon the Closing Date (see Note 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 9.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2023, the Company executed three lease renewals for a period of five years and extinguished one lease prior to its scheduled termination date. The loss recognized on lease termination was immaterial.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components of the net lease cost reflected in the Company’s consolidated statements of operations were as follows for the years ended December 31, 2024 and 2023 (in thousands):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790"/>
        <w:gridCol w:w="120"/>
        <w:gridCol w:w="140"/>
        <w:gridCol w:w="440"/>
        <w:gridCol w:w="60"/>
        <w:gridCol w:w="120"/>
        <w:gridCol w:w="140"/>
        <w:gridCol w:w="620"/>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8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989</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4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 </w:t>
            </w:r>
            <w:r>
              <w:rPr/>
              <w:t>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1,035</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4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December 31, 2024, the Company’s operating leases had a weighted average remaining lease term of </w:t>
      </w:r>
    </w:p>
    <w:p>
      <w:pPr>
        <w:pStyle w:val="TextBody"/>
        <w:bidi w:val="0"/>
        <w:spacing w:before="240" w:after="0"/>
        <w:jc w:val="left"/>
        <w:rPr>
          <w:rFonts w:ascii="Times New Roman" w:hAnsi="Times New Roman"/>
          <w:sz w:val="20"/>
        </w:rPr>
      </w:pPr>
      <w:r>
        <w:rPr>
          <w:rFonts w:ascii="Times New Roman" w:hAnsi="Times New Roman"/>
          <w:sz w:val="20"/>
        </w:rPr>
        <w:t>3.2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years and a weighted average discount rate related to the Company’s ROU assets and lease liabilities of </w:t>
      </w:r>
    </w:p>
    <w:p>
      <w:pPr>
        <w:pStyle w:val="TextBody"/>
        <w:bidi w:val="0"/>
        <w:spacing w:before="240" w:after="0"/>
        <w:jc w:val="left"/>
        <w:rPr>
          <w:rFonts w:ascii="Times New Roman" w:hAnsi="Times New Roman"/>
          <w:sz w:val="20"/>
        </w:rPr>
      </w:pPr>
      <w:r>
        <w:rPr>
          <w:rFonts w:ascii="Times New Roman" w:hAnsi="Times New Roman"/>
          <w:sz w:val="20"/>
        </w:rPr>
        <w:t>9.9</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As of December 31, 2023, the Company’s operating leases had a weighted average remaining lease term of </w:t>
      </w:r>
    </w:p>
    <w:p>
      <w:pPr>
        <w:pStyle w:val="TextBody"/>
        <w:bidi w:val="0"/>
        <w:spacing w:before="240" w:after="0"/>
        <w:jc w:val="left"/>
        <w:rPr>
          <w:rFonts w:ascii="Times New Roman" w:hAnsi="Times New Roman"/>
          <w:sz w:val="20"/>
        </w:rPr>
      </w:pPr>
      <w:r>
        <w:rPr>
          <w:rFonts w:ascii="Times New Roman" w:hAnsi="Times New Roman"/>
          <w:sz w:val="20"/>
        </w:rPr>
        <w:t>4.0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years and a weighted average discount rate related to the Company’s ROU assets and lease liabilities of </w:t>
      </w:r>
    </w:p>
    <w:p>
      <w:pPr>
        <w:pStyle w:val="TextBody"/>
        <w:bidi w:val="0"/>
        <w:spacing w:before="240" w:after="0"/>
        <w:jc w:val="left"/>
        <w:rPr>
          <w:rFonts w:ascii="Times New Roman" w:hAnsi="Times New Roman"/>
          <w:sz w:val="20"/>
        </w:rPr>
      </w:pPr>
      <w:r>
        <w:rPr>
          <w:rFonts w:ascii="Times New Roman" w:hAnsi="Times New Roman"/>
          <w:sz w:val="20"/>
        </w:rPr>
        <w:t>9.8</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Supplemental information related to operating leases was as follows for the years ended December 31, 2024 and 2023 (in thousands):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160"/>
        <w:gridCol w:w="120"/>
        <w:gridCol w:w="140"/>
        <w:gridCol w:w="380"/>
        <w:gridCol w:w="60"/>
        <w:gridCol w:w="120"/>
        <w:gridCol w:w="140"/>
        <w:gridCol w:w="560"/>
        <w:gridCol w:w="75"/>
      </w:tblGrid>
      <w:tr>
        <w:trPr/>
        <w:tc>
          <w:tcPr>
            <w:tcW w:w="7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2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7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1,673</w:t>
            </w:r>
          </w:p>
        </w:tc>
        <w:tc>
          <w:tcPr>
            <w:tcW w:w="7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and lease liabilities extinguished upon termination of lease, net gain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variable lease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16"/>
        </w:rPr>
      </w:pPr>
      <w:r>
        <w:rPr>
          <w:sz w:val="16"/>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31, 2024, future minimum lease payments under the Company’s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operating leases are as follows (in thousands): </w:t>
      </w:r>
    </w:p>
    <w:p>
      <w:pPr>
        <w:pStyle w:val="TextBody"/>
        <w:bidi w:val="0"/>
        <w:spacing w:before="0" w:after="0"/>
        <w:jc w:val="left"/>
        <w:rPr/>
      </w:pPr>
      <w:r>
        <w:rPr/>
        <w:t> </w:t>
      </w:r>
    </w:p>
    <w:tbl>
      <w:tblPr>
        <w:tblW w:w="6135" w:type="dxa"/>
        <w:jc w:val="left"/>
        <w:tblInd w:w="0" w:type="dxa"/>
        <w:tblLayout w:type="fixed"/>
        <w:tblCellMar>
          <w:top w:w="0" w:type="dxa"/>
          <w:left w:w="0" w:type="dxa"/>
          <w:bottom w:w="0" w:type="dxa"/>
          <w:right w:w="0" w:type="dxa"/>
        </w:tblCellMar>
      </w:tblPr>
      <w:tblGrid>
        <w:gridCol w:w="4250"/>
        <w:gridCol w:w="120"/>
        <w:gridCol w:w="319"/>
        <w:gridCol w:w="1276"/>
        <w:gridCol w:w="170"/>
      </w:tblGrid>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595" w:type="dxa"/>
            <w:gridSpan w:val="2"/>
            <w:vMerge w:val="restart"/>
            <w:tcBorders/>
            <w:vAlign w:val="center"/>
          </w:tcPr>
          <w:p>
            <w:pPr>
              <w:pStyle w:val="TableContents"/>
              <w:bidi w:val="0"/>
              <w:spacing w:before="0" w:after="0"/>
              <w:jc w:val="center"/>
              <w:rPr>
                <w:b/>
                <w:spacing w:val="0"/>
              </w:rPr>
            </w:pPr>
            <w:r>
              <w:rPr>
                <w:b/>
                <w:spacing w:val="0"/>
              </w:rPr>
              <w:t>Operating lease</w:t>
            </w:r>
          </w:p>
          <w:p>
            <w:pPr>
              <w:pStyle w:val="TableContents"/>
              <w:bidi w:val="0"/>
              <w:spacing w:before="0" w:after="0"/>
              <w:jc w:val="center"/>
              <w:rPr/>
            </w:pPr>
            <w:r>
              <w:rPr/>
            </w:r>
          </w:p>
          <w:p>
            <w:pPr>
              <w:pStyle w:val="TableContents"/>
              <w:bidi w:val="0"/>
              <w:spacing w:before="0" w:after="0"/>
              <w:jc w:val="center"/>
              <w:rPr>
                <w:b/>
                <w:spacing w:val="0"/>
              </w:rPr>
            </w:pPr>
            <w:r>
              <w:rPr>
                <w:b/>
                <w:spacing w:val="0"/>
              </w:rPr>
              <w:t>obligations</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425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595"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721</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534</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357</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2,046</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(302</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net future minimum lease payments</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1,744</w:t>
            </w:r>
          </w:p>
        </w:tc>
        <w:tc>
          <w:tcPr>
            <w:tcW w:w="17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short-term operating lease liabilities</w:t>
            </w:r>
          </w:p>
        </w:tc>
        <w:tc>
          <w:tcPr>
            <w:tcW w:w="12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(578</w:t>
            </w:r>
          </w:p>
        </w:tc>
        <w:tc>
          <w:tcPr>
            <w:tcW w:w="17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1,166</w:t>
            </w:r>
          </w:p>
        </w:tc>
        <w:tc>
          <w:tcPr>
            <w:tcW w:w="17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7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10. Redeemable Convertible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January and </w:t>
      </w:r>
    </w:p>
    <w:p>
      <w:pPr>
        <w:pStyle w:val="TextBody"/>
        <w:bidi w:val="0"/>
        <w:spacing w:before="240" w:after="0"/>
        <w:jc w:val="left"/>
        <w:rPr>
          <w:rFonts w:ascii="Times New Roman" w:hAnsi="Times New Roman"/>
          <w:sz w:val="20"/>
        </w:rPr>
      </w:pPr>
      <w:r>
        <w:rPr>
          <w:rFonts w:ascii="Times New Roman" w:hAnsi="Times New Roman"/>
          <w:sz w:val="20"/>
        </w:rPr>
        <w:t>February 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 Company raised $</w:t>
      </w:r>
    </w:p>
    <w:p>
      <w:pPr>
        <w:pStyle w:val="TextBody"/>
        <w:bidi w:val="0"/>
        <w:spacing w:before="240" w:after="0"/>
        <w:jc w:val="left"/>
        <w:rPr>
          <w:rFonts w:ascii="Times New Roman" w:hAnsi="Times New Roman"/>
          <w:sz w:val="20"/>
        </w:rPr>
      </w:pPr>
      <w:r>
        <w:rPr>
          <w:rFonts w:ascii="Times New Roman" w:hAnsi="Times New Roman"/>
          <w:sz w:val="20"/>
        </w:rPr>
        <w:t>9.4</w:t>
      </w:r>
    </w:p>
    <w:p>
      <w:pPr>
        <w:pStyle w:val="TextBody"/>
        <w:bidi w:val="0"/>
        <w:spacing w:before="240" w:after="0"/>
        <w:jc w:val="left"/>
        <w:rPr>
          <w:spacing w:val="0"/>
        </w:rPr>
      </w:pPr>
      <w:r>
        <w:rPr>
          <w:spacing w:val="0"/>
        </w:rPr>
        <w:t> </w:t>
      </w:r>
      <w:r>
        <w:rPr>
          <w:rFonts w:ascii="Times New Roman" w:hAnsi="Times New Roman"/>
          <w:spacing w:val="0"/>
          <w:sz w:val="20"/>
        </w:rPr>
        <w:t>million in additional P</w:t>
      </w:r>
    </w:p>
    <w:p>
      <w:pPr>
        <w:pStyle w:val="TextBody"/>
        <w:bidi w:val="0"/>
        <w:spacing w:before="240" w:after="0"/>
        <w:jc w:val="left"/>
        <w:rPr>
          <w:rFonts w:ascii="Times New Roman" w:hAnsi="Times New Roman"/>
          <w:sz w:val="20"/>
        </w:rPr>
      </w:pPr>
      <w:r>
        <w:rPr>
          <w:rFonts w:ascii="Times New Roman" w:hAnsi="Times New Roman"/>
          <w:sz w:val="20"/>
        </w:rPr>
        <w:t>2</w:t>
      </w:r>
    </w:p>
    <w:p>
      <w:pPr>
        <w:pStyle w:val="TextBody"/>
        <w:bidi w:val="0"/>
        <w:spacing w:before="240" w:after="0"/>
        <w:jc w:val="left"/>
        <w:rPr>
          <w:rFonts w:ascii="Times New Roman" w:hAnsi="Times New Roman"/>
          <w:spacing w:val="0"/>
          <w:sz w:val="20"/>
        </w:rPr>
      </w:pPr>
      <w:r>
        <w:rPr>
          <w:rFonts w:ascii="Times New Roman" w:hAnsi="Times New Roman"/>
          <w:spacing w:val="0"/>
          <w:sz w:val="20"/>
        </w:rPr>
        <w:t>P Notes, inclusive of $</w:t>
      </w:r>
    </w:p>
    <w:p>
      <w:pPr>
        <w:pStyle w:val="TextBody"/>
        <w:bidi w:val="0"/>
        <w:spacing w:before="240" w:after="0"/>
        <w:jc w:val="left"/>
        <w:rPr>
          <w:rFonts w:ascii="Times New Roman" w:hAnsi="Times New Roman"/>
          <w:sz w:val="20"/>
        </w:rPr>
      </w:pPr>
      <w:r>
        <w:rPr>
          <w:rFonts w:ascii="Times New Roman" w:hAnsi="Times New Roman"/>
          <w:sz w:val="20"/>
        </w:rPr>
        <w:t>0.1</w:t>
      </w:r>
    </w:p>
    <w:p>
      <w:pPr>
        <w:pStyle w:val="TextBody"/>
        <w:bidi w:val="0"/>
        <w:spacing w:before="240" w:after="0"/>
        <w:jc w:val="left"/>
        <w:rPr>
          <w:spacing w:val="0"/>
        </w:rPr>
      </w:pPr>
      <w:r>
        <w:rPr>
          <w:spacing w:val="0"/>
        </w:rPr>
        <w:t> </w:t>
      </w:r>
      <w:r>
        <w:rPr>
          <w:rFonts w:ascii="Times New Roman" w:hAnsi="Times New Roman"/>
          <w:spacing w:val="0"/>
          <w:sz w:val="20"/>
        </w:rPr>
        <w:t xml:space="preserve">million in proceeds from the Common Rights Offering (see Notes </w:t>
      </w:r>
    </w:p>
    <w:p>
      <w:pPr>
        <w:pStyle w:val="TextBody"/>
        <w:bidi w:val="0"/>
        <w:spacing w:before="240" w:after="0"/>
        <w:jc w:val="left"/>
        <w:rPr>
          <w:rFonts w:ascii="Times New Roman" w:hAnsi="Times New Roman"/>
          <w:sz w:val="20"/>
        </w:rPr>
      </w:pPr>
      <w:r>
        <w:rPr>
          <w:rFonts w:ascii="Times New Roman" w:hAnsi="Times New Roman"/>
          <w:sz w:val="20"/>
        </w:rPr>
        <w:t>7</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13)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Those shareholders who participated in providing additional funding in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obtained the benefit of the Pull-Through Exchange of their Converted Common into shares of the class(es) of Shadow Preferred Stock identical to those previously held (see Note </w:t>
      </w:r>
    </w:p>
    <w:p>
      <w:pPr>
        <w:pStyle w:val="TextBody"/>
        <w:bidi w:val="0"/>
        <w:spacing w:before="240" w:after="0"/>
        <w:jc w:val="left"/>
        <w:rPr>
          <w:rFonts w:ascii="Times New Roman" w:hAnsi="Times New Roman"/>
          <w:sz w:val="20"/>
        </w:rPr>
      </w:pPr>
      <w:r>
        <w:rPr>
          <w:rFonts w:ascii="Times New Roman" w:hAnsi="Times New Roman"/>
          <w:sz w:val="20"/>
        </w:rPr>
        <w:t>7)</w:t>
      </w:r>
    </w:p>
    <w:p>
      <w:pPr>
        <w:pStyle w:val="TextBody"/>
        <w:bidi w:val="0"/>
        <w:spacing w:before="240" w:after="0"/>
        <w:jc w:val="left"/>
        <w:rPr>
          <w:rFonts w:ascii="Times New Roman" w:hAnsi="Times New Roman"/>
          <w:spacing w:val="0"/>
          <w:sz w:val="20"/>
        </w:rPr>
      </w:pPr>
      <w:r>
        <w:rPr>
          <w:rFonts w:ascii="Times New Roman" w:hAnsi="Times New Roman"/>
          <w:spacing w:val="0"/>
          <w:sz w:val="20"/>
        </w:rPr>
        <w:t>. Investors who did not participate retained ownership only in Converted Common stock. For the year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 Pull-Through Exchange resulted in incremental value to the investors in the P</w:t>
      </w:r>
    </w:p>
    <w:p>
      <w:pPr>
        <w:pStyle w:val="TextBody"/>
        <w:bidi w:val="0"/>
        <w:spacing w:before="240" w:after="0"/>
        <w:jc w:val="left"/>
        <w:rPr>
          <w:rFonts w:ascii="Times New Roman" w:hAnsi="Times New Roman"/>
          <w:sz w:val="20"/>
        </w:rPr>
      </w:pPr>
      <w:r>
        <w:rPr>
          <w:rFonts w:ascii="Times New Roman" w:hAnsi="Times New Roman"/>
          <w:sz w:val="20"/>
        </w:rPr>
        <w:t>2</w:t>
      </w:r>
    </w:p>
    <w:p>
      <w:pPr>
        <w:pStyle w:val="TextBody"/>
        <w:bidi w:val="0"/>
        <w:spacing w:before="240" w:after="0"/>
        <w:jc w:val="left"/>
        <w:rPr>
          <w:rFonts w:ascii="Times New Roman" w:hAnsi="Times New Roman"/>
          <w:spacing w:val="0"/>
          <w:sz w:val="20"/>
        </w:rPr>
      </w:pPr>
      <w:r>
        <w:rPr>
          <w:rFonts w:ascii="Times New Roman" w:hAnsi="Times New Roman"/>
          <w:spacing w:val="0"/>
          <w:sz w:val="20"/>
        </w:rPr>
        <w:t>P Notes of $</w:t>
      </w:r>
    </w:p>
    <w:p>
      <w:pPr>
        <w:pStyle w:val="TextBody"/>
        <w:bidi w:val="0"/>
        <w:spacing w:before="240" w:after="0"/>
        <w:jc w:val="left"/>
        <w:rPr>
          <w:rFonts w:ascii="Times New Roman" w:hAnsi="Times New Roman"/>
          <w:sz w:val="20"/>
        </w:rPr>
      </w:pPr>
      <w:r>
        <w:rPr>
          <w:rFonts w:ascii="Times New Roman" w:hAnsi="Times New Roman"/>
          <w:sz w:val="20"/>
        </w:rPr>
        <w:t>30.6</w:t>
      </w:r>
    </w:p>
    <w:p>
      <w:pPr>
        <w:pStyle w:val="TextBody"/>
        <w:bidi w:val="0"/>
        <w:spacing w:before="240" w:after="0"/>
        <w:jc w:val="left"/>
        <w:rPr>
          <w:spacing w:val="0"/>
        </w:rPr>
      </w:pPr>
      <w:r>
        <w:rPr>
          <w:spacing w:val="0"/>
        </w:rPr>
        <w:t> </w:t>
      </w:r>
      <w:r>
        <w:rPr>
          <w:rFonts w:ascii="Times New Roman" w:hAnsi="Times New Roman"/>
          <w:spacing w:val="0"/>
          <w:sz w:val="20"/>
        </w:rPr>
        <w:t xml:space="preserve">million, measured as the difference in the fair value of the Shadow Preferred Stock shares held after the Pull-Through Exchange to the fair value of the Converted Common held just prior to the Pull-Through Exchange, which has been accounted for as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Pay-to-Play</w:t>
      </w:r>
    </w:p>
    <w:p>
      <w:pPr>
        <w:pStyle w:val="TextBody"/>
        <w:bidi w:val="0"/>
        <w:spacing w:before="240" w:after="0"/>
        <w:jc w:val="left"/>
        <w:rPr>
          <w:rFonts w:ascii="Times New Roman" w:hAnsi="Times New Roman"/>
          <w:spacing w:val="0"/>
          <w:sz w:val="20"/>
        </w:rPr>
      </w:pPr>
      <w:r>
        <w:rPr>
          <w:rFonts w:ascii="Times New Roman" w:hAnsi="Times New Roman"/>
          <w:spacing w:val="0"/>
          <w:sz w:val="20"/>
        </w:rPr>
        <w:t>financing charge in the consolidated statements of operations.</w:t>
      </w:r>
    </w:p>
    <w:p>
      <w:pPr>
        <w:pStyle w:val="TextBody"/>
        <w:bidi w:val="0"/>
        <w:spacing w:before="0" w:after="0"/>
        <w:jc w:val="left"/>
        <w:rPr>
          <w:sz w:val="16"/>
        </w:rPr>
      </w:pPr>
      <w:r>
        <w:rPr>
          <w:sz w:val="16"/>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authorized, issued and outstanding shares of the redeemable convertible preferred stock and liquidation preferences as of December 31, 2024 and 2023 were as follows (dollars in thousands):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3170"/>
        <w:gridCol w:w="120"/>
        <w:gridCol w:w="60"/>
        <w:gridCol w:w="1115"/>
        <w:gridCol w:w="60"/>
        <w:gridCol w:w="120"/>
        <w:gridCol w:w="66"/>
        <w:gridCol w:w="1214"/>
        <w:gridCol w:w="60"/>
        <w:gridCol w:w="120"/>
        <w:gridCol w:w="206"/>
        <w:gridCol w:w="1179"/>
        <w:gridCol w:w="60"/>
        <w:gridCol w:w="120"/>
        <w:gridCol w:w="181"/>
        <w:gridCol w:w="1039"/>
        <w:gridCol w:w="7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Authorized</w:t>
              <w:b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Outstanding</w:t>
              <w:b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85" w:type="dxa"/>
            <w:gridSpan w:val="2"/>
            <w:tcBorders/>
            <w:vAlign w:val="center"/>
          </w:tcPr>
          <w:p>
            <w:pPr>
              <w:pStyle w:val="TableContents"/>
              <w:bidi w:val="0"/>
              <w:spacing w:before="0" w:after="0"/>
              <w:jc w:val="center"/>
              <w:rPr>
                <w:b/>
                <w:spacing w:val="0"/>
              </w:rPr>
            </w:pPr>
            <w:r>
              <w:rPr>
                <w:b/>
                <w:spacing w:val="0"/>
              </w:rPr>
              <w:t>Net Carrying</w:t>
              <w:br/>
              <w:t>Value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b/>
                <w:spacing w:val="0"/>
              </w:rPr>
            </w:pPr>
            <w:r>
              <w:rPr>
                <w:b/>
                <w:spacing w:val="0"/>
              </w:rPr>
              <w:t>Liquidation</w:t>
              <w:br/>
              <w:t>Preference</w:t>
            </w:r>
          </w:p>
        </w:tc>
        <w:tc>
          <w:tcPr>
            <w:tcW w:w="75" w:type="dxa"/>
            <w:tcBorders/>
            <w:vAlign w:val="center"/>
          </w:tcPr>
          <w:p>
            <w:pPr>
              <w:pStyle w:val="TableContents"/>
              <w:bidi w:val="0"/>
              <w:spacing w:before="0" w:after="0"/>
              <w:jc w:val="left"/>
              <w:rPr>
                <w:spacing w:val="0"/>
              </w:rPr>
            </w:pPr>
            <w:r>
              <w:rPr>
                <w:spacing w:val="0"/>
              </w:rPr>
              <w:t> </w:t>
            </w:r>
          </w:p>
        </w:tc>
      </w:tr>
      <w:tr>
        <w:trPr/>
        <w:tc>
          <w:tcPr>
            <w:tcW w:w="31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85"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0"/>
              <w:jc w:val="left"/>
              <w:rPr>
                <w:spacing w:val="0"/>
              </w:rPr>
            </w:pPr>
            <w:r>
              <w:rPr>
                <w:spacing w:val="0"/>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5,032,238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2,020,309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698</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15,174,130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4,573,935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3,183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3,183</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18,392,046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12,234,661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8,442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8,442</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13,722,052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10,211,548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48,661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48,661</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4,707,494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3,990,707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41,673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41,673</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4,707,494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239,405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3,935,839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3,662,318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30,595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30,595</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D-1 Exchange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3,935,839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27,042,965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7,561,820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37,595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37,595</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1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1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117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03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96,650,097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44,494,703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right"/>
              <w:rPr/>
            </w:pPr>
            <w:r>
              <w:rPr/>
              <w:t>173,347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173,347</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1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1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117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03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155"/>
        <w:gridCol w:w="9050"/>
      </w:tblGrid>
      <w:tr>
        <w:trPr/>
        <w:tc>
          <w:tcPr>
            <w:tcW w:w="15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of issuance cost including cash, issuance of preferred stock warrants &amp; dividend contribution(In thousands)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summarizes the terms of the redeemable convertible preferred stock outstanding for Series Seed Shadow, Series A Shadow, Series B Shadow, Series C Shadow, Series D Shadow, Series D Exchange Shadow,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Shadow and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Shadow redeemable convertible preferred stock of the Company (collectively the “preferred stock”). The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Shadow Preferred Stock, Series D Exchange Shadow Preferred Stock and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Rights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basis) are entitled to elect any remaining directors of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holders of Series B Preferred Stock and Series C Preferred Stock are entitled to receive dividends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prior and in preference to any dividends on the Series Seed Preferred Stock, Series A Preferred Stock and Common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Stock, at the rate of $0.0552 per annum for each share of Series B Preferred Stock and $0.3812 per annum for each share of Series C Preferred Stock,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0" w:after="0"/>
        <w:jc w:val="left"/>
        <w:rPr>
          <w:rFonts w:ascii="Times New Roman" w:hAnsi="Times New Roman"/>
          <w:sz w:val="20"/>
        </w:rPr>
      </w:pPr>
      <w:r>
        <w:rPr>
          <w:rFonts w:ascii="Times New Roman" w:hAnsi="Times New Roman"/>
          <w:sz w:val="20"/>
        </w:rPr>
        <w:t xml:space="preserve">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w:t>
      </w:r>
    </w:p>
    <w:p>
      <w:pPr>
        <w:pStyle w:val="TextBody"/>
        <w:bidi w:val="0"/>
        <w:spacing w:before="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0" w:after="0"/>
        <w:jc w:val="left"/>
        <w:rPr>
          <w:rFonts w:ascii="Times New Roman" w:hAnsi="Times New Roman"/>
          <w:sz w:val="20"/>
        </w:rPr>
      </w:pPr>
      <w:r>
        <w:rPr>
          <w:rFonts w:ascii="Times New Roman" w:hAnsi="Times New Roman"/>
          <w:sz w:val="20"/>
        </w:rPr>
        <w:t xml:space="preserve">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z w:val="20"/>
        </w:rPr>
      </w:pPr>
      <w:r>
        <w:rPr>
          <w:rFonts w:ascii="Times New Roman" w:hAnsi="Times New Roman"/>
          <w:sz w:val="20"/>
        </w:rPr>
        <w:t xml:space="preserve">Shadow Preferred Stock; $4.9717 per share for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D-2</w:t>
      </w:r>
    </w:p>
    <w:p>
      <w:pPr>
        <w:pStyle w:val="TextBody"/>
        <w:bidi w:val="0"/>
        <w:spacing w:before="240" w:after="0"/>
        <w:jc w:val="left"/>
        <w:rPr>
          <w:rFonts w:ascii="Times New Roman" w:hAnsi="Times New Roman"/>
          <w:sz w:val="20"/>
        </w:rPr>
      </w:pPr>
      <w:r>
        <w:rPr>
          <w:rFonts w:ascii="Times New Roman" w:hAnsi="Times New Roman"/>
          <w:sz w:val="20"/>
        </w:rPr>
        <w:t xml:space="preserve">Shadow Preferred Stock; $10.4425 per share for Series D Exchange Shadow Preferred Stock and $8.3540 per share for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D-1</w:t>
      </w:r>
    </w:p>
    <w:p>
      <w:pPr>
        <w:pStyle w:val="TextBody"/>
        <w:bidi w:val="0"/>
        <w:spacing w:before="240" w:after="0"/>
        <w:jc w:val="left"/>
        <w:rPr>
          <w:rFonts w:ascii="Times New Roman" w:hAnsi="Times New Roman"/>
          <w:sz w:val="20"/>
        </w:rPr>
      </w:pPr>
      <w:r>
        <w:rPr>
          <w:rFonts w:ascii="Times New Roman" w:hAnsi="Times New Roman"/>
          <w:sz w:val="20"/>
        </w:rPr>
        <w:t xml:space="preserve">Exchange Preferred Stock plus any declared but unpaid dividends on such shares.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 Liquidation</w:t>
      </w:r>
    </w:p>
    <w:p>
      <w:pPr>
        <w:pStyle w:val="TextBody"/>
        <w:bidi w:val="0"/>
        <w:spacing w:before="240" w:after="0"/>
        <w:jc w:val="left"/>
        <w:rPr/>
      </w:pPr>
      <w:r>
        <w:rPr/>
        <w:t> </w:t>
      </w:r>
      <w:r>
        <w:rPr>
          <w:rFonts w:ascii="Times New Roman" w:hAnsi="Times New Roman"/>
          <w:sz w:val="20"/>
        </w:rPr>
        <w:t xml:space="preserve">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w:t>
      </w:r>
    </w:p>
    <w:p>
      <w:pPr>
        <w:pStyle w:val="TextBody"/>
        <w:bidi w:val="0"/>
        <w:spacing w:before="120" w:after="0"/>
        <w:jc w:val="left"/>
        <w:rPr>
          <w:rFonts w:ascii="Times New Roman" w:hAnsi="Times New Roman"/>
          <w:sz w:val="20"/>
        </w:rPr>
      </w:pPr>
      <w:r>
        <w:rPr>
          <w:rFonts w:ascii="Times New Roman" w:hAnsi="Times New Roman"/>
          <w:sz w:val="20"/>
        </w:rPr>
        <w:t>90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days of the Redemption Request in </w:t>
      </w:r>
    </w:p>
    <w:p>
      <w:pPr>
        <w:pStyle w:val="TextBody"/>
        <w:bidi w:val="0"/>
        <w:spacing w:before="120" w:after="0"/>
        <w:jc w:val="left"/>
        <w:rPr>
          <w:rFonts w:ascii="Times New Roman" w:hAnsi="Times New Roman"/>
          <w:sz w:val="20"/>
        </w:rPr>
      </w:pPr>
      <w:r>
        <w:rPr>
          <w:rFonts w:ascii="Times New Roman" w:hAnsi="Times New Roman"/>
          <w:sz w:val="20"/>
        </w:rPr>
        <w:t>three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annual installments so long as the total redemption amount does not exceed </w:t>
      </w:r>
    </w:p>
    <w:p>
      <w:pPr>
        <w:pStyle w:val="TextBody"/>
        <w:bidi w:val="0"/>
        <w:spacing w:before="120" w:after="0"/>
        <w:jc w:val="left"/>
        <w:rPr>
          <w:rFonts w:ascii="Times New Roman" w:hAnsi="Times New Roman"/>
          <w:sz w:val="20"/>
        </w:rPr>
      </w:pPr>
      <w:r>
        <w:rPr>
          <w:rFonts w:ascii="Times New Roman" w:hAnsi="Times New Roman"/>
          <w:sz w:val="20"/>
        </w:rPr>
        <w:t>15</w:t>
      </w:r>
    </w:p>
    <w:p>
      <w:pPr>
        <w:pStyle w:val="TextBody"/>
        <w:bidi w:val="0"/>
        <w:spacing w:before="120" w:after="0"/>
        <w:jc w:val="left"/>
        <w:rPr>
          <w:rFonts w:ascii="Times New Roman" w:hAnsi="Times New Roman"/>
          <w:spacing w:val="0"/>
          <w:sz w:val="20"/>
        </w:rPr>
      </w:pPr>
      <w:r>
        <w:rPr>
          <w:rFonts w:ascii="Times New Roman" w:hAnsi="Times New Roman"/>
          <w:spacing w:val="0"/>
          <w:sz w:val="20"/>
        </w:rPr>
        <w:t>% of the Company’s then current enterprise value.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redemption request could not be made until after the fifth anniversary of the date upon which shares of the Series C Preferred Stock are first issued, or July 2023. Such request was not made as of such date (see Note 7). </w:t>
      </w:r>
    </w:p>
    <w:p>
      <w:pPr>
        <w:pStyle w:val="TextBody"/>
        <w:bidi w:val="0"/>
        <w:spacing w:before="0" w:after="0"/>
        <w:jc w:val="left"/>
        <w:rPr>
          <w:sz w:val="16"/>
        </w:rPr>
      </w:pPr>
      <w:r>
        <w:rPr>
          <w:sz w:val="16"/>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Due to conditions of redemption that are outside the control of the Company, the redeemable convertible preferred stock has been reflected outside of stockholders’ deficit.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basis.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the Closing Date, all outstanding preferred stock was converted to common stock upon the execution of the Merger (see Note 1).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11. Common stock and Stock-Based Compensation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 xml:space="preserve">Common stock: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At December 31, 2024 and 2023, there were </w:t>
      </w:r>
    </w:p>
    <w:p>
      <w:pPr>
        <w:pStyle w:val="TextBody"/>
        <w:bidi w:val="0"/>
        <w:spacing w:before="120" w:after="0"/>
        <w:jc w:val="left"/>
        <w:rPr>
          <w:rFonts w:ascii="Times New Roman" w:hAnsi="Times New Roman"/>
          <w:sz w:val="20"/>
        </w:rPr>
      </w:pPr>
      <w:r>
        <w:rPr>
          <w:rFonts w:ascii="Times New Roman" w:hAnsi="Times New Roman"/>
          <w:sz w:val="20"/>
        </w:rPr>
        <w:t>175,095,000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of common stock authorized, respectively, and </w:t>
      </w:r>
    </w:p>
    <w:p>
      <w:pPr>
        <w:pStyle w:val="TextBody"/>
        <w:bidi w:val="0"/>
        <w:spacing w:before="120" w:after="0"/>
        <w:jc w:val="left"/>
        <w:rPr>
          <w:rFonts w:ascii="Times New Roman" w:hAnsi="Times New Roman"/>
          <w:sz w:val="20"/>
        </w:rPr>
      </w:pPr>
      <w:r>
        <w:rPr>
          <w:rFonts w:ascii="Times New Roman" w:hAnsi="Times New Roman"/>
          <w:sz w:val="20"/>
        </w:rPr>
        <w:t>17,519,999</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17,454,353</w:t>
      </w:r>
    </w:p>
    <w:p>
      <w:pPr>
        <w:pStyle w:val="TextBody"/>
        <w:bidi w:val="0"/>
        <w:spacing w:before="120" w:after="0"/>
        <w:jc w:val="left"/>
        <w:rPr>
          <w:rFonts w:ascii="Times New Roman" w:hAnsi="Times New Roman"/>
          <w:spacing w:val="0"/>
          <w:sz w:val="20"/>
        </w:rPr>
      </w:pPr>
      <w:r>
        <w:rPr>
          <w:rFonts w:ascii="Times New Roman" w:hAnsi="Times New Roman"/>
          <w:spacing w:val="0"/>
          <w:sz w:val="20"/>
        </w:rPr>
        <w:t>shares issued and outstanding, respectively.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Common stock reserved for issuance as of December 31, 2024 and 2023, is as follows: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5825"/>
        <w:gridCol w:w="120"/>
        <w:gridCol w:w="60"/>
        <w:gridCol w:w="1100"/>
        <w:gridCol w:w="335"/>
        <w:gridCol w:w="120"/>
        <w:gridCol w:w="60"/>
        <w:gridCol w:w="1100"/>
        <w:gridCol w:w="350"/>
      </w:tblGrid>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8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3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50" w:type="dxa"/>
            <w:tcBorders/>
            <w:vAlign w:val="center"/>
          </w:tcPr>
          <w:p>
            <w:pPr>
              <w:pStyle w:val="TableContents"/>
              <w:bidi w:val="0"/>
              <w:spacing w:before="0" w:after="0"/>
              <w:jc w:val="left"/>
              <w:rPr>
                <w:spacing w:val="0"/>
              </w:rPr>
            </w:pPr>
            <w:r>
              <w:rPr>
                <w:spacing w:val="0"/>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2,020,309</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2,020,309</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4,573,935</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4,573,935</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12,234,661</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12,234,661</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10,211,548</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10,211,548</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3,990,707</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3,990,707</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239,405</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239,405</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D-1</w:t>
            </w:r>
          </w:p>
          <w:p>
            <w:pPr>
              <w:pStyle w:val="TableContents"/>
              <w:bidi w:val="0"/>
              <w:spacing w:before="0" w:after="0"/>
              <w:jc w:val="left"/>
              <w:rPr>
                <w:rFonts w:ascii="Times New Roman" w:hAnsi="Times New Roman"/>
                <w:sz w:val="20"/>
              </w:rPr>
            </w:pPr>
            <w:r>
              <w:rPr>
                <w:rFonts w:ascii="Times New Roman" w:hAnsi="Times New Roman"/>
                <w:sz w:val="20"/>
              </w:rPr>
              <w:t>Shadow Preferred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3,662,318</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3,662,318</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Shadow Preferred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7,561,820</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7,561,820</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Warrants outstanding for future issuance of Series D Shadow and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Shadow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756,172</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1,094,667</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2,063</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warrants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1,127,088</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721,086</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(a)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(a) </w:t>
            </w:r>
          </w:p>
        </w:tc>
      </w:tr>
      <w:tr>
        <w:trPr/>
        <w:tc>
          <w:tcPr>
            <w:tcW w:w="58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2,000,000</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7,007,582</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April 2024 (estimated see Note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4,500,000</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and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41,018,458</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21,354,809</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available for future issuance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2,226,705</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839,706</w:t>
            </w:r>
          </w:p>
        </w:tc>
        <w:tc>
          <w:tcPr>
            <w:tcW w:w="35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35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96,123,126</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75,514,616</w:t>
            </w:r>
          </w:p>
        </w:tc>
        <w:tc>
          <w:tcPr>
            <w:tcW w:w="35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3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as of December 31, 2023 due to the variable settlement terms (see Note 8). </w:t>
            </w:r>
          </w:p>
        </w:tc>
      </w:tr>
    </w:tbl>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Stock-Based Compensation: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w:t>
      </w:r>
    </w:p>
    <w:p>
      <w:pPr>
        <w:pStyle w:val="TextBody"/>
        <w:bidi w:val="0"/>
        <w:spacing w:before="120" w:after="0"/>
        <w:jc w:val="left"/>
        <w:rPr>
          <w:rFonts w:ascii="Times New Roman" w:hAnsi="Times New Roman"/>
          <w:sz w:val="20"/>
        </w:rPr>
      </w:pPr>
      <w:r>
        <w:rPr>
          <w:rFonts w:ascii="Times New Roman" w:hAnsi="Times New Roman"/>
          <w:sz w:val="20"/>
        </w:rPr>
        <w:t>Amended Plan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For ISOs granted to a person who, at the time of the grant, owns stock representing more than </w:t>
      </w:r>
    </w:p>
    <w:p>
      <w:pPr>
        <w:pStyle w:val="TextBody"/>
        <w:bidi w:val="0"/>
        <w:spacing w:before="120" w:after="0"/>
        <w:jc w:val="left"/>
        <w:rPr>
          <w:rFonts w:ascii="Times New Roman" w:hAnsi="Times New Roman"/>
          <w:sz w:val="20"/>
        </w:rPr>
      </w:pPr>
      <w:r>
        <w:rPr>
          <w:rFonts w:ascii="Times New Roman" w:hAnsi="Times New Roman"/>
          <w:sz w:val="20"/>
        </w:rPr>
        <w:t>10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of the total combined voting power of all classes of the Company’s stock, the per share exercise price must be no less than </w:t>
      </w:r>
    </w:p>
    <w:p>
      <w:pPr>
        <w:pStyle w:val="TextBody"/>
        <w:bidi w:val="0"/>
        <w:spacing w:before="120" w:after="0"/>
        <w:jc w:val="left"/>
        <w:rPr>
          <w:rFonts w:ascii="Times New Roman" w:hAnsi="Times New Roman"/>
          <w:sz w:val="20"/>
        </w:rPr>
      </w:pPr>
      <w:r>
        <w:rPr>
          <w:rFonts w:ascii="Times New Roman" w:hAnsi="Times New Roman"/>
          <w:sz w:val="20"/>
        </w:rPr>
        <w:t>110</w:t>
      </w:r>
    </w:p>
    <w:p>
      <w:pPr>
        <w:pStyle w:val="TextBody"/>
        <w:bidi w:val="0"/>
        <w:spacing w:before="120" w:after="0"/>
        <w:jc w:val="left"/>
        <w:rPr>
          <w:rFonts w:ascii="Times New Roman" w:hAnsi="Times New Roman"/>
          <w:spacing w:val="0"/>
          <w:sz w:val="20"/>
        </w:rPr>
      </w:pPr>
      <w:r>
        <w:rPr>
          <w:rFonts w:ascii="Times New Roman" w:hAnsi="Times New Roman"/>
          <w:spacing w:val="0"/>
          <w:sz w:val="20"/>
        </w:rPr>
        <w:t>% of the fair value on the date of the grant as determined by the Board.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recognizes compensation expense for service-based options on a straight-line basis over the requisite service period of all employees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which is the award’s vesting term, generally over four years. The Company accounts for forfeitures when they occur.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earlier of (i) the first anniversary or second anniversary of terminated service, for 2023 and prior grants, respectively, for any reason and (ii) expire date defined as the fifth anniversary of the date of grant.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 of RSUs is determined based on the Company’s estimated fair value of common stock at the date of grant, as determined by the Board of Directors.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 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there were service-based stock options outstanding to purchase a total of </w:t>
      </w:r>
    </w:p>
    <w:p>
      <w:pPr>
        <w:pStyle w:val="TextBody"/>
        <w:bidi w:val="0"/>
        <w:spacing w:before="240" w:after="0"/>
        <w:jc w:val="left"/>
        <w:rPr>
          <w:rFonts w:ascii="Times New Roman" w:hAnsi="Times New Roman"/>
          <w:sz w:val="20"/>
        </w:rPr>
      </w:pPr>
      <w:r>
        <w:rPr>
          <w:rFonts w:ascii="Times New Roman" w:hAnsi="Times New Roman"/>
          <w:sz w:val="20"/>
        </w:rPr>
        <w:t>36,363,184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shares of common stock under the Plan and </w:t>
      </w:r>
    </w:p>
    <w:p>
      <w:pPr>
        <w:pStyle w:val="TextBody"/>
        <w:bidi w:val="0"/>
        <w:spacing w:before="240" w:after="0"/>
        <w:jc w:val="left"/>
        <w:rPr>
          <w:rFonts w:ascii="Times New Roman" w:hAnsi="Times New Roman"/>
          <w:sz w:val="20"/>
        </w:rPr>
      </w:pPr>
      <w:r>
        <w:rPr>
          <w:rFonts w:ascii="Times New Roman" w:hAnsi="Times New Roman"/>
          <w:sz w:val="20"/>
        </w:rPr>
        <w:t>4,655,274</w:t>
      </w:r>
    </w:p>
    <w:p>
      <w:pPr>
        <w:pStyle w:val="TextBody"/>
        <w:bidi w:val="0"/>
        <w:spacing w:before="240" w:after="0"/>
        <w:jc w:val="left"/>
        <w:rPr>
          <w:rFonts w:ascii="Times New Roman" w:hAnsi="Times New Roman"/>
          <w:spacing w:val="0"/>
          <w:sz w:val="20"/>
        </w:rPr>
      </w:pPr>
      <w:r>
        <w:rPr>
          <w:rFonts w:ascii="Times New Roman" w:hAnsi="Times New Roman"/>
          <w:spacing w:val="0"/>
          <w:sz w:val="20"/>
        </w:rPr>
        <w:t>unvested RSUs. As 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2,226,705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shares of common stock were available for issuance for either stock option or RSU grants under the </w:t>
      </w:r>
    </w:p>
    <w:p>
      <w:pPr>
        <w:pStyle w:val="TextBody"/>
        <w:bidi w:val="0"/>
        <w:spacing w:before="240" w:after="0"/>
        <w:jc w:val="left"/>
        <w:rPr>
          <w:rFonts w:ascii="Times New Roman" w:hAnsi="Times New Roman"/>
          <w:sz w:val="20"/>
        </w:rPr>
      </w:pPr>
      <w:r>
        <w:rPr>
          <w:rFonts w:ascii="Times New Roman" w:hAnsi="Times New Roman"/>
          <w:sz w:val="20"/>
        </w:rPr>
        <w:t>2011</w:t>
      </w:r>
    </w:p>
    <w:p>
      <w:pPr>
        <w:pStyle w:val="TextBody"/>
        <w:bidi w:val="0"/>
        <w:spacing w:before="240" w:after="0"/>
        <w:jc w:val="left"/>
        <w:rPr>
          <w:rFonts w:ascii="Times New Roman" w:hAnsi="Times New Roman"/>
          <w:spacing w:val="0"/>
          <w:sz w:val="20"/>
        </w:rPr>
      </w:pPr>
      <w:r>
        <w:rPr>
          <w:rFonts w:ascii="Times New Roman" w:hAnsi="Times New Roman"/>
          <w:spacing w:val="0"/>
          <w:sz w:val="20"/>
        </w:rPr>
        <w:t>Amended Plan.</w:t>
      </w:r>
    </w:p>
    <w:p>
      <w:pPr>
        <w:pStyle w:val="TextBody"/>
        <w:bidi w:val="0"/>
        <w:spacing w:before="360" w:after="0"/>
        <w:ind w:left="0" w:right="0" w:hanging="0"/>
        <w:jc w:val="left"/>
        <w:rPr>
          <w:rFonts w:ascii="Times New Roman" w:hAnsi="Times New Roman"/>
          <w:i/>
          <w:caps w:val="false"/>
          <w:smallCaps w:val="false"/>
          <w:spacing w:val="0"/>
          <w:sz w:val="20"/>
          <w:u w:val="single"/>
          <w:shd w:fill="FFFFFF" w:val="clear"/>
        </w:rPr>
      </w:pPr>
      <w:r>
        <w:rPr>
          <w:rFonts w:ascii="Times New Roman" w:hAnsi="Times New Roman"/>
          <w:i/>
          <w:caps w:val="false"/>
          <w:smallCaps w:val="false"/>
          <w:spacing w:val="0"/>
          <w:sz w:val="20"/>
          <w:u w:val="single"/>
          <w:shd w:fill="FFFFFF" w:val="clear"/>
        </w:rPr>
        <w:t xml:space="preserve">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stock option activity as of December 31, 2024 is as follows: </w:t>
      </w:r>
    </w:p>
    <w:p>
      <w:pPr>
        <w:pStyle w:val="TextBody"/>
        <w:bidi w:val="0"/>
        <w:spacing w:before="0" w:after="0"/>
        <w:jc w:val="left"/>
        <w:rPr/>
      </w:pPr>
      <w:r>
        <w:rPr/>
        <w:t> </w:t>
      </w:r>
    </w:p>
    <w:p>
      <w:pPr>
        <w:pStyle w:val="TextBody"/>
        <w:bidi w:val="0"/>
        <w:spacing w:before="0" w:after="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3776"/>
        <w:gridCol w:w="120"/>
        <w:gridCol w:w="63"/>
        <w:gridCol w:w="1157"/>
        <w:gridCol w:w="155"/>
        <w:gridCol w:w="120"/>
        <w:gridCol w:w="277"/>
        <w:gridCol w:w="1108"/>
        <w:gridCol w:w="60"/>
        <w:gridCol w:w="120"/>
        <w:gridCol w:w="242"/>
        <w:gridCol w:w="1293"/>
        <w:gridCol w:w="60"/>
        <w:gridCol w:w="120"/>
        <w:gridCol w:w="247"/>
        <w:gridCol w:w="1210"/>
        <w:gridCol w:w="77"/>
      </w:tblGrid>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b/>
                <w:spacing w:val="0"/>
              </w:rPr>
            </w:pPr>
            <w:r>
              <w:rPr>
                <w:b/>
                <w:spacing w:val="0"/>
              </w:rPr>
              <w:t>Number of</w:t>
              <w:br/>
              <w:t>options</w:t>
              <w:br/>
              <w:t>outstanding</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85" w:type="dxa"/>
            <w:gridSpan w:val="2"/>
            <w:tcBorders/>
            <w:vAlign w:val="center"/>
          </w:tcPr>
          <w:p>
            <w:pPr>
              <w:pStyle w:val="TableContents"/>
              <w:bidi w:val="0"/>
              <w:spacing w:before="0" w:after="0"/>
              <w:jc w:val="center"/>
              <w:rPr>
                <w:b/>
                <w:spacing w:val="0"/>
              </w:rPr>
            </w:pPr>
            <w:r>
              <w:rPr>
                <w:b/>
                <w:spacing w:val="0"/>
              </w:rPr>
              <w:t>Weighted</w:t>
              <w:br/>
              <w:t>average</w:t>
              <w:br/>
              <w:t>exercise price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35" w:type="dxa"/>
            <w:gridSpan w:val="2"/>
            <w:tcBorders/>
            <w:vAlign w:val="center"/>
          </w:tcPr>
          <w:p>
            <w:pPr>
              <w:pStyle w:val="TableContents"/>
              <w:bidi w:val="0"/>
              <w:spacing w:before="0" w:after="0"/>
              <w:jc w:val="center"/>
              <w:rPr>
                <w:b/>
                <w:spacing w:val="0"/>
              </w:rPr>
            </w:pPr>
            <w:r>
              <w:rPr>
                <w:b/>
                <w:spacing w:val="0"/>
              </w:rPr>
              <w:t>Weighted</w:t>
              <w:br/>
              <w:t>average</w:t>
              <w:br/>
              <w:t>remaining</w:t>
              <w:br/>
              <w:t>contractual life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57" w:type="dxa"/>
            <w:gridSpan w:val="2"/>
            <w:tcBorders/>
            <w:vAlign w:val="center"/>
          </w:tcPr>
          <w:p>
            <w:pPr>
              <w:pStyle w:val="TableContents"/>
              <w:bidi w:val="0"/>
              <w:spacing w:before="0" w:after="0"/>
              <w:jc w:val="center"/>
              <w:rPr>
                <w:b/>
                <w:spacing w:val="0"/>
              </w:rPr>
            </w:pPr>
            <w:r>
              <w:rPr>
                <w:b/>
                <w:spacing w:val="0"/>
              </w:rPr>
              <w:t>Aggregate</w:t>
              <w:br/>
              <w:t>intrinsic value</w:t>
              <w:br/>
              <w:t>(in thousands)</w:t>
            </w:r>
          </w:p>
        </w:tc>
        <w:tc>
          <w:tcPr>
            <w:tcW w:w="77" w:type="dxa"/>
            <w:tcBorders/>
            <w:vAlign w:val="center"/>
          </w:tcPr>
          <w:p>
            <w:pPr>
              <w:pStyle w:val="TableContents"/>
              <w:bidi w:val="0"/>
              <w:spacing w:before="0" w:after="0"/>
              <w:jc w:val="left"/>
              <w:rPr>
                <w:spacing w:val="0"/>
              </w:rPr>
            </w:pPr>
            <w:r>
              <w:rPr>
                <w:spacing w:val="0"/>
              </w:rPr>
              <w:t> </w:t>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1,325,844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925</w:t>
            </w:r>
          </w:p>
        </w:tc>
        <w:tc>
          <w:tcPr>
            <w:tcW w:w="77" w:type="dxa"/>
            <w:tcBorders/>
            <w:shd w:fill="CCEEFF" w:val="clear"/>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15,141,280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(8,601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0.80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(19,543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2023</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16,437,980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13,907</w:t>
            </w:r>
          </w:p>
        </w:tc>
        <w:tc>
          <w:tcPr>
            <w:tcW w:w="77" w:type="dxa"/>
            <w:tcBorders/>
            <w:vAlign w:val="center"/>
          </w:tcPr>
          <w:p>
            <w:pPr>
              <w:pStyle w:val="TableContents"/>
              <w:bidi w:val="0"/>
              <w:spacing w:before="0" w:after="283"/>
              <w:jc w:val="left"/>
              <w:rPr/>
            </w:pPr>
            <w:r>
              <w:rPr/>
              <w:t> </w:t>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21,329,457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(65,646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(1,333,107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2024</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36,363,184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22,845</w:t>
            </w:r>
          </w:p>
        </w:tc>
        <w:tc>
          <w:tcPr>
            <w:tcW w:w="77" w:type="dxa"/>
            <w:tcBorders/>
            <w:shd w:fill="CCEEFF" w:val="clear"/>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115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Vested/expected to vest at December 31, 2024</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35,560,434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0.99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22,492</w:t>
            </w:r>
          </w:p>
        </w:tc>
        <w:tc>
          <w:tcPr>
            <w:tcW w:w="77" w:type="dxa"/>
            <w:tcBorders/>
            <w:vAlign w:val="center"/>
          </w:tcPr>
          <w:p>
            <w:pPr>
              <w:pStyle w:val="TableContents"/>
              <w:bidi w:val="0"/>
              <w:spacing w:before="0" w:after="283"/>
              <w:jc w:val="left"/>
              <w:rPr/>
            </w:pPr>
            <w:r>
              <w:rPr/>
              <w:t> </w:t>
            </w:r>
          </w:p>
        </w:tc>
      </w:tr>
      <w:tr>
        <w:trPr/>
        <w:tc>
          <w:tcPr>
            <w:tcW w:w="3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Exercisable options at December 31, 2024</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9,614,865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7,066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aggregate</w:t>
      </w:r>
    </w:p>
    <w:p>
      <w:pPr>
        <w:pStyle w:val="TextBody"/>
        <w:bidi w:val="0"/>
        <w:spacing w:before="240" w:after="0"/>
        <w:jc w:val="left"/>
        <w:rPr>
          <w:spacing w:val="0"/>
        </w:rPr>
      </w:pPr>
      <w:r>
        <w:rPr>
          <w:spacing w:val="0"/>
        </w:rPr>
        <w:t> </w:t>
      </w:r>
      <w:r>
        <w:rPr>
          <w:rFonts w:ascii="Times New Roman" w:hAnsi="Times New Roman"/>
          <w:spacing w:val="0"/>
          <w:sz w:val="20"/>
        </w:rPr>
        <w:t>intrinsic value of service-based options exercised during the years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was $</w:t>
      </w:r>
    </w:p>
    <w:p>
      <w:pPr>
        <w:pStyle w:val="TextBody"/>
        <w:bidi w:val="0"/>
        <w:spacing w:before="240" w:after="0"/>
        <w:jc w:val="left"/>
        <w:rPr>
          <w:rFonts w:ascii="Times New Roman" w:hAnsi="Times New Roman"/>
          <w:sz w:val="20"/>
        </w:rPr>
      </w:pPr>
      <w:r>
        <w:rPr>
          <w:rFonts w:ascii="Times New Roman" w:hAnsi="Times New Roman"/>
          <w:sz w:val="20"/>
        </w:rPr>
        <w:t>17,000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zero</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respectively. The intrinsic value is the difference between the estimated fair value of the Company’s common stock at the date of exercise and the exercise price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in-the-money</w:t>
      </w:r>
    </w:p>
    <w:p>
      <w:pPr>
        <w:pStyle w:val="TextBody"/>
        <w:bidi w:val="0"/>
        <w:spacing w:before="240" w:after="0"/>
        <w:jc w:val="left"/>
        <w:rPr>
          <w:rFonts w:ascii="Times New Roman" w:hAnsi="Times New Roman"/>
          <w:spacing w:val="0"/>
          <w:sz w:val="20"/>
        </w:rPr>
      </w:pPr>
      <w:r>
        <w:rPr>
          <w:rFonts w:ascii="Times New Roman" w:hAnsi="Times New Roman"/>
          <w:spacing w:val="0"/>
          <w:sz w:val="20"/>
        </w:rPr>
        <w:t>stock options.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weighted-average</w:t>
      </w:r>
    </w:p>
    <w:p>
      <w:pPr>
        <w:pStyle w:val="TextBody"/>
        <w:bidi w:val="0"/>
        <w:spacing w:before="240" w:after="0"/>
        <w:jc w:val="left"/>
        <w:rPr>
          <w:spacing w:val="0"/>
        </w:rPr>
      </w:pPr>
      <w:r>
        <w:rPr>
          <w:spacing w:val="0"/>
        </w:rPr>
        <w:t> </w:t>
      </w:r>
      <w:r>
        <w:rPr>
          <w:rFonts w:ascii="Times New Roman" w:hAnsi="Times New Roman"/>
          <w:spacing w:val="0"/>
          <w:sz w:val="20"/>
        </w:rPr>
        <w:t>grant-date fair value of options granted during the years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was $</w:t>
      </w:r>
    </w:p>
    <w:p>
      <w:pPr>
        <w:pStyle w:val="TextBody"/>
        <w:bidi w:val="0"/>
        <w:spacing w:before="240" w:after="0"/>
        <w:jc w:val="left"/>
        <w:rPr>
          <w:rFonts w:ascii="Times New Roman" w:hAnsi="Times New Roman"/>
          <w:sz w:val="20"/>
        </w:rPr>
      </w:pPr>
      <w:r>
        <w:rPr>
          <w:rFonts w:ascii="Times New Roman" w:hAnsi="Times New Roman"/>
          <w:sz w:val="20"/>
        </w:rPr>
        <w:t>0.88</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 share and $</w:t>
      </w:r>
    </w:p>
    <w:p>
      <w:pPr>
        <w:pStyle w:val="TextBody"/>
        <w:bidi w:val="0"/>
        <w:spacing w:before="240" w:after="0"/>
        <w:jc w:val="left"/>
        <w:rPr>
          <w:rFonts w:ascii="Times New Roman" w:hAnsi="Times New Roman"/>
          <w:sz w:val="20"/>
        </w:rPr>
      </w:pPr>
      <w:r>
        <w:rPr>
          <w:rFonts w:ascii="Times New Roman" w:hAnsi="Times New Roman"/>
          <w:sz w:val="20"/>
        </w:rPr>
        <w:t>0.25</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 share, respectively. The total grant date fair value of stock options that vested during the years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was $</w:t>
      </w:r>
    </w:p>
    <w:p>
      <w:pPr>
        <w:pStyle w:val="TextBody"/>
        <w:bidi w:val="0"/>
        <w:spacing w:before="240" w:after="0"/>
        <w:jc w:val="left"/>
        <w:rPr>
          <w:rFonts w:ascii="Times New Roman" w:hAnsi="Times New Roman"/>
          <w:sz w:val="20"/>
        </w:rPr>
      </w:pPr>
      <w:r>
        <w:rPr>
          <w:rFonts w:ascii="Times New Roman" w:hAnsi="Times New Roman"/>
          <w:sz w:val="20"/>
        </w:rPr>
        <w:t>2.8</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0.8</w:t>
      </w:r>
    </w:p>
    <w:p>
      <w:pPr>
        <w:pStyle w:val="TextBody"/>
        <w:bidi w:val="0"/>
        <w:spacing w:before="240" w:after="0"/>
        <w:jc w:val="left"/>
        <w:rPr>
          <w:spacing w:val="0"/>
        </w:rPr>
      </w:pPr>
      <w:r>
        <w:rPr>
          <w:spacing w:val="0"/>
        </w:rPr>
        <w:t> </w:t>
      </w:r>
      <w:r>
        <w:rPr>
          <w:rFonts w:ascii="Times New Roman" w:hAnsi="Times New Roman"/>
          <w:spacing w:val="0"/>
          <w:sz w:val="20"/>
        </w:rPr>
        <w:t>million, respectively.</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As of December</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there were approximately $</w:t>
      </w:r>
    </w:p>
    <w:p>
      <w:pPr>
        <w:pStyle w:val="TextBody"/>
        <w:bidi w:val="0"/>
        <w:spacing w:before="240" w:after="0"/>
        <w:jc w:val="left"/>
        <w:rPr>
          <w:rFonts w:ascii="Times New Roman" w:hAnsi="Times New Roman"/>
          <w:sz w:val="20"/>
        </w:rPr>
      </w:pPr>
      <w:r>
        <w:rPr>
          <w:rFonts w:ascii="Times New Roman" w:hAnsi="Times New Roman"/>
          <w:sz w:val="20"/>
        </w:rPr>
        <w:t>18.2</w:t>
      </w:r>
    </w:p>
    <w:p>
      <w:pPr>
        <w:pStyle w:val="TextBody"/>
        <w:bidi w:val="0"/>
        <w:spacing w:before="240" w:after="0"/>
        <w:jc w:val="left"/>
        <w:rPr>
          <w:spacing w:val="0"/>
        </w:rPr>
      </w:pPr>
      <w:r>
        <w:rPr>
          <w:spacing w:val="0"/>
        </w:rPr>
        <w:t> </w:t>
      </w:r>
      <w:r>
        <w:rPr>
          <w:rFonts w:ascii="Times New Roman" w:hAnsi="Times New Roman"/>
          <w:spacing w:val="0"/>
          <w:sz w:val="20"/>
        </w:rPr>
        <w:t xml:space="preserve">million of total unrecognized compensation cost related to unvested stock options granted, which is expected to be recognized over the weighted-average period of </w:t>
      </w:r>
    </w:p>
    <w:p>
      <w:pPr>
        <w:pStyle w:val="TextBody"/>
        <w:bidi w:val="0"/>
        <w:spacing w:before="240" w:after="0"/>
        <w:jc w:val="left"/>
        <w:rPr>
          <w:rFonts w:ascii="Times New Roman" w:hAnsi="Times New Roman"/>
          <w:sz w:val="20"/>
        </w:rPr>
      </w:pPr>
      <w:r>
        <w:rPr>
          <w:rFonts w:ascii="Times New Roman" w:hAnsi="Times New Roman"/>
          <w:sz w:val="20"/>
        </w:rPr>
        <w:t>2.4</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recorded stock-based compensation expense for stock options and the </w:t>
      </w:r>
    </w:p>
    <w:p>
      <w:pPr>
        <w:pStyle w:val="TextBody"/>
        <w:bidi w:val="0"/>
        <w:spacing w:before="0" w:after="0"/>
        <w:jc w:val="left"/>
        <w:rPr>
          <w:rFonts w:ascii="Times New Roman" w:hAnsi="Times New Roman"/>
          <w:sz w:val="20"/>
        </w:rPr>
      </w:pPr>
      <w:r>
        <w:rPr>
          <w:rFonts w:ascii="Times New Roman" w:hAnsi="Times New Roman"/>
          <w:sz w:val="20"/>
        </w:rPr>
        <w:t>2024</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cancellation of </w:t>
      </w:r>
    </w:p>
    <w:p>
      <w:pPr>
        <w:pStyle w:val="TextBody"/>
        <w:bidi w:val="0"/>
        <w:spacing w:before="0" w:after="0"/>
        <w:jc w:val="left"/>
        <w:rPr>
          <w:rFonts w:ascii="Times New Roman" w:hAnsi="Times New Roman"/>
          <w:sz w:val="20"/>
        </w:rPr>
      </w:pPr>
      <w:r>
        <w:rPr>
          <w:rFonts w:ascii="Times New Roman" w:hAnsi="Times New Roman"/>
          <w:sz w:val="20"/>
        </w:rPr>
        <w:t>135,400</w:t>
      </w:r>
    </w:p>
    <w:p>
      <w:pPr>
        <w:pStyle w:val="TextBody"/>
        <w:bidi w:val="0"/>
        <w:spacing w:before="0" w:after="0"/>
        <w:jc w:val="left"/>
        <w:rPr>
          <w:rFonts w:ascii="Times New Roman" w:hAnsi="Times New Roman"/>
          <w:spacing w:val="0"/>
          <w:sz w:val="20"/>
        </w:rPr>
      </w:pPr>
      <w:r>
        <w:rPr>
          <w:rFonts w:ascii="Times New Roman" w:hAnsi="Times New Roman"/>
          <w:spacing w:val="0"/>
          <w:sz w:val="20"/>
        </w:rPr>
        <w:t>RSUs during the years ended December </w:t>
      </w:r>
    </w:p>
    <w:p>
      <w:pPr>
        <w:pStyle w:val="TextBody"/>
        <w:bidi w:val="0"/>
        <w:spacing w:before="0" w:after="0"/>
        <w:jc w:val="left"/>
        <w:rPr>
          <w:rFonts w:ascii="Times New Roman" w:hAnsi="Times New Roman"/>
          <w:sz w:val="20"/>
        </w:rPr>
      </w:pPr>
      <w:r>
        <w:rPr>
          <w:rFonts w:ascii="Times New Roman" w:hAnsi="Times New Roman"/>
          <w:sz w:val="20"/>
        </w:rPr>
        <w:t>31</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2024</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2023</w:t>
      </w:r>
    </w:p>
    <w:p>
      <w:pPr>
        <w:pStyle w:val="TextBody"/>
        <w:bidi w:val="0"/>
        <w:spacing w:before="0" w:after="0"/>
        <w:jc w:val="left"/>
        <w:rPr>
          <w:rFonts w:ascii="Times New Roman" w:hAnsi="Times New Roman"/>
          <w:spacing w:val="0"/>
          <w:sz w:val="20"/>
        </w:rPr>
      </w:pPr>
      <w:r>
        <w:rPr>
          <w:rFonts w:ascii="Times New Roman" w:hAnsi="Times New Roman"/>
          <w:spacing w:val="0"/>
          <w:sz w:val="20"/>
        </w:rPr>
        <w:t>, as follows (in thousands):</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2870"/>
        <w:gridCol w:w="120"/>
        <w:gridCol w:w="140"/>
        <w:gridCol w:w="560"/>
        <w:gridCol w:w="60"/>
        <w:gridCol w:w="120"/>
        <w:gridCol w:w="140"/>
        <w:gridCol w:w="560"/>
        <w:gridCol w:w="7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372</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2,111</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3,847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2024 and 2023 was estimated using the Black-Scholes model with the range of assumptions stated below: </w:t>
      </w:r>
    </w:p>
    <w:p>
      <w:pPr>
        <w:pStyle w:val="TextBody"/>
        <w:bidi w:val="0"/>
        <w:spacing w:before="0" w:after="0"/>
        <w:ind w:left="0" w:right="0" w:hanging="0"/>
        <w:jc w:val="left"/>
        <w:rPr>
          <w:sz w:val="24"/>
        </w:rPr>
      </w:pPr>
      <w:r>
        <w:rPr>
          <w:sz w:val="24"/>
        </w:rPr>
      </w:r>
    </w:p>
    <w:tbl>
      <w:tblPr>
        <w:tblW w:w="7780" w:type="dxa"/>
        <w:jc w:val="left"/>
        <w:tblInd w:w="0" w:type="dxa"/>
        <w:tblLayout w:type="fixed"/>
        <w:tblCellMar>
          <w:top w:w="0" w:type="dxa"/>
          <w:left w:w="0" w:type="dxa"/>
          <w:bottom w:w="0" w:type="dxa"/>
          <w:right w:w="0" w:type="dxa"/>
        </w:tblCellMar>
      </w:tblPr>
      <w:tblGrid>
        <w:gridCol w:w="3755"/>
        <w:gridCol w:w="120"/>
        <w:gridCol w:w="140"/>
        <w:gridCol w:w="1685"/>
        <w:gridCol w:w="60"/>
        <w:gridCol w:w="120"/>
        <w:gridCol w:w="140"/>
        <w:gridCol w:w="1685"/>
        <w:gridCol w:w="75"/>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3.99% - 4.43%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4.44% - 4.46%</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5.00 - 6.22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5.00 - 6.01</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0"/>
              <w:jc w:val="right"/>
              <w:rPr>
                <w:spacing w:val="0"/>
              </w:rPr>
            </w:pPr>
            <w:r>
              <w:rPr>
                <w:spacing w:val="0"/>
              </w:rPr>
              <w:t>56.92% - 57.51%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0"/>
              <w:jc w:val="right"/>
              <w:rPr>
                <w:spacing w:val="0"/>
              </w:rPr>
            </w:pPr>
            <w:r>
              <w:rPr>
                <w:spacing w:val="0"/>
              </w:rPr>
              <w:t>56.74% - 57.56%</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r>
              <w:rPr/>
              <w:t>%</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fair value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0.88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0.25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mid-point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between the vesting date and the end of the contractual term of the option). The Company has no history or experience of paying cash dividends on its common stock and thus, has assumed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zero-dividend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rate. The assumptions used to calculate the fair value of options granted are evaluated and revised for new awards, as necessary, to reflect market conditions and experience.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the Closing Date, all outstanding options were converted into new instruments in accordance with the terms of the Merger (see Note 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 xml:space="preserve">Restricted-Stock Units: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 summary of the Company’s RSU activity issued under the 2011 Amended Plan, inclusive of the </w:t>
      </w:r>
    </w:p>
    <w:p>
      <w:pPr>
        <w:pStyle w:val="TextBody"/>
        <w:bidi w:val="0"/>
        <w:spacing w:before="120" w:after="0"/>
        <w:jc w:val="left"/>
        <w:rPr>
          <w:rFonts w:ascii="Times New Roman" w:hAnsi="Times New Roman"/>
          <w:sz w:val="20"/>
        </w:rPr>
      </w:pPr>
      <w:r>
        <w:rPr>
          <w:rFonts w:ascii="Times New Roman" w:hAnsi="Times New Roman"/>
          <w:sz w:val="20"/>
        </w:rPr>
        <w:t xml:space="preserve">6,000,000 RSUs issued to an investor (see Notes 7 and 13), for the years ended December 31, 2024 and 2023 is as follows: </w:t>
      </w:r>
    </w:p>
    <w:p>
      <w:pPr>
        <w:pStyle w:val="TextBody"/>
        <w:bidi w:val="0"/>
        <w:spacing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2945"/>
        <w:gridCol w:w="120"/>
        <w:gridCol w:w="60"/>
        <w:gridCol w:w="1100"/>
        <w:gridCol w:w="155"/>
        <w:gridCol w:w="120"/>
        <w:gridCol w:w="295"/>
        <w:gridCol w:w="1180"/>
        <w:gridCol w:w="75"/>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Awards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 grant</w:t>
              <w:br/>
              <w:t>date fair value</w:t>
              <w:br/>
              <w:t>(per share)</w:t>
            </w:r>
          </w:p>
        </w:tc>
        <w:tc>
          <w:tcPr>
            <w:tcW w:w="75" w:type="dxa"/>
            <w:tcBorders/>
            <w:vAlign w:val="center"/>
          </w:tcPr>
          <w:p>
            <w:pPr>
              <w:pStyle w:val="TableContents"/>
              <w:bidi w:val="0"/>
              <w:spacing w:before="0" w:after="0"/>
              <w:jc w:val="left"/>
              <w:rPr>
                <w:spacing w:val="0"/>
              </w:rPr>
            </w:pPr>
            <w:r>
              <w:rPr>
                <w:spacing w:val="0"/>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Nonvested as of January 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137,909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15.28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10,929,820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0.60</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0.44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(150,900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1.98</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Nonvested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4,916,829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(254,555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0.88</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0.82</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Nonvested as of December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4,655,274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1.19</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w:t>
      </w:r>
    </w:p>
    <w:p>
      <w:pPr>
        <w:pStyle w:val="TextBody"/>
        <w:bidi w:val="0"/>
        <w:spacing w:before="240" w:after="0"/>
        <w:jc w:val="left"/>
        <w:rPr>
          <w:rFonts w:ascii="Times New Roman" w:hAnsi="Times New Roman"/>
          <w:spacing w:val="0"/>
          <w:sz w:val="20"/>
        </w:rPr>
      </w:pPr>
      <w:r>
        <w:rPr>
          <w:rFonts w:ascii="Times New Roman" w:hAnsi="Times New Roman"/>
          <w:spacing w:val="0"/>
          <w:sz w:val="20"/>
        </w:rPr>
        <w:t>stock-based compensation expense was recognized for the periods presented. As of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there was $</w:t>
      </w:r>
    </w:p>
    <w:p>
      <w:pPr>
        <w:pStyle w:val="TextBody"/>
        <w:bidi w:val="0"/>
        <w:spacing w:before="240" w:after="0"/>
        <w:jc w:val="left"/>
        <w:rPr>
          <w:rFonts w:ascii="Times New Roman" w:hAnsi="Times New Roman"/>
          <w:sz w:val="20"/>
        </w:rPr>
      </w:pPr>
      <w:r>
        <w:rPr>
          <w:rFonts w:ascii="Times New Roman" w:hAnsi="Times New Roman"/>
          <w:sz w:val="20"/>
        </w:rPr>
        <w:t>6.3</w:t>
      </w:r>
    </w:p>
    <w:p>
      <w:pPr>
        <w:pStyle w:val="TextBody"/>
        <w:bidi w:val="0"/>
        <w:spacing w:before="240" w:after="0"/>
        <w:jc w:val="left"/>
        <w:rPr>
          <w:spacing w:val="0"/>
        </w:rPr>
      </w:pPr>
      <w:r>
        <w:rPr>
          <w:spacing w:val="0"/>
        </w:rPr>
        <w:t> </w:t>
      </w:r>
      <w:r>
        <w:rPr>
          <w:rFonts w:ascii="Times New Roman" w:hAnsi="Times New Roman"/>
          <w:spacing w:val="0"/>
          <w:sz w:val="20"/>
        </w:rPr>
        <w:t>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RSUs issued as part of the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Convertible Note financing were fair valued on the date of grant and recognized as debt financing charge at date of transaction (see Notes </w:t>
      </w:r>
    </w:p>
    <w:p>
      <w:pPr>
        <w:pStyle w:val="TextBody"/>
        <w:bidi w:val="0"/>
        <w:spacing w:before="240" w:after="0"/>
        <w:jc w:val="left"/>
        <w:rPr>
          <w:rFonts w:ascii="Times New Roman" w:hAnsi="Times New Roman"/>
          <w:sz w:val="20"/>
        </w:rPr>
      </w:pPr>
      <w:r>
        <w:rPr>
          <w:rFonts w:ascii="Times New Roman" w:hAnsi="Times New Roman"/>
          <w:sz w:val="20"/>
        </w:rPr>
        <w:t>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13)</w:t>
      </w:r>
    </w:p>
    <w:p>
      <w:pPr>
        <w:pStyle w:val="TextBody"/>
        <w:bidi w:val="0"/>
        <w:spacing w:before="240" w:after="0"/>
        <w:jc w:val="left"/>
        <w:rPr>
          <w:rFonts w:ascii="Times New Roman" w:hAnsi="Times New Roman"/>
          <w:spacing w:val="0"/>
          <w:sz w:val="20"/>
        </w:rPr>
      </w:pPr>
      <w:r>
        <w:rPr>
          <w:rFonts w:ascii="Times New Roman" w:hAnsi="Times New Roman"/>
          <w:spacing w:val="0"/>
          <w:sz w:val="20"/>
        </w:rPr>
        <w:t>. Effective December </w:t>
      </w:r>
    </w:p>
    <w:p>
      <w:pPr>
        <w:pStyle w:val="TextBody"/>
        <w:bidi w:val="0"/>
        <w:spacing w:before="240" w:after="0"/>
        <w:jc w:val="left"/>
        <w:rPr>
          <w:rFonts w:ascii="Times New Roman" w:hAnsi="Times New Roman"/>
          <w:sz w:val="20"/>
        </w:rPr>
      </w:pPr>
      <w:r>
        <w:rPr>
          <w:rFonts w:ascii="Times New Roman" w:hAnsi="Times New Roman"/>
          <w:sz w:val="20"/>
        </w:rPr>
        <w:t>21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as a condition of executing the Merger Agreement, the Company accelerated the vesting associated with the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RSUs. Upon acceleration, the RSUs were immediately exchanged and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shares of common stock issued. The modification of vesting terms resulted in the recognition of $</w:t>
      </w:r>
    </w:p>
    <w:p>
      <w:pPr>
        <w:pStyle w:val="TextBody"/>
        <w:bidi w:val="0"/>
        <w:spacing w:before="240" w:after="0"/>
        <w:jc w:val="left"/>
        <w:rPr>
          <w:rFonts w:ascii="Times New Roman" w:hAnsi="Times New Roman"/>
          <w:sz w:val="20"/>
        </w:rPr>
      </w:pPr>
      <w:r>
        <w:rPr>
          <w:rFonts w:ascii="Times New Roman" w:hAnsi="Times New Roman"/>
          <w:sz w:val="20"/>
        </w:rPr>
        <w:t>1.7</w:t>
      </w:r>
    </w:p>
    <w:p>
      <w:pPr>
        <w:pStyle w:val="TextBody"/>
        <w:bidi w:val="0"/>
        <w:spacing w:before="240" w:after="0"/>
        <w:jc w:val="left"/>
        <w:rPr>
          <w:spacing w:val="0"/>
        </w:rPr>
      </w:pPr>
      <w:r>
        <w:rPr>
          <w:spacing w:val="0"/>
        </w:rPr>
        <w:t> </w:t>
      </w:r>
      <w:r>
        <w:rPr>
          <w:rFonts w:ascii="Times New Roman" w:hAnsi="Times New Roman"/>
          <w:spacing w:val="0"/>
          <w:sz w:val="20"/>
        </w:rPr>
        <w:t>million in stock-based compensation expense during the year ended December </w:t>
      </w:r>
    </w:p>
    <w:p>
      <w:pPr>
        <w:pStyle w:val="TextBody"/>
        <w:bidi w:val="0"/>
        <w:spacing w:before="240" w:after="0"/>
        <w:jc w:val="left"/>
        <w:rPr>
          <w:rFonts w:ascii="Times New Roman" w:hAnsi="Times New Roman"/>
          <w:sz w:val="20"/>
        </w:rPr>
      </w:pPr>
      <w:r>
        <w:rPr>
          <w:rFonts w:ascii="Times New Roman" w:hAnsi="Times New Roman"/>
          <w:sz w:val="20"/>
        </w:rPr>
        <w:t>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2023</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the Closing Date, all outstanding RSUs were converted into new instruments in accordance with the terms of the Merger (see Note 1).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12. Commitments and Contingencies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Purchase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 of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 the Company had outstanding purchase orders and contractual obligations totaling $</w:t>
      </w:r>
    </w:p>
    <w:p>
      <w:pPr>
        <w:pStyle w:val="TextBody"/>
        <w:bidi w:val="0"/>
        <w:spacing w:before="120" w:after="0"/>
        <w:jc w:val="left"/>
        <w:rPr>
          <w:rFonts w:ascii="Times New Roman" w:hAnsi="Times New Roman"/>
          <w:sz w:val="20"/>
        </w:rPr>
      </w:pPr>
      <w:r>
        <w:rPr>
          <w:rFonts w:ascii="Times New Roman" w:hAnsi="Times New Roman"/>
          <w:sz w:val="20"/>
        </w:rPr>
        <w:t>0.2</w:t>
      </w:r>
    </w:p>
    <w:p>
      <w:pPr>
        <w:pStyle w:val="TextBody"/>
        <w:bidi w:val="0"/>
        <w:spacing w:before="120" w:after="0"/>
        <w:jc w:val="left"/>
        <w:rPr>
          <w:spacing w:val="0"/>
        </w:rPr>
      </w:pPr>
      <w:r>
        <w:rPr>
          <w:spacing w:val="0"/>
        </w:rPr>
        <w:t> </w:t>
      </w:r>
      <w:r>
        <w:rPr>
          <w:rFonts w:ascii="Times New Roman" w:hAnsi="Times New Roman"/>
          <w:spacing w:val="0"/>
          <w:sz w:val="20"/>
        </w:rPr>
        <w:t xml:space="preserve">million to procure inventory. </w:t>
      </w:r>
    </w:p>
    <w:p>
      <w:pPr>
        <w:pStyle w:val="TextBody"/>
        <w:bidi w:val="0"/>
        <w:spacing w:before="120" w:after="0"/>
        <w:jc w:val="left"/>
        <w:rPr>
          <w:rFonts w:ascii="Times New Roman" w:hAnsi="Times New Roman"/>
          <w:sz w:val="20"/>
        </w:rPr>
      </w:pPr>
      <w:r>
        <w:rPr>
          <w:rFonts w:ascii="Times New Roman" w:hAnsi="Times New Roman"/>
          <w:sz w:val="20"/>
        </w:rPr>
        <w:t>The majority of the Company’s outstanding inventory purchase orders and preauthorized commitments to procure strategic components based on the Company’s expected demand are placed with the Company’s primary third party contract manufacturer and a semiconductor supplier.</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has an obligation to purchase inventories that have been purchased by the contract manufacturer when components have not been consumed within a period defined in the terms of the Company’s agreement. During the years ended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2023</w:t>
      </w:r>
    </w:p>
    <w:p>
      <w:pPr>
        <w:pStyle w:val="TextBody"/>
        <w:bidi w:val="0"/>
        <w:spacing w:before="120" w:after="0"/>
        <w:jc w:val="left"/>
        <w:rPr>
          <w:rFonts w:ascii="Times New Roman" w:hAnsi="Times New Roman"/>
          <w:spacing w:val="0"/>
          <w:sz w:val="20"/>
        </w:rPr>
      </w:pPr>
      <w:r>
        <w:rPr>
          <w:rFonts w:ascii="Times New Roman" w:hAnsi="Times New Roman"/>
          <w:spacing w:val="0"/>
          <w:sz w:val="20"/>
        </w:rPr>
        <w:t>, the Company purchased inventories of $</w:t>
      </w:r>
    </w:p>
    <w:p>
      <w:pPr>
        <w:pStyle w:val="TextBody"/>
        <w:bidi w:val="0"/>
        <w:spacing w:before="120" w:after="0"/>
        <w:jc w:val="left"/>
        <w:rPr>
          <w:rFonts w:ascii="Times New Roman" w:hAnsi="Times New Roman"/>
          <w:sz w:val="20"/>
        </w:rPr>
      </w:pPr>
      <w:r>
        <w:rPr>
          <w:rFonts w:ascii="Times New Roman" w:hAnsi="Times New Roman"/>
          <w:sz w:val="20"/>
        </w:rPr>
        <w:t>4.3</w:t>
      </w:r>
    </w:p>
    <w:p>
      <w:pPr>
        <w:pStyle w:val="TextBody"/>
        <w:bidi w:val="0"/>
        <w:spacing w:before="120" w:after="0"/>
        <w:jc w:val="left"/>
        <w:rPr>
          <w:spacing w:val="0"/>
        </w:rPr>
      </w:pPr>
      <w:r>
        <w:rPr>
          <w:spacing w:val="0"/>
        </w:rPr>
        <w:t> </w:t>
      </w:r>
      <w:r>
        <w:rPr>
          <w:rFonts w:ascii="Times New Roman" w:hAnsi="Times New Roman"/>
          <w:spacing w:val="0"/>
          <w:sz w:val="20"/>
        </w:rPr>
        <w:t>million and $</w:t>
      </w:r>
    </w:p>
    <w:p>
      <w:pPr>
        <w:pStyle w:val="TextBody"/>
        <w:bidi w:val="0"/>
        <w:spacing w:before="120" w:after="0"/>
        <w:jc w:val="left"/>
        <w:rPr>
          <w:rFonts w:ascii="Times New Roman" w:hAnsi="Times New Roman"/>
          <w:sz w:val="20"/>
        </w:rPr>
      </w:pPr>
      <w:r>
        <w:rPr>
          <w:rFonts w:ascii="Times New Roman" w:hAnsi="Times New Roman"/>
          <w:sz w:val="20"/>
        </w:rPr>
        <w:t>4.4</w:t>
      </w:r>
    </w:p>
    <w:p>
      <w:pPr>
        <w:pStyle w:val="TextBody"/>
        <w:bidi w:val="0"/>
        <w:spacing w:before="120" w:after="0"/>
        <w:jc w:val="left"/>
        <w:rPr>
          <w:spacing w:val="0"/>
        </w:rPr>
      </w:pPr>
      <w:r>
        <w:rPr>
          <w:spacing w:val="0"/>
        </w:rPr>
        <w:t> </w:t>
      </w:r>
      <w:r>
        <w:rPr>
          <w:rFonts w:ascii="Times New Roman" w:hAnsi="Times New Roman"/>
          <w:spacing w:val="0"/>
          <w:sz w:val="20"/>
        </w:rPr>
        <w:t>million, respectively, due to this obligation.</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non-returnable</w:t>
      </w:r>
    </w:p>
    <w:p>
      <w:pPr>
        <w:pStyle w:val="TextBody"/>
        <w:bidi w:val="0"/>
        <w:spacing w:before="0" w:after="0"/>
        <w:jc w:val="left"/>
        <w:rPr>
          <w:rFonts w:ascii="Times New Roman" w:hAnsi="Times New Roman"/>
          <w:spacing w:val="0"/>
          <w:sz w:val="20"/>
        </w:rPr>
      </w:pPr>
      <w:r>
        <w:rPr>
          <w:rFonts w:ascii="Times New Roman" w:hAnsi="Times New Roman"/>
          <w:spacing w:val="0"/>
          <w:sz w:val="20"/>
        </w:rPr>
        <w:t>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w:t>
      </w:r>
    </w:p>
    <w:p>
      <w:pPr>
        <w:pStyle w:val="TextBody"/>
        <w:bidi w:val="0"/>
        <w:spacing w:before="0" w:after="0"/>
        <w:jc w:val="left"/>
        <w:rPr>
          <w:rFonts w:ascii="Times New Roman" w:hAnsi="Times New Roman"/>
          <w:sz w:val="20"/>
        </w:rPr>
      </w:pPr>
      <w:r>
        <w:rPr>
          <w:rFonts w:ascii="Times New Roman" w:hAnsi="Times New Roman"/>
          <w:sz w:val="20"/>
        </w:rPr>
        <w:t>31</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2024</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2023</w:t>
      </w:r>
    </w:p>
    <w:p>
      <w:pPr>
        <w:pStyle w:val="TextBody"/>
        <w:bidi w:val="0"/>
        <w:spacing w:before="0" w:after="0"/>
        <w:jc w:val="left"/>
        <w:rPr>
          <w:rFonts w:ascii="Times New Roman" w:hAnsi="Times New Roman"/>
          <w:spacing w:val="0"/>
          <w:sz w:val="20"/>
        </w:rPr>
      </w:pPr>
      <w:r>
        <w:rPr>
          <w:rFonts w:ascii="Times New Roman" w:hAnsi="Times New Roman"/>
          <w:spacing w:val="0"/>
          <w:sz w:val="20"/>
        </w:rPr>
        <w:t>, the liability balance of the Company’s accrued losses on accrued purchase commitments equaled $</w:t>
      </w:r>
    </w:p>
    <w:p>
      <w:pPr>
        <w:pStyle w:val="TextBody"/>
        <w:bidi w:val="0"/>
        <w:spacing w:before="0" w:after="0"/>
        <w:jc w:val="left"/>
        <w:rPr>
          <w:rFonts w:ascii="Times New Roman" w:hAnsi="Times New Roman"/>
          <w:sz w:val="20"/>
        </w:rPr>
      </w:pPr>
      <w:r>
        <w:rPr>
          <w:rFonts w:ascii="Times New Roman" w:hAnsi="Times New Roman"/>
          <w:sz w:val="20"/>
        </w:rPr>
        <w:t>0.6</w:t>
      </w:r>
    </w:p>
    <w:p>
      <w:pPr>
        <w:pStyle w:val="TextBody"/>
        <w:bidi w:val="0"/>
        <w:spacing w:before="0" w:after="0"/>
        <w:jc w:val="left"/>
        <w:rPr>
          <w:spacing w:val="0"/>
        </w:rPr>
      </w:pPr>
      <w:r>
        <w:rPr>
          <w:spacing w:val="0"/>
        </w:rPr>
        <w:t> </w:t>
      </w:r>
      <w:r>
        <w:rPr>
          <w:rFonts w:ascii="Times New Roman" w:hAnsi="Times New Roman"/>
          <w:spacing w:val="0"/>
          <w:sz w:val="20"/>
        </w:rPr>
        <w:t>million and $</w:t>
      </w:r>
    </w:p>
    <w:p>
      <w:pPr>
        <w:pStyle w:val="TextBody"/>
        <w:bidi w:val="0"/>
        <w:spacing w:before="0" w:after="0"/>
        <w:jc w:val="left"/>
        <w:rPr>
          <w:rFonts w:ascii="Times New Roman" w:hAnsi="Times New Roman"/>
          <w:sz w:val="20"/>
        </w:rPr>
      </w:pPr>
      <w:r>
        <w:rPr>
          <w:rFonts w:ascii="Times New Roman" w:hAnsi="Times New Roman"/>
          <w:sz w:val="20"/>
        </w:rPr>
        <w:t>3.6</w:t>
      </w:r>
    </w:p>
    <w:p>
      <w:pPr>
        <w:pStyle w:val="TextBody"/>
        <w:bidi w:val="0"/>
        <w:spacing w:before="0" w:after="0"/>
        <w:jc w:val="left"/>
        <w:rPr>
          <w:spacing w:val="0"/>
        </w:rPr>
      </w:pPr>
      <w:r>
        <w:rPr>
          <w:spacing w:val="0"/>
        </w:rPr>
        <w:t> </w:t>
      </w:r>
      <w:r>
        <w:rPr>
          <w:rFonts w:ascii="Times New Roman" w:hAnsi="Times New Roman"/>
          <w:spacing w:val="0"/>
          <w:sz w:val="20"/>
        </w:rPr>
        <w:t>million, respectively, on the consolidated balance sheets.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December </w:t>
      </w:r>
    </w:p>
    <w:p>
      <w:pPr>
        <w:pStyle w:val="TextBody"/>
        <w:bidi w:val="0"/>
        <w:spacing w:before="120" w:after="0"/>
        <w:jc w:val="left"/>
        <w:rPr>
          <w:rFonts w:ascii="Times New Roman" w:hAnsi="Times New Roman"/>
          <w:sz w:val="20"/>
        </w:rPr>
      </w:pPr>
      <w:r>
        <w:rPr>
          <w:rFonts w:ascii="Times New Roman" w:hAnsi="Times New Roman"/>
          <w:sz w:val="20"/>
        </w:rPr>
        <w:t>22</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Merger Agreement as amended (see Note </w:t>
      </w:r>
    </w:p>
    <w:p>
      <w:pPr>
        <w:pStyle w:val="TextBody"/>
        <w:bidi w:val="0"/>
        <w:spacing w:before="120" w:after="0"/>
        <w:jc w:val="left"/>
        <w:rPr>
          <w:rFonts w:ascii="Times New Roman" w:hAnsi="Times New Roman"/>
          <w:sz w:val="20"/>
        </w:rPr>
      </w:pPr>
      <w:r>
        <w:rPr>
          <w:rFonts w:ascii="Times New Roman" w:hAnsi="Times New Roman"/>
          <w:sz w:val="20"/>
        </w:rPr>
        <w:t>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provided that as soon as reasonably practicable following the date of the Merger Agreement, Burkhan and/or its affiliates and/or nominees shall purchase from the Company: (i) convertible promissory notes under the Company’s </w:t>
      </w:r>
    </w:p>
    <w:p>
      <w:pPr>
        <w:pStyle w:val="TextBody"/>
        <w:bidi w:val="0"/>
        <w:spacing w:before="120" w:after="0"/>
        <w:jc w:val="left"/>
        <w:rPr>
          <w:rFonts w:ascii="Times New Roman" w:hAnsi="Times New Roman"/>
          <w:sz w:val="20"/>
        </w:rPr>
      </w:pPr>
      <w:r>
        <w:rPr>
          <w:rFonts w:ascii="Times New Roman" w:hAnsi="Times New Roman"/>
          <w:sz w:val="20"/>
        </w:rPr>
        <w:t>2023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NPA (see Note </w:t>
      </w:r>
    </w:p>
    <w:p>
      <w:pPr>
        <w:pStyle w:val="TextBody"/>
        <w:bidi w:val="0"/>
        <w:spacing w:before="120" w:after="0"/>
        <w:jc w:val="left"/>
        <w:rPr>
          <w:rFonts w:ascii="Times New Roman" w:hAnsi="Times New Roman"/>
          <w:sz w:val="20"/>
        </w:rPr>
      </w:pPr>
      <w:r>
        <w:rPr>
          <w:rFonts w:ascii="Times New Roman" w:hAnsi="Times New Roman"/>
          <w:sz w:val="20"/>
        </w:rPr>
        <w:t>7)</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(ii) the Burkhan Pre-funded Warrant (see Note </w:t>
      </w:r>
    </w:p>
    <w:p>
      <w:pPr>
        <w:pStyle w:val="TextBody"/>
        <w:bidi w:val="0"/>
        <w:spacing w:before="120" w:after="0"/>
        <w:jc w:val="left"/>
        <w:rPr>
          <w:rFonts w:ascii="Times New Roman" w:hAnsi="Times New Roman"/>
          <w:sz w:val="20"/>
        </w:rPr>
      </w:pPr>
      <w:r>
        <w:rPr>
          <w:rFonts w:ascii="Times New Roman" w:hAnsi="Times New Roman"/>
          <w:sz w:val="20"/>
        </w:rPr>
        <w:t>8)</w:t>
      </w:r>
    </w:p>
    <w:p>
      <w:pPr>
        <w:pStyle w:val="TextBody"/>
        <w:bidi w:val="0"/>
        <w:spacing w:before="120" w:after="0"/>
        <w:jc w:val="left"/>
        <w:rPr>
          <w:rFonts w:ascii="Times New Roman" w:hAnsi="Times New Roman"/>
          <w:spacing w:val="0"/>
          <w:sz w:val="20"/>
        </w:rPr>
      </w:pPr>
      <w:r>
        <w:rPr>
          <w:rFonts w:ascii="Times New Roman" w:hAnsi="Times New Roman"/>
          <w:spacing w:val="0"/>
          <w:sz w:val="20"/>
        </w:rPr>
        <w:t>for aggregate gross proceeds to the Company of $</w:t>
      </w:r>
    </w:p>
    <w:p>
      <w:pPr>
        <w:pStyle w:val="TextBody"/>
        <w:bidi w:val="0"/>
        <w:spacing w:before="120" w:after="0"/>
        <w:jc w:val="left"/>
        <w:rPr>
          <w:rFonts w:ascii="Times New Roman" w:hAnsi="Times New Roman"/>
          <w:sz w:val="20"/>
        </w:rPr>
      </w:pPr>
      <w:r>
        <w:rPr>
          <w:rFonts w:ascii="Times New Roman" w:hAnsi="Times New Roman"/>
          <w:sz w:val="20"/>
        </w:rPr>
        <w:t>25.0</w:t>
      </w:r>
    </w:p>
    <w:p>
      <w:pPr>
        <w:pStyle w:val="TextBody"/>
        <w:bidi w:val="0"/>
        <w:spacing w:before="120" w:after="0"/>
        <w:jc w:val="left"/>
        <w:rPr>
          <w:spacing w:val="0"/>
        </w:rPr>
      </w:pPr>
      <w:r>
        <w:rPr>
          <w:spacing w:val="0"/>
        </w:rPr>
        <w:t> </w:t>
      </w:r>
      <w:r>
        <w:rPr>
          <w:rFonts w:ascii="Times New Roman" w:hAnsi="Times New Roman"/>
          <w:spacing w:val="0"/>
          <w:sz w:val="20"/>
        </w:rPr>
        <w:t>million.</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w:t>
      </w:r>
    </w:p>
    <w:p>
      <w:pPr>
        <w:pStyle w:val="TextBody"/>
        <w:bidi w:val="0"/>
        <w:spacing w:before="240" w:after="0"/>
        <w:jc w:val="left"/>
        <w:rPr>
          <w:spacing w:val="0"/>
        </w:rPr>
      </w:pPr>
      <w:r>
        <w:rPr>
          <w:spacing w:val="0"/>
        </w:rPr>
        <w:t> </w:t>
      </w:r>
      <w:r>
        <w:rPr>
          <w:rFonts w:ascii="Times New Roman" w:hAnsi="Times New Roman"/>
          <w:spacing w:val="0"/>
          <w:sz w:val="20"/>
        </w:rPr>
        <w:t xml:space="preserve">addition, </w:t>
      </w:r>
    </w:p>
    <w:p>
      <w:pPr>
        <w:pStyle w:val="TextBody"/>
        <w:bidi w:val="0"/>
        <w:spacing w:before="240" w:after="0"/>
        <w:jc w:val="left"/>
        <w:rPr>
          <w:rFonts w:ascii="Times New Roman" w:hAnsi="Times New Roman"/>
          <w:sz w:val="20"/>
        </w:rPr>
      </w:pPr>
      <w:r>
        <w:rPr>
          <w:rFonts w:ascii="Times New Roman" w:hAnsi="Times New Roman"/>
          <w:sz w:val="20"/>
        </w:rPr>
        <w:t>16,300,000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shares of New Blaize common stock may be issued as earnout shares for a period from the closing of the business combination until the </w:t>
      </w:r>
    </w:p>
    <w:p>
      <w:pPr>
        <w:pStyle w:val="TextBody"/>
        <w:bidi w:val="0"/>
        <w:spacing w:before="240" w:after="0"/>
        <w:jc w:val="left"/>
        <w:rPr>
          <w:rFonts w:ascii="Times New Roman" w:hAnsi="Times New Roman"/>
          <w:sz w:val="20"/>
        </w:rPr>
      </w:pPr>
      <w:r>
        <w:rPr>
          <w:rFonts w:ascii="Times New Roman" w:hAnsi="Times New Roman"/>
          <w:sz w:val="20"/>
        </w:rPr>
        <w:t>five</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w:t>
      </w:r>
    </w:p>
    <w:p>
      <w:pPr>
        <w:pStyle w:val="TextBody"/>
        <w:bidi w:val="0"/>
        <w:spacing w:before="240" w:after="0"/>
        <w:jc w:val="left"/>
        <w:rPr>
          <w:spacing w:val="0"/>
        </w:rPr>
      </w:pPr>
      <w:r>
        <w:rPr>
          <w:spacing w:val="0"/>
        </w:rPr>
        <w:t> </w:t>
      </w:r>
      <w:r>
        <w:rPr>
          <w:rFonts w:ascii="Times New Roman" w:hAnsi="Times New Roman"/>
          <w:spacing w:val="0"/>
          <w:sz w:val="20"/>
        </w:rPr>
        <w:t>April </w:t>
      </w:r>
    </w:p>
    <w:p>
      <w:pPr>
        <w:pStyle w:val="TextBody"/>
        <w:bidi w:val="0"/>
        <w:spacing w:before="240" w:after="0"/>
        <w:jc w:val="left"/>
        <w:rPr>
          <w:rFonts w:ascii="Times New Roman" w:hAnsi="Times New Roman"/>
          <w:sz w:val="20"/>
        </w:rPr>
      </w:pPr>
      <w:r>
        <w:rPr>
          <w:rFonts w:ascii="Times New Roman" w:hAnsi="Times New Roman"/>
          <w:sz w:val="20"/>
        </w:rPr>
        <w:t>22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the Company, BurTech LP LLC, and BurTech entered into a Backstop Subscription Agreement. Pursuant to the Backstop Subscription Agreement, in the event that the amount of cash in BurTech’s trust account following redemptions and before payment of expenses is less than $</w:t>
      </w:r>
    </w:p>
    <w:p>
      <w:pPr>
        <w:pStyle w:val="TextBody"/>
        <w:bidi w:val="0"/>
        <w:spacing w:before="240" w:after="0"/>
        <w:jc w:val="left"/>
        <w:rPr>
          <w:rFonts w:ascii="Times New Roman" w:hAnsi="Times New Roman"/>
          <w:sz w:val="20"/>
        </w:rPr>
      </w:pPr>
      <w:r>
        <w:rPr>
          <w:rFonts w:ascii="Times New Roman" w:hAnsi="Times New Roman"/>
          <w:sz w:val="20"/>
        </w:rPr>
        <w:t>30,000,000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BurTech LP LLC shall purchase, prior to or substantially concurrently with the closing of the Merger, a number of shares of Class A common stock of BurTech equal to the difference between $</w:t>
      </w:r>
    </w:p>
    <w:p>
      <w:pPr>
        <w:pStyle w:val="TextBody"/>
        <w:bidi w:val="0"/>
        <w:spacing w:before="240" w:after="0"/>
        <w:jc w:val="left"/>
        <w:rPr>
          <w:rFonts w:ascii="Times New Roman" w:hAnsi="Times New Roman"/>
          <w:sz w:val="20"/>
        </w:rPr>
      </w:pPr>
      <w:r>
        <w:rPr>
          <w:rFonts w:ascii="Times New Roman" w:hAnsi="Times New Roman"/>
          <w:sz w:val="20"/>
        </w:rPr>
        <w:t>30,000,000</w:t>
      </w:r>
    </w:p>
    <w:p>
      <w:pPr>
        <w:pStyle w:val="TextBody"/>
        <w:bidi w:val="0"/>
        <w:spacing w:before="240" w:after="0"/>
        <w:jc w:val="left"/>
        <w:rPr>
          <w:spacing w:val="0"/>
        </w:rPr>
      </w:pPr>
      <w:r>
        <w:rPr>
          <w:spacing w:val="0"/>
        </w:rPr>
        <w:t> </w:t>
      </w:r>
      <w:r>
        <w:rPr>
          <w:rFonts w:ascii="Times New Roman" w:hAnsi="Times New Roman"/>
          <w:spacing w:val="0"/>
          <w:sz w:val="20"/>
        </w:rPr>
        <w:t>minus the Trust Amount divided by $</w:t>
      </w:r>
    </w:p>
    <w:p>
      <w:pPr>
        <w:pStyle w:val="TextBody"/>
        <w:bidi w:val="0"/>
        <w:spacing w:before="240" w:after="0"/>
        <w:jc w:val="left"/>
        <w:rPr>
          <w:rFonts w:ascii="Times New Roman" w:hAnsi="Times New Roman"/>
          <w:sz w:val="20"/>
        </w:rPr>
      </w:pPr>
      <w:r>
        <w:rPr>
          <w:rFonts w:ascii="Times New Roman" w:hAnsi="Times New Roman"/>
          <w:sz w:val="20"/>
        </w:rPr>
        <w:t>10.00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 share. The April Amendment also amended various definitions and covenants to reflect the funding commitment of the BurTech’s Sponsor pursuant to the Backstop Subscription Agreement.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w:t>
      </w:r>
    </w:p>
    <w:p>
      <w:pPr>
        <w:pStyle w:val="TextBody"/>
        <w:bidi w:val="0"/>
        <w:spacing w:before="240" w:after="0"/>
        <w:jc w:val="left"/>
        <w:rPr>
          <w:rFonts w:ascii="Times New Roman" w:hAnsi="Times New Roman"/>
          <w:spacing w:val="0"/>
          <w:sz w:val="20"/>
        </w:rPr>
      </w:pPr>
      <w:r>
        <w:rPr>
          <w:rFonts w:ascii="Times New Roman" w:hAnsi="Times New Roman"/>
          <w:spacing w:val="0"/>
          <w:sz w:val="20"/>
        </w:rPr>
        <w:t>April </w:t>
      </w:r>
    </w:p>
    <w:p>
      <w:pPr>
        <w:pStyle w:val="TextBody"/>
        <w:bidi w:val="0"/>
        <w:spacing w:before="240" w:after="0"/>
        <w:jc w:val="left"/>
        <w:rPr>
          <w:rFonts w:ascii="Times New Roman" w:hAnsi="Times New Roman"/>
          <w:sz w:val="20"/>
        </w:rPr>
      </w:pPr>
      <w:r>
        <w:rPr>
          <w:rFonts w:ascii="Times New Roman" w:hAnsi="Times New Roman"/>
          <w:sz w:val="20"/>
        </w:rPr>
        <w:t>22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2024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BurTech LP LLC and BurTech entered into a letter agreement. Under this agreement, conditioned upon the occurrence of the closing of the Merger, BurTech LP LLC agreed to forfeit </w:t>
      </w:r>
    </w:p>
    <w:p>
      <w:pPr>
        <w:pStyle w:val="TextBody"/>
        <w:bidi w:val="0"/>
        <w:spacing w:before="240" w:after="0"/>
        <w:jc w:val="left"/>
        <w:rPr>
          <w:rFonts w:ascii="Times New Roman" w:hAnsi="Times New Roman"/>
          <w:sz w:val="20"/>
        </w:rPr>
      </w:pPr>
      <w:r>
        <w:rPr>
          <w:rFonts w:ascii="Times New Roman" w:hAnsi="Times New Roman"/>
          <w:sz w:val="20"/>
        </w:rPr>
        <w:t>2,000,000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BurTech Shares to be effective immediately prior to the closing.</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lock-up</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requirements.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October 24, 2024, BurTech, Merger Sub, the Company and Burkhan entered into an Amendment No. 2 to Agreement and Plan of Merger (the “Second Amendment to Merger Agreement”). The Second Amendment to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F-83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terms and subject to the conditions set forth in the Merger Agreement, on January 13, 2025, the transaction was consummated (see Note 1).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September 19, 2024, the Company entered into an engagement letter with KeyBanc Capital Markets Inc. (“KBCM”) to serve as its (i) exclusive strategic advisor in connection with the Business Combination, (ii) sole and exclusive placement agent for private placement services and (iii) sole and exclusive financial advisor in connection with any potential sale transactions. Pursuant to the engagement, the Company agreed to pay KBCM (i) a strategic advisory fee of $</w:t>
      </w:r>
    </w:p>
    <w:p>
      <w:pPr>
        <w:pStyle w:val="TextBody"/>
        <w:bidi w:val="0"/>
        <w:spacing w:before="120" w:after="0"/>
        <w:jc w:val="left"/>
        <w:rPr>
          <w:rFonts w:ascii="Times New Roman" w:hAnsi="Times New Roman"/>
          <w:sz w:val="20"/>
        </w:rPr>
      </w:pPr>
      <w:r>
        <w:rPr>
          <w:rFonts w:ascii="Times New Roman" w:hAnsi="Times New Roman"/>
          <w:sz w:val="20"/>
        </w:rPr>
        <w:t>1,000,000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upon the Closing of the Business Combination and (ii) a placement fee based on a percentage of the gross proceeds from any private placements or, in the event no private placement is completed by KBCM has used reasonable best efforts to secure such a private placement, a fee of $</w:t>
      </w:r>
    </w:p>
    <w:p>
      <w:pPr>
        <w:pStyle w:val="TextBody"/>
        <w:bidi w:val="0"/>
        <w:spacing w:before="120" w:after="0"/>
        <w:jc w:val="left"/>
        <w:rPr>
          <w:rFonts w:ascii="Times New Roman" w:hAnsi="Times New Roman"/>
          <w:sz w:val="20"/>
        </w:rPr>
      </w:pPr>
      <w:r>
        <w:rPr>
          <w:rFonts w:ascii="Times New Roman" w:hAnsi="Times New Roman"/>
          <w:sz w:val="20"/>
        </w:rPr>
        <w:t>500,000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promptly (but not later than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 business days</w:t>
      </w:r>
    </w:p>
    <w:p>
      <w:pPr>
        <w:pStyle w:val="TextBody"/>
        <w:bidi w:val="0"/>
        <w:spacing w:before="120" w:after="0"/>
        <w:jc w:val="left"/>
        <w:rPr>
          <w:rFonts w:ascii="Times New Roman" w:hAnsi="Times New Roman"/>
          <w:spacing w:val="0"/>
          <w:sz w:val="20"/>
        </w:rPr>
      </w:pPr>
      <w:r>
        <w:rPr>
          <w:rFonts w:ascii="Times New Roman" w:hAnsi="Times New Roman"/>
          <w:spacing w:val="0"/>
          <w:sz w:val="20"/>
        </w:rPr>
        <w:t>) following the close of the Business Combination. Additionally, a sale transaction fee will be paid, calculated as the greater of $</w:t>
      </w:r>
    </w:p>
    <w:p>
      <w:pPr>
        <w:pStyle w:val="TextBody"/>
        <w:bidi w:val="0"/>
        <w:spacing w:before="120" w:after="0"/>
        <w:jc w:val="left"/>
        <w:rPr>
          <w:rFonts w:ascii="Times New Roman" w:hAnsi="Times New Roman"/>
          <w:sz w:val="20"/>
        </w:rPr>
      </w:pPr>
      <w:r>
        <w:rPr>
          <w:rFonts w:ascii="Times New Roman" w:hAnsi="Times New Roman"/>
          <w:sz w:val="20"/>
        </w:rPr>
        <w:t>3,000,000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or </w:t>
      </w:r>
    </w:p>
    <w:p>
      <w:pPr>
        <w:pStyle w:val="TextBody"/>
        <w:bidi w:val="0"/>
        <w:spacing w:before="120" w:after="0"/>
        <w:jc w:val="left"/>
        <w:rPr>
          <w:rFonts w:ascii="Times New Roman" w:hAnsi="Times New Roman"/>
          <w:sz w:val="20"/>
        </w:rPr>
      </w:pPr>
      <w:r>
        <w:rPr>
          <w:rFonts w:ascii="Times New Roman" w:hAnsi="Times New Roman"/>
          <w:sz w:val="20"/>
        </w:rPr>
        <w:t>1</w:t>
      </w:r>
    </w:p>
    <w:p>
      <w:pPr>
        <w:pStyle w:val="TextBody"/>
        <w:bidi w:val="0"/>
        <w:spacing w:before="120" w:after="0"/>
        <w:jc w:val="left"/>
        <w:rPr>
          <w:rFonts w:ascii="Times New Roman" w:hAnsi="Times New Roman"/>
          <w:spacing w:val="0"/>
          <w:sz w:val="20"/>
        </w:rPr>
      </w:pPr>
      <w:r>
        <w:rPr>
          <w:rFonts w:ascii="Times New Roman" w:hAnsi="Times New Roman"/>
          <w:spacing w:val="0"/>
          <w:sz w:val="20"/>
        </w:rPr>
        <w:t>% of the transaction value.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October 24, 2024, contingent upon the close of the proposed merger on or before December 31, 2024 and continued employment or services to the Company on the applicable grant date, the Company’s Board of Directors approved the issuance of </w:t>
      </w:r>
    </w:p>
    <w:p>
      <w:pPr>
        <w:pStyle w:val="TextBody"/>
        <w:bidi w:val="0"/>
        <w:spacing w:before="240" w:after="0"/>
        <w:jc w:val="left"/>
        <w:rPr>
          <w:rFonts w:ascii="Times New Roman" w:hAnsi="Times New Roman"/>
          <w:sz w:val="20"/>
        </w:rPr>
      </w:pPr>
      <w:r>
        <w:rPr>
          <w:rFonts w:ascii="Times New Roman" w:hAnsi="Times New Roman"/>
          <w:sz w:val="20"/>
        </w:rPr>
        <w:t>6,936,285</w:t>
      </w:r>
    </w:p>
    <w:p>
      <w:pPr>
        <w:pStyle w:val="TextBody"/>
        <w:bidi w:val="0"/>
        <w:spacing w:before="240" w:after="0"/>
        <w:jc w:val="left"/>
        <w:rPr>
          <w:rFonts w:ascii="Times New Roman" w:hAnsi="Times New Roman"/>
          <w:spacing w:val="0"/>
          <w:sz w:val="20"/>
        </w:rPr>
      </w:pPr>
      <w:r>
        <w:rPr>
          <w:rFonts w:ascii="Times New Roman" w:hAnsi="Times New Roman"/>
          <w:spacing w:val="0"/>
          <w:sz w:val="20"/>
        </w:rPr>
        <w:t>restricted stock units under the New Blaize equity plan.</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 December 2024, the Company entered into an agreement for capital market services which included advisory services and a finder’s fee, for which payment was due upon the close of the Merger (see Note 1). Under the terms of the agreement, at the discretion of the Company, the advisory fee of $</w:t>
      </w:r>
    </w:p>
    <w:p>
      <w:pPr>
        <w:pStyle w:val="TextBody"/>
        <w:bidi w:val="0"/>
        <w:spacing w:before="240" w:after="0"/>
        <w:jc w:val="left"/>
        <w:rPr>
          <w:rFonts w:ascii="Times New Roman" w:hAnsi="Times New Roman"/>
          <w:sz w:val="20"/>
        </w:rPr>
      </w:pPr>
      <w:r>
        <w:rPr>
          <w:rFonts w:ascii="Times New Roman" w:hAnsi="Times New Roman"/>
          <w:sz w:val="20"/>
        </w:rPr>
        <w:t>0.8</w:t>
      </w:r>
    </w:p>
    <w:p>
      <w:pPr>
        <w:pStyle w:val="TextBody"/>
        <w:bidi w:val="0"/>
        <w:spacing w:before="240" w:after="0"/>
        <w:jc w:val="left"/>
        <w:rPr>
          <w:spacing w:val="0"/>
        </w:rPr>
      </w:pPr>
      <w:r>
        <w:rPr>
          <w:spacing w:val="0"/>
        </w:rPr>
        <w:t> </w:t>
      </w:r>
      <w:r>
        <w:rPr>
          <w:rFonts w:ascii="Times New Roman" w:hAnsi="Times New Roman"/>
          <w:spacing w:val="0"/>
          <w:sz w:val="20"/>
        </w:rPr>
        <w:t>million is to be paid in the form of (i) cash and (ii) cash or a combination of cash and shares of common stock of New Blaize at a price of $</w:t>
      </w:r>
    </w:p>
    <w:p>
      <w:pPr>
        <w:pStyle w:val="TextBody"/>
        <w:bidi w:val="0"/>
        <w:spacing w:before="240" w:after="0"/>
        <w:jc w:val="left"/>
        <w:rPr>
          <w:rFonts w:ascii="Times New Roman" w:hAnsi="Times New Roman"/>
          <w:sz w:val="20"/>
        </w:rPr>
      </w:pPr>
      <w:r>
        <w:rPr>
          <w:rFonts w:ascii="Times New Roman" w:hAnsi="Times New Roman"/>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 share at various dates in 2025. The finder’s fee, equal to a specified percentage of the trust value for the Company’s shares held by investors introduced by the advisor, is to be paid fifty percent in cash and fifty-percent in shares of New Blaize at a price of $</w:t>
      </w:r>
    </w:p>
    <w:p>
      <w:pPr>
        <w:pStyle w:val="TextBody"/>
        <w:bidi w:val="0"/>
        <w:spacing w:before="240" w:after="0"/>
        <w:jc w:val="left"/>
        <w:rPr>
          <w:rFonts w:ascii="Times New Roman" w:hAnsi="Times New Roman"/>
          <w:sz w:val="20"/>
        </w:rPr>
      </w:pPr>
      <w:r>
        <w:rPr>
          <w:rFonts w:ascii="Times New Roman" w:hAnsi="Times New Roman"/>
          <w:sz w:val="20"/>
        </w:rPr>
        <w:t>10.00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 share, concurrent with the close of the Meger. The Company</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recognized $</w:t>
      </w:r>
    </w:p>
    <w:p>
      <w:pPr>
        <w:pStyle w:val="TextBody"/>
        <w:bidi w:val="0"/>
        <w:spacing w:before="0" w:after="0"/>
        <w:jc w:val="left"/>
        <w:rPr>
          <w:rFonts w:ascii="Times New Roman" w:hAnsi="Times New Roman"/>
          <w:sz w:val="20"/>
        </w:rPr>
      </w:pPr>
      <w:r>
        <w:rPr>
          <w:rFonts w:ascii="Times New Roman" w:hAnsi="Times New Roman"/>
          <w:sz w:val="20"/>
        </w:rPr>
        <w:t>0.6</w:t>
      </w:r>
    </w:p>
    <w:p>
      <w:pPr>
        <w:pStyle w:val="TextBody"/>
        <w:bidi w:val="0"/>
        <w:spacing w:before="0" w:after="0"/>
        <w:jc w:val="left"/>
        <w:rPr>
          <w:spacing w:val="0"/>
        </w:rPr>
      </w:pPr>
      <w:r>
        <w:rPr>
          <w:spacing w:val="0"/>
        </w:rPr>
        <w:t> </w:t>
      </w:r>
      <w:r>
        <w:rPr>
          <w:rFonts w:ascii="Times New Roman" w:hAnsi="Times New Roman"/>
          <w:spacing w:val="0"/>
          <w:sz w:val="20"/>
        </w:rPr>
        <w:t>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w:t>
      </w:r>
    </w:p>
    <w:p>
      <w:pPr>
        <w:pStyle w:val="TextBody"/>
        <w:bidi w:val="0"/>
        <w:spacing w:before="0" w:after="0"/>
        <w:jc w:val="left"/>
        <w:rPr>
          <w:rFonts w:ascii="Times New Roman" w:hAnsi="Times New Roman"/>
          <w:sz w:val="20"/>
        </w:rPr>
      </w:pPr>
      <w:r>
        <w:rPr>
          <w:rFonts w:ascii="Times New Roman" w:hAnsi="Times New Roman"/>
          <w:sz w:val="20"/>
        </w:rPr>
        <w:t>10</w:t>
      </w:r>
    </w:p>
    <w:p>
      <w:pPr>
        <w:pStyle w:val="TextBody"/>
        <w:bidi w:val="0"/>
        <w:spacing w:before="0" w:after="0"/>
        <w:jc w:val="left"/>
        <w:rPr>
          <w:rFonts w:ascii="Times New Roman" w:hAnsi="Times New Roman"/>
          <w:spacing w:val="0"/>
          <w:sz w:val="20"/>
        </w:rPr>
      </w:pPr>
      <w:r>
        <w:rPr>
          <w:rFonts w:ascii="Times New Roman" w:hAnsi="Times New Roman"/>
          <w:spacing w:val="0"/>
          <w:sz w:val="20"/>
        </w:rPr>
        <w:t>per share (subject to a $</w:t>
      </w:r>
    </w:p>
    <w:p>
      <w:pPr>
        <w:pStyle w:val="TextBody"/>
        <w:bidi w:val="0"/>
        <w:spacing w:before="0" w:after="0"/>
        <w:jc w:val="left"/>
        <w:rPr>
          <w:rFonts w:ascii="Times New Roman" w:hAnsi="Times New Roman"/>
          <w:sz w:val="20"/>
        </w:rPr>
      </w:pPr>
      <w:r>
        <w:rPr>
          <w:rFonts w:ascii="Times New Roman" w:hAnsi="Times New Roman"/>
          <w:sz w:val="20"/>
        </w:rPr>
        <w:t>1.00</w:t>
      </w:r>
    </w:p>
    <w:p>
      <w:pPr>
        <w:pStyle w:val="TextBody"/>
        <w:bidi w:val="0"/>
        <w:spacing w:before="0" w:after="0"/>
        <w:jc w:val="left"/>
        <w:rPr>
          <w:rFonts w:ascii="Times New Roman" w:hAnsi="Times New Roman"/>
          <w:spacing w:val="0"/>
          <w:sz w:val="20"/>
        </w:rPr>
      </w:pPr>
      <w:r>
        <w:rPr>
          <w:rFonts w:ascii="Times New Roman" w:hAnsi="Times New Roman"/>
          <w:spacing w:val="0"/>
          <w:sz w:val="20"/>
        </w:rPr>
        <w:t>per share floor), within two days the Company shall issue an additional number of common shares equal to the number obtained by dividing (i) the product of the number of shares held as of the Reset Date and $</w:t>
      </w:r>
    </w:p>
    <w:p>
      <w:pPr>
        <w:pStyle w:val="TextBody"/>
        <w:bidi w:val="0"/>
        <w:spacing w:before="0" w:after="0"/>
        <w:jc w:val="left"/>
        <w:rPr>
          <w:rFonts w:ascii="Times New Roman" w:hAnsi="Times New Roman"/>
          <w:sz w:val="20"/>
        </w:rPr>
      </w:pPr>
      <w:r>
        <w:rPr>
          <w:rFonts w:ascii="Times New Roman" w:hAnsi="Times New Roman"/>
          <w:sz w:val="20"/>
        </w:rPr>
        <w:t>10.00</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by (ii) the Reset Price, less the number of sharing shares held, provided that the additional shares shall not exceed </w:t>
      </w:r>
    </w:p>
    <w:p>
      <w:pPr>
        <w:pStyle w:val="TextBody"/>
        <w:bidi w:val="0"/>
        <w:spacing w:before="0" w:after="0"/>
        <w:jc w:val="left"/>
        <w:rPr>
          <w:rFonts w:ascii="Times New Roman" w:hAnsi="Times New Roman"/>
          <w:sz w:val="20"/>
        </w:rPr>
      </w:pPr>
      <w:r>
        <w:rPr>
          <w:rFonts w:ascii="Times New Roman" w:hAnsi="Times New Roman"/>
          <w:sz w:val="20"/>
        </w:rPr>
        <w:t>300,000</w:t>
      </w:r>
    </w:p>
    <w:p>
      <w:pPr>
        <w:pStyle w:val="TextBody"/>
        <w:bidi w:val="0"/>
        <w:spacing w:before="0" w:after="0"/>
        <w:jc w:val="left"/>
        <w:rPr>
          <w:rFonts w:ascii="Times New Roman" w:hAnsi="Times New Roman"/>
          <w:spacing w:val="0"/>
          <w:sz w:val="20"/>
        </w:rPr>
      </w:pPr>
      <w:r>
        <w:rPr>
          <w:rFonts w:ascii="Times New Roman" w:hAnsi="Times New Roman"/>
          <w:spacing w:val="0"/>
          <w:sz w:val="20"/>
        </w:rPr>
        <w:t>.</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13. Related Party Transactions and Balances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During the year ended December 31, 2024, the Company recognized revenues of approximately $</w:t>
      </w:r>
    </w:p>
    <w:p>
      <w:pPr>
        <w:pStyle w:val="TextBody"/>
        <w:bidi w:val="0"/>
        <w:spacing w:before="120" w:after="0"/>
        <w:jc w:val="left"/>
        <w:rPr>
          <w:rFonts w:ascii="Times New Roman" w:hAnsi="Times New Roman"/>
          <w:sz w:val="20"/>
        </w:rPr>
      </w:pPr>
      <w:r>
        <w:rPr>
          <w:rFonts w:ascii="Times New Roman" w:hAnsi="Times New Roman"/>
          <w:sz w:val="20"/>
        </w:rPr>
        <w:t>1.5</w:t>
      </w:r>
    </w:p>
    <w:p>
      <w:pPr>
        <w:pStyle w:val="TextBody"/>
        <w:bidi w:val="0"/>
        <w:spacing w:before="120" w:after="0"/>
        <w:jc w:val="left"/>
        <w:rPr>
          <w:spacing w:val="0"/>
        </w:rPr>
      </w:pPr>
      <w:r>
        <w:rPr>
          <w:spacing w:val="0"/>
        </w:rPr>
        <w:t> </w:t>
      </w:r>
      <w:r>
        <w:rPr>
          <w:rFonts w:ascii="Times New Roman" w:hAnsi="Times New Roman"/>
          <w:spacing w:val="0"/>
          <w:sz w:val="20"/>
        </w:rPr>
        <w:t xml:space="preserve">million, or approximately </w:t>
      </w:r>
    </w:p>
    <w:p>
      <w:pPr>
        <w:pStyle w:val="TextBody"/>
        <w:bidi w:val="0"/>
        <w:spacing w:before="120" w:after="0"/>
        <w:jc w:val="left"/>
        <w:rPr>
          <w:rFonts w:ascii="Times New Roman" w:hAnsi="Times New Roman"/>
          <w:sz w:val="20"/>
        </w:rPr>
      </w:pPr>
      <w:r>
        <w:rPr>
          <w:rFonts w:ascii="Times New Roman" w:hAnsi="Times New Roman"/>
          <w:sz w:val="20"/>
        </w:rPr>
        <w:t>98</w:t>
      </w:r>
    </w:p>
    <w:p>
      <w:pPr>
        <w:pStyle w:val="TextBody"/>
        <w:bidi w:val="0"/>
        <w:spacing w:before="120" w:after="0"/>
        <w:jc w:val="left"/>
        <w:rPr>
          <w:rFonts w:ascii="Times New Roman" w:hAnsi="Times New Roman"/>
          <w:spacing w:val="0"/>
          <w:sz w:val="20"/>
        </w:rPr>
      </w:pPr>
      <w:r>
        <w:rPr>
          <w:rFonts w:ascii="Times New Roman" w:hAnsi="Times New Roman"/>
          <w:spacing w:val="0"/>
          <w:sz w:val="20"/>
        </w:rPr>
        <w:t>% of its total revenue, from sales to two minority stockholders. During the year ended December 31, 2023, the Company recognized revenues of approximately $</w:t>
      </w:r>
    </w:p>
    <w:p>
      <w:pPr>
        <w:pStyle w:val="TextBody"/>
        <w:bidi w:val="0"/>
        <w:spacing w:before="120" w:after="0"/>
        <w:jc w:val="left"/>
        <w:rPr>
          <w:rFonts w:ascii="Times New Roman" w:hAnsi="Times New Roman"/>
          <w:sz w:val="20"/>
        </w:rPr>
      </w:pPr>
      <w:r>
        <w:rPr>
          <w:rFonts w:ascii="Times New Roman" w:hAnsi="Times New Roman"/>
          <w:sz w:val="20"/>
        </w:rPr>
        <w:t>3.8</w:t>
      </w:r>
    </w:p>
    <w:p>
      <w:pPr>
        <w:pStyle w:val="TextBody"/>
        <w:bidi w:val="0"/>
        <w:spacing w:before="120" w:after="0"/>
        <w:jc w:val="left"/>
        <w:rPr>
          <w:spacing w:val="0"/>
        </w:rPr>
      </w:pPr>
      <w:r>
        <w:rPr>
          <w:spacing w:val="0"/>
        </w:rPr>
        <w:t> </w:t>
      </w:r>
      <w:r>
        <w:rPr>
          <w:rFonts w:ascii="Times New Roman" w:hAnsi="Times New Roman"/>
          <w:spacing w:val="0"/>
          <w:sz w:val="20"/>
        </w:rPr>
        <w:t xml:space="preserve">million, or nearly </w:t>
      </w:r>
    </w:p>
    <w:p>
      <w:pPr>
        <w:pStyle w:val="TextBody"/>
        <w:bidi w:val="0"/>
        <w:spacing w:before="120" w:after="0"/>
        <w:jc w:val="left"/>
        <w:rPr>
          <w:rFonts w:ascii="Times New Roman" w:hAnsi="Times New Roman"/>
          <w:sz w:val="20"/>
        </w:rPr>
      </w:pPr>
      <w:r>
        <w:rPr>
          <w:rFonts w:ascii="Times New Roman" w:hAnsi="Times New Roman"/>
          <w:sz w:val="20"/>
        </w:rPr>
        <w:t>100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of its total revenue, from sales to one minority stockholders. As of December 31, 2024 and 2023, there was zero and $</w:t>
      </w:r>
    </w:p>
    <w:p>
      <w:pPr>
        <w:pStyle w:val="TextBody"/>
        <w:bidi w:val="0"/>
        <w:spacing w:before="120" w:after="0"/>
        <w:jc w:val="left"/>
        <w:rPr>
          <w:rFonts w:ascii="Times New Roman" w:hAnsi="Times New Roman"/>
          <w:sz w:val="20"/>
        </w:rPr>
      </w:pPr>
      <w:r>
        <w:rPr>
          <w:rFonts w:ascii="Times New Roman" w:hAnsi="Times New Roman"/>
          <w:sz w:val="20"/>
        </w:rPr>
        <w:t>0.5</w:t>
      </w:r>
    </w:p>
    <w:p>
      <w:pPr>
        <w:pStyle w:val="TextBody"/>
        <w:bidi w:val="0"/>
        <w:spacing w:before="120" w:after="0"/>
        <w:jc w:val="left"/>
        <w:rPr>
          <w:spacing w:val="0"/>
        </w:rPr>
      </w:pPr>
      <w:r>
        <w:rPr>
          <w:spacing w:val="0"/>
        </w:rPr>
        <w:t> </w:t>
      </w:r>
      <w:r>
        <w:rPr>
          <w:rFonts w:ascii="Times New Roman" w:hAnsi="Times New Roman"/>
          <w:spacing w:val="0"/>
          <w:sz w:val="20"/>
        </w:rPr>
        <w:t>million of accounts receivables from one of these customers, respectively, all of which was unbilled.</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In November 2023, the Company executed a $</w:t>
      </w:r>
    </w:p>
    <w:p>
      <w:pPr>
        <w:pStyle w:val="TextBody"/>
        <w:bidi w:val="0"/>
        <w:spacing w:before="240" w:after="0"/>
        <w:jc w:val="left"/>
        <w:rPr>
          <w:rFonts w:ascii="Times New Roman" w:hAnsi="Times New Roman"/>
          <w:sz w:val="20"/>
        </w:rPr>
      </w:pPr>
      <w:r>
        <w:rPr>
          <w:rFonts w:ascii="Times New Roman" w:hAnsi="Times New Roman"/>
          <w:sz w:val="20"/>
        </w:rPr>
        <w:t>4.0</w:t>
      </w:r>
    </w:p>
    <w:p>
      <w:pPr>
        <w:pStyle w:val="TextBody"/>
        <w:bidi w:val="0"/>
        <w:spacing w:before="240" w:after="0"/>
        <w:jc w:val="left"/>
        <w:rPr>
          <w:spacing w:val="0"/>
        </w:rPr>
      </w:pPr>
      <w:r>
        <w:rPr>
          <w:spacing w:val="0"/>
        </w:rPr>
        <w:t> </w:t>
      </w:r>
      <w:r>
        <w:rPr>
          <w:rFonts w:ascii="Times New Roman" w:hAnsi="Times New Roman"/>
          <w:spacing w:val="0"/>
          <w:sz w:val="20"/>
        </w:rPr>
        <w:t xml:space="preserve">million demand note (see Note 7) with a related party investor holding more than a </w:t>
      </w:r>
    </w:p>
    <w:p>
      <w:pPr>
        <w:pStyle w:val="TextBody"/>
        <w:bidi w:val="0"/>
        <w:spacing w:before="240" w:after="0"/>
        <w:jc w:val="left"/>
        <w:rPr>
          <w:rFonts w:ascii="Times New Roman" w:hAnsi="Times New Roman"/>
          <w:sz w:val="20"/>
        </w:rPr>
      </w:pPr>
      <w:r>
        <w:rPr>
          <w:rFonts w:ascii="Times New Roman" w:hAnsi="Times New Roman"/>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w:t>
      </w:r>
    </w:p>
    <w:p>
      <w:pPr>
        <w:pStyle w:val="TextBody"/>
        <w:bidi w:val="0"/>
        <w:spacing w:before="240" w:after="0"/>
        <w:jc w:val="left"/>
        <w:rPr>
          <w:rFonts w:ascii="Times New Roman" w:hAnsi="Times New Roman"/>
          <w:sz w:val="20"/>
        </w:rPr>
      </w:pPr>
      <w:r>
        <w:rPr>
          <w:rFonts w:ascii="Times New Roman" w:hAnsi="Times New Roman"/>
          <w:sz w:val="20"/>
        </w:rPr>
        <w:t>5.0</w:t>
      </w:r>
    </w:p>
    <w:p>
      <w:pPr>
        <w:pStyle w:val="TextBody"/>
        <w:bidi w:val="0"/>
        <w:spacing w:before="240" w:after="0"/>
        <w:jc w:val="left"/>
        <w:rPr>
          <w:spacing w:val="0"/>
        </w:rPr>
      </w:pPr>
      <w:r>
        <w:rPr>
          <w:spacing w:val="0"/>
        </w:rPr>
        <w:t> </w:t>
      </w:r>
      <w:r>
        <w:rPr>
          <w:rFonts w:ascii="Times New Roman" w:hAnsi="Times New Roman"/>
          <w:spacing w:val="0"/>
          <w:sz w:val="20"/>
        </w:rPr>
        <w:t xml:space="preserve">million or </w:t>
      </w:r>
    </w:p>
    <w:p>
      <w:pPr>
        <w:pStyle w:val="TextBody"/>
        <w:bidi w:val="0"/>
        <w:spacing w:before="240" w:after="0"/>
        <w:jc w:val="left"/>
        <w:rPr>
          <w:rFonts w:ascii="Times New Roman" w:hAnsi="Times New Roman"/>
          <w:sz w:val="20"/>
        </w:rPr>
      </w:pPr>
      <w:r>
        <w:rPr>
          <w:rFonts w:ascii="Times New Roman" w:hAnsi="Times New Roman"/>
          <w:sz w:val="20"/>
        </w:rPr>
        <w:t>41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z w:val="20"/>
        </w:rPr>
      </w:pPr>
      <w:r>
        <w:rPr>
          <w:rFonts w:ascii="Times New Roman" w:hAnsi="Times New Roman"/>
          <w:sz w:val="20"/>
        </w:rPr>
        <w:t>6.9</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8.0</w:t>
      </w:r>
    </w:p>
    <w:p>
      <w:pPr>
        <w:pStyle w:val="TextBody"/>
        <w:bidi w:val="0"/>
        <w:spacing w:before="240" w:after="0"/>
        <w:jc w:val="left"/>
        <w:rPr>
          <w:spacing w:val="0"/>
        </w:rPr>
      </w:pPr>
      <w:r>
        <w:rPr>
          <w:spacing w:val="0"/>
        </w:rPr>
        <w:t> </w:t>
      </w:r>
      <w:r>
        <w:rPr>
          <w:rFonts w:ascii="Times New Roman" w:hAnsi="Times New Roman"/>
          <w:spacing w:val="0"/>
          <w:sz w:val="20"/>
        </w:rPr>
        <w:t>million, respectively. As of December 31, 2023, the related party 2023 Convertible Note and 2023 Convertible Note Warrants approximate $</w:t>
      </w:r>
    </w:p>
    <w:p>
      <w:pPr>
        <w:pStyle w:val="TextBody"/>
        <w:bidi w:val="0"/>
        <w:spacing w:before="240" w:after="0"/>
        <w:jc w:val="left"/>
        <w:rPr>
          <w:rFonts w:ascii="Times New Roman" w:hAnsi="Times New Roman"/>
          <w:sz w:val="20"/>
        </w:rPr>
      </w:pPr>
      <w:r>
        <w:rPr>
          <w:rFonts w:ascii="Times New Roman" w:hAnsi="Times New Roman"/>
          <w:sz w:val="20"/>
        </w:rPr>
        <w:t>7.3</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0.9</w:t>
      </w:r>
    </w:p>
    <w:p>
      <w:pPr>
        <w:pStyle w:val="TextBody"/>
        <w:bidi w:val="0"/>
        <w:spacing w:before="240" w:after="0"/>
        <w:jc w:val="left"/>
        <w:rPr>
          <w:spacing w:val="0"/>
        </w:rPr>
      </w:pPr>
      <w:r>
        <w:rPr>
          <w:spacing w:val="0"/>
        </w:rPr>
        <w:t> </w:t>
      </w:r>
      <w:r>
        <w:rPr>
          <w:rFonts w:ascii="Times New Roman" w:hAnsi="Times New Roman"/>
          <w:spacing w:val="0"/>
          <w:sz w:val="20"/>
        </w:rPr>
        <w:t>million, respectively. During the years ended December 31, 2024 and 2023, the change in fair value for the 2023 Convertible Note equaled $</w:t>
      </w:r>
    </w:p>
    <w:p>
      <w:pPr>
        <w:pStyle w:val="TextBody"/>
        <w:bidi w:val="0"/>
        <w:spacing w:before="240" w:after="0"/>
        <w:jc w:val="left"/>
        <w:rPr>
          <w:rFonts w:ascii="Times New Roman" w:hAnsi="Times New Roman"/>
          <w:sz w:val="20"/>
        </w:rPr>
      </w:pPr>
      <w:r>
        <w:rPr>
          <w:rFonts w:ascii="Times New Roman" w:hAnsi="Times New Roman"/>
          <w:sz w:val="20"/>
        </w:rPr>
        <w:t>0.4</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3.0</w:t>
      </w:r>
    </w:p>
    <w:p>
      <w:pPr>
        <w:pStyle w:val="TextBody"/>
        <w:bidi w:val="0"/>
        <w:spacing w:before="240" w:after="0"/>
        <w:jc w:val="left"/>
        <w:rPr>
          <w:spacing w:val="0"/>
        </w:rPr>
      </w:pPr>
      <w:r>
        <w:rPr>
          <w:spacing w:val="0"/>
        </w:rPr>
        <w:t> </w:t>
      </w:r>
      <w:r>
        <w:rPr>
          <w:rFonts w:ascii="Times New Roman" w:hAnsi="Times New Roman"/>
          <w:spacing w:val="0"/>
          <w:sz w:val="20"/>
        </w:rPr>
        <w:t>million, respectively (see Note 4). During the years ended December 31, 2024 and 2023, the change in fair value for the 2023 Convertible Note Warrants equaled $</w:t>
      </w:r>
    </w:p>
    <w:p>
      <w:pPr>
        <w:pStyle w:val="TextBody"/>
        <w:bidi w:val="0"/>
        <w:spacing w:before="240" w:after="0"/>
        <w:jc w:val="left"/>
        <w:rPr>
          <w:rFonts w:ascii="Times New Roman" w:hAnsi="Times New Roman"/>
          <w:sz w:val="20"/>
        </w:rPr>
      </w:pPr>
      <w:r>
        <w:rPr>
          <w:rFonts w:ascii="Times New Roman" w:hAnsi="Times New Roman"/>
          <w:sz w:val="20"/>
        </w:rPr>
        <w:t>0.8</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0.2 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million, respectively (see Note 4). In conjunction with the issuance of the 2023 Convertible Note, the Company issued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RSUs to the investor. The issuance date fair value of the RSUs was recognized as a financing charge (see Note 8). In December 2023, the terms of the RSUs were modified resulting in accelerated vesting and immediate issuance of </w:t>
      </w:r>
    </w:p>
    <w:p>
      <w:pPr>
        <w:pStyle w:val="TextBody"/>
        <w:bidi w:val="0"/>
        <w:spacing w:before="240" w:after="0"/>
        <w:jc w:val="left"/>
        <w:rPr>
          <w:rFonts w:ascii="Times New Roman" w:hAnsi="Times New Roman"/>
          <w:sz w:val="20"/>
        </w:rPr>
      </w:pPr>
      <w:r>
        <w:rPr>
          <w:rFonts w:ascii="Times New Roman" w:hAnsi="Times New Roman"/>
          <w:sz w:val="20"/>
        </w:rPr>
        <w:t>6,000,000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common stock shares for which incremental stock-based compensation expense was recorded (see Note 11).</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January 2023, one of the minority investors with which the Company had a revenue arrangement, representing </w:t>
      </w:r>
    </w:p>
    <w:p>
      <w:pPr>
        <w:pStyle w:val="TextBody"/>
        <w:bidi w:val="0"/>
        <w:spacing w:before="240" w:after="0"/>
        <w:jc w:val="left"/>
        <w:rPr>
          <w:rFonts w:ascii="Times New Roman" w:hAnsi="Times New Roman"/>
          <w:sz w:val="20"/>
        </w:rPr>
      </w:pPr>
      <w:r>
        <w:rPr>
          <w:rFonts w:ascii="Times New Roman" w:hAnsi="Times New Roman"/>
          <w:sz w:val="20"/>
        </w:rPr>
        <w:t>21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zero</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percent of revenue for the years ended December 31, 2024 and 2023, also invested in a P2P Note (see Note 7) in the amount of $</w:t>
      </w:r>
    </w:p>
    <w:p>
      <w:pPr>
        <w:pStyle w:val="TextBody"/>
        <w:bidi w:val="0"/>
        <w:spacing w:before="240" w:after="0"/>
        <w:jc w:val="left"/>
        <w:rPr>
          <w:rFonts w:ascii="Times New Roman" w:hAnsi="Times New Roman"/>
          <w:sz w:val="20"/>
        </w:rPr>
      </w:pPr>
      <w:r>
        <w:rPr>
          <w:rFonts w:ascii="Times New Roman" w:hAnsi="Times New Roman"/>
          <w:sz w:val="20"/>
        </w:rPr>
        <w:t>3.3</w:t>
      </w:r>
    </w:p>
    <w:p>
      <w:pPr>
        <w:pStyle w:val="TextBody"/>
        <w:bidi w:val="0"/>
        <w:spacing w:before="240" w:after="0"/>
        <w:jc w:val="left"/>
        <w:rPr>
          <w:spacing w:val="0"/>
        </w:rPr>
      </w:pPr>
      <w:r>
        <w:rPr>
          <w:spacing w:val="0"/>
        </w:rPr>
        <w:t> </w:t>
      </w:r>
      <w:r>
        <w:rPr>
          <w:rFonts w:ascii="Times New Roman" w:hAnsi="Times New Roman"/>
          <w:spacing w:val="0"/>
          <w:sz w:val="20"/>
        </w:rPr>
        <w:t xml:space="preserve">million or </w:t>
      </w:r>
    </w:p>
    <w:p>
      <w:pPr>
        <w:pStyle w:val="TextBody"/>
        <w:bidi w:val="0"/>
        <w:spacing w:before="240" w:after="0"/>
        <w:jc w:val="left"/>
        <w:rPr>
          <w:rFonts w:ascii="Times New Roman" w:hAnsi="Times New Roman"/>
          <w:sz w:val="20"/>
        </w:rPr>
      </w:pPr>
      <w:r>
        <w:rPr>
          <w:rFonts w:ascii="Times New Roman" w:hAnsi="Times New Roman"/>
          <w:sz w:val="20"/>
        </w:rPr>
        <w:t>35</w:t>
      </w:r>
    </w:p>
    <w:p>
      <w:pPr>
        <w:pStyle w:val="TextBody"/>
        <w:bidi w:val="0"/>
        <w:spacing w:before="240" w:after="0"/>
        <w:jc w:val="left"/>
        <w:rPr>
          <w:rFonts w:ascii="Times New Roman" w:hAnsi="Times New Roman"/>
          <w:spacing w:val="0"/>
          <w:sz w:val="20"/>
        </w:rPr>
      </w:pPr>
      <w:r>
        <w:rPr>
          <w:rFonts w:ascii="Times New Roman" w:hAnsi="Times New Roman"/>
          <w:spacing w:val="0"/>
          <w:sz w:val="20"/>
        </w:rPr>
        <w:t>%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w:t>
      </w:r>
    </w:p>
    <w:p>
      <w:pPr>
        <w:pStyle w:val="TextBody"/>
        <w:bidi w:val="0"/>
        <w:spacing w:before="240" w:after="0"/>
        <w:jc w:val="left"/>
        <w:rPr>
          <w:rFonts w:ascii="Times New Roman" w:hAnsi="Times New Roman"/>
          <w:sz w:val="20"/>
        </w:rPr>
      </w:pPr>
      <w:r>
        <w:rPr>
          <w:rFonts w:ascii="Times New Roman" w:hAnsi="Times New Roman"/>
          <w:sz w:val="20"/>
        </w:rPr>
        <w:t>4.2</w:t>
      </w:r>
    </w:p>
    <w:p>
      <w:pPr>
        <w:pStyle w:val="TextBody"/>
        <w:bidi w:val="0"/>
        <w:spacing w:before="240" w:after="0"/>
        <w:jc w:val="left"/>
        <w:rPr>
          <w:spacing w:val="0"/>
        </w:rPr>
      </w:pPr>
      <w:r>
        <w:rPr>
          <w:spacing w:val="0"/>
        </w:rPr>
        <w:t> </w:t>
      </w:r>
      <w:r>
        <w:rPr>
          <w:rFonts w:ascii="Times New Roman" w:hAnsi="Times New Roman"/>
          <w:spacing w:val="0"/>
          <w:sz w:val="20"/>
        </w:rPr>
        <w:t xml:space="preserve">million and nearly </w:t>
      </w:r>
    </w:p>
    <w:p>
      <w:pPr>
        <w:pStyle w:val="TextBody"/>
        <w:bidi w:val="0"/>
        <w:spacing w:before="240" w:after="0"/>
        <w:jc w:val="left"/>
        <w:rPr>
          <w:rFonts w:ascii="Times New Roman" w:hAnsi="Times New Roman"/>
          <w:sz w:val="20"/>
        </w:rPr>
      </w:pPr>
      <w:r>
        <w:rPr>
          <w:rFonts w:ascii="Times New Roman" w:hAnsi="Times New Roman"/>
          <w:sz w:val="20"/>
        </w:rPr>
        <w:t>zero</w:t>
      </w:r>
    </w:p>
    <w:p>
      <w:pPr>
        <w:pStyle w:val="TextBody"/>
        <w:bidi w:val="0"/>
        <w:spacing w:before="240" w:after="0"/>
        <w:jc w:val="left"/>
        <w:rPr>
          <w:rFonts w:ascii="Times New Roman" w:hAnsi="Times New Roman"/>
          <w:spacing w:val="0"/>
          <w:sz w:val="20"/>
        </w:rPr>
      </w:pPr>
      <w:r>
        <w:rPr>
          <w:rFonts w:ascii="Times New Roman" w:hAnsi="Times New Roman"/>
          <w:spacing w:val="0"/>
          <w:sz w:val="20"/>
        </w:rPr>
        <w:t>, respectively. As of December 31, 2023, the related party P2P Note and P2P Warrants approximate $</w:t>
      </w:r>
    </w:p>
    <w:p>
      <w:pPr>
        <w:pStyle w:val="TextBody"/>
        <w:bidi w:val="0"/>
        <w:spacing w:before="240" w:after="0"/>
        <w:jc w:val="left"/>
        <w:rPr>
          <w:rFonts w:ascii="Times New Roman" w:hAnsi="Times New Roman"/>
          <w:sz w:val="20"/>
        </w:rPr>
      </w:pPr>
      <w:r>
        <w:rPr>
          <w:rFonts w:ascii="Times New Roman" w:hAnsi="Times New Roman"/>
          <w:sz w:val="20"/>
        </w:rPr>
        <w:t>3.9</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0.3</w:t>
      </w:r>
    </w:p>
    <w:p>
      <w:pPr>
        <w:pStyle w:val="TextBody"/>
        <w:bidi w:val="0"/>
        <w:spacing w:before="240" w:after="0"/>
        <w:jc w:val="left"/>
        <w:rPr>
          <w:spacing w:val="0"/>
        </w:rPr>
      </w:pPr>
      <w:r>
        <w:rPr>
          <w:spacing w:val="0"/>
        </w:rPr>
        <w:t> </w:t>
      </w:r>
      <w:r>
        <w:rPr>
          <w:rFonts w:ascii="Times New Roman" w:hAnsi="Times New Roman"/>
          <w:spacing w:val="0"/>
          <w:sz w:val="20"/>
        </w:rPr>
        <w:t>million, respectively. During the years ended December 31, 2024 and 2023, the change in fair value for the P2P Note equaled $</w:t>
      </w:r>
    </w:p>
    <w:p>
      <w:pPr>
        <w:pStyle w:val="TextBody"/>
        <w:bidi w:val="0"/>
        <w:spacing w:before="240" w:after="0"/>
        <w:jc w:val="left"/>
        <w:rPr>
          <w:rFonts w:ascii="Times New Roman" w:hAnsi="Times New Roman"/>
          <w:sz w:val="20"/>
        </w:rPr>
      </w:pPr>
      <w:r>
        <w:rPr>
          <w:rFonts w:ascii="Times New Roman" w:hAnsi="Times New Roman"/>
          <w:sz w:val="20"/>
        </w:rPr>
        <w:t>0.3</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0.9</w:t>
      </w:r>
    </w:p>
    <w:p>
      <w:pPr>
        <w:pStyle w:val="TextBody"/>
        <w:bidi w:val="0"/>
        <w:spacing w:before="240" w:after="0"/>
        <w:jc w:val="left"/>
        <w:rPr>
          <w:spacing w:val="0"/>
        </w:rPr>
      </w:pPr>
      <w:r>
        <w:rPr>
          <w:spacing w:val="0"/>
        </w:rPr>
        <w:t> </w:t>
      </w:r>
      <w:r>
        <w:rPr>
          <w:rFonts w:ascii="Times New Roman" w:hAnsi="Times New Roman"/>
          <w:spacing w:val="0"/>
          <w:sz w:val="20"/>
        </w:rPr>
        <w:t>million, respectively (see Note 4). During the years</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jc w:val="left"/>
        <w:rPr>
          <w:spacing w:val="0"/>
        </w:rPr>
      </w:pPr>
      <w:r>
        <w:rPr>
          <w:spacing w:val="0"/>
        </w:rPr>
        <w:t> </w:t>
      </w:r>
    </w:p>
    <w:p>
      <w:pPr>
        <w:pStyle w:val="TextBody"/>
        <w:bidi w:val="0"/>
        <w:spacing w:lineRule="atLeast" w:line="142" w:before="0" w:after="40"/>
        <w:jc w:val="left"/>
        <w:rPr/>
      </w:pPr>
      <w:r>
        <w:rPr/>
        <w:t>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ended December 31, 2024 and 2023, the change in fair value for P2P Warrants equaled $</w:t>
      </w:r>
    </w:p>
    <w:p>
      <w:pPr>
        <w:pStyle w:val="TextBody"/>
        <w:bidi w:val="0"/>
        <w:spacing w:before="0" w:after="0"/>
        <w:jc w:val="left"/>
        <w:rPr>
          <w:rFonts w:ascii="Times New Roman" w:hAnsi="Times New Roman"/>
          <w:sz w:val="20"/>
        </w:rPr>
      </w:pPr>
      <w:r>
        <w:rPr>
          <w:rFonts w:ascii="Times New Roman" w:hAnsi="Times New Roman"/>
          <w:sz w:val="20"/>
        </w:rPr>
        <w:t>0.3</w:t>
      </w:r>
    </w:p>
    <w:p>
      <w:pPr>
        <w:pStyle w:val="TextBody"/>
        <w:bidi w:val="0"/>
        <w:spacing w:before="0" w:after="0"/>
        <w:jc w:val="left"/>
        <w:rPr>
          <w:spacing w:val="0"/>
        </w:rPr>
      </w:pPr>
      <w:r>
        <w:rPr>
          <w:spacing w:val="0"/>
        </w:rPr>
        <w:t> </w:t>
      </w:r>
      <w:r>
        <w:rPr>
          <w:rFonts w:ascii="Times New Roman" w:hAnsi="Times New Roman"/>
          <w:spacing w:val="0"/>
          <w:sz w:val="20"/>
        </w:rPr>
        <w:t>million and $</w:t>
      </w:r>
    </w:p>
    <w:p>
      <w:pPr>
        <w:pStyle w:val="TextBody"/>
        <w:bidi w:val="0"/>
        <w:spacing w:before="0" w:after="0"/>
        <w:jc w:val="left"/>
        <w:rPr>
          <w:rFonts w:ascii="Times New Roman" w:hAnsi="Times New Roman"/>
          <w:sz w:val="20"/>
        </w:rPr>
      </w:pPr>
      <w:r>
        <w:rPr>
          <w:rFonts w:ascii="Times New Roman" w:hAnsi="Times New Roman"/>
          <w:sz w:val="20"/>
        </w:rPr>
        <w:t>32,000</w:t>
      </w:r>
    </w:p>
    <w:p>
      <w:pPr>
        <w:pStyle w:val="TextBody"/>
        <w:bidi w:val="0"/>
        <w:spacing w:before="0" w:after="0"/>
        <w:jc w:val="left"/>
        <w:rPr>
          <w:rFonts w:ascii="Times New Roman" w:hAnsi="Times New Roman"/>
          <w:spacing w:val="0"/>
          <w:sz w:val="20"/>
        </w:rPr>
      </w:pPr>
      <w:r>
        <w:rPr>
          <w:rFonts w:ascii="Times New Roman" w:hAnsi="Times New Roman"/>
          <w:spacing w:val="0"/>
          <w:sz w:val="20"/>
        </w:rPr>
        <w:t>respectively (see Note 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December 2022, one of the minority stockholders with which the Company had a revenue arrangement, representing </w:t>
      </w:r>
    </w:p>
    <w:p>
      <w:pPr>
        <w:pStyle w:val="TextBody"/>
        <w:bidi w:val="0"/>
        <w:spacing w:before="240" w:after="0"/>
        <w:jc w:val="left"/>
        <w:rPr>
          <w:rFonts w:ascii="Times New Roman" w:hAnsi="Times New Roman"/>
          <w:sz w:val="20"/>
        </w:rPr>
      </w:pPr>
      <w:r>
        <w:rPr>
          <w:rFonts w:ascii="Times New Roman" w:hAnsi="Times New Roman"/>
          <w:sz w:val="20"/>
        </w:rPr>
        <w:t>77</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and nearly </w:t>
      </w:r>
    </w:p>
    <w:p>
      <w:pPr>
        <w:pStyle w:val="TextBody"/>
        <w:bidi w:val="0"/>
        <w:spacing w:before="240" w:after="0"/>
        <w:jc w:val="left"/>
        <w:rPr>
          <w:rFonts w:ascii="Times New Roman" w:hAnsi="Times New Roman"/>
          <w:sz w:val="20"/>
        </w:rPr>
      </w:pPr>
      <w:r>
        <w:rPr>
          <w:rFonts w:ascii="Times New Roman" w:hAnsi="Times New Roman"/>
          <w:sz w:val="20"/>
        </w:rPr>
        <w:t>100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of total revenues for the years ended December 31, 2024 and 2023, and </w:t>
      </w:r>
    </w:p>
    <w:p>
      <w:pPr>
        <w:pStyle w:val="TextBody"/>
        <w:bidi w:val="0"/>
        <w:spacing w:before="240" w:after="0"/>
        <w:jc w:val="left"/>
        <w:rPr>
          <w:rFonts w:ascii="Times New Roman" w:hAnsi="Times New Roman"/>
          <w:sz w:val="20"/>
        </w:rPr>
      </w:pPr>
      <w:r>
        <w:rPr>
          <w:rFonts w:ascii="Times New Roman" w:hAnsi="Times New Roman"/>
          <w:sz w:val="20"/>
        </w:rPr>
        <w:t>zero</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percent and </w:t>
      </w:r>
    </w:p>
    <w:p>
      <w:pPr>
        <w:pStyle w:val="TextBody"/>
        <w:bidi w:val="0"/>
        <w:spacing w:before="240" w:after="0"/>
        <w:jc w:val="left"/>
        <w:rPr>
          <w:rFonts w:ascii="Times New Roman" w:hAnsi="Times New Roman"/>
          <w:sz w:val="20"/>
        </w:rPr>
      </w:pPr>
      <w:r>
        <w:rPr>
          <w:rFonts w:ascii="Times New Roman" w:hAnsi="Times New Roman"/>
          <w:sz w:val="20"/>
        </w:rPr>
        <w:t>98</w:t>
      </w:r>
    </w:p>
    <w:p>
      <w:pPr>
        <w:pStyle w:val="TextBody"/>
        <w:bidi w:val="0"/>
        <w:spacing w:before="240" w:after="0"/>
        <w:jc w:val="left"/>
        <w:rPr>
          <w:rFonts w:ascii="Times New Roman" w:hAnsi="Times New Roman"/>
          <w:spacing w:val="0"/>
          <w:sz w:val="20"/>
        </w:rPr>
      </w:pPr>
      <w:r>
        <w:rPr>
          <w:rFonts w:ascii="Times New Roman" w:hAnsi="Times New Roman"/>
          <w:spacing w:val="0"/>
          <w:sz w:val="20"/>
        </w:rPr>
        <w:t>% of accounts receivable as of December 31, 2024 and 2023, respectively, also invested in a P2P Note (see Note 7) in the amount of $</w:t>
      </w:r>
    </w:p>
    <w:p>
      <w:pPr>
        <w:pStyle w:val="TextBody"/>
        <w:bidi w:val="0"/>
        <w:spacing w:before="240" w:after="0"/>
        <w:jc w:val="left"/>
        <w:rPr>
          <w:rFonts w:ascii="Times New Roman" w:hAnsi="Times New Roman"/>
          <w:sz w:val="20"/>
        </w:rPr>
      </w:pPr>
      <w:r>
        <w:rPr>
          <w:rFonts w:ascii="Times New Roman" w:hAnsi="Times New Roman"/>
          <w:sz w:val="20"/>
        </w:rPr>
        <w:t>0.4</w:t>
      </w:r>
    </w:p>
    <w:p>
      <w:pPr>
        <w:pStyle w:val="TextBody"/>
        <w:bidi w:val="0"/>
        <w:spacing w:before="240" w:after="0"/>
        <w:jc w:val="left"/>
        <w:rPr>
          <w:spacing w:val="0"/>
        </w:rPr>
      </w:pPr>
      <w:r>
        <w:rPr>
          <w:spacing w:val="0"/>
        </w:rPr>
        <w:t> </w:t>
      </w:r>
      <w:r>
        <w:rPr>
          <w:rFonts w:ascii="Times New Roman" w:hAnsi="Times New Roman"/>
          <w:spacing w:val="0"/>
          <w:sz w:val="20"/>
        </w:rPr>
        <w:t xml:space="preserve">million or </w:t>
      </w:r>
    </w:p>
    <w:p>
      <w:pPr>
        <w:pStyle w:val="TextBody"/>
        <w:bidi w:val="0"/>
        <w:spacing w:before="240" w:after="0"/>
        <w:jc w:val="left"/>
        <w:rPr>
          <w:rFonts w:ascii="Times New Roman" w:hAnsi="Times New Roman"/>
          <w:sz w:val="20"/>
        </w:rPr>
      </w:pPr>
      <w:r>
        <w:rPr>
          <w:rFonts w:ascii="Times New Roman" w:hAnsi="Times New Roman"/>
          <w:sz w:val="20"/>
        </w:rPr>
        <w:t>13</w:t>
      </w:r>
    </w:p>
    <w:p>
      <w:pPr>
        <w:pStyle w:val="TextBody"/>
        <w:bidi w:val="0"/>
        <w:spacing w:before="240" w:after="0"/>
        <w:jc w:val="left"/>
        <w:rPr>
          <w:rFonts w:ascii="Times New Roman" w:hAnsi="Times New Roman"/>
          <w:spacing w:val="0"/>
          <w:sz w:val="20"/>
        </w:rPr>
      </w:pPr>
      <w:r>
        <w:rPr>
          <w:rFonts w:ascii="Times New Roman" w:hAnsi="Times New Roman"/>
          <w:spacing w:val="0"/>
          <w:sz w:val="20"/>
        </w:rPr>
        <w:t>%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w:t>
      </w:r>
    </w:p>
    <w:p>
      <w:pPr>
        <w:pStyle w:val="TextBody"/>
        <w:bidi w:val="0"/>
        <w:spacing w:before="240" w:after="0"/>
        <w:jc w:val="left"/>
        <w:rPr>
          <w:rFonts w:ascii="Times New Roman" w:hAnsi="Times New Roman"/>
          <w:sz w:val="20"/>
        </w:rPr>
      </w:pPr>
      <w:r>
        <w:rPr>
          <w:rFonts w:ascii="Times New Roman" w:hAnsi="Times New Roman"/>
          <w:sz w:val="20"/>
        </w:rPr>
        <w:t>0.5</w:t>
      </w:r>
    </w:p>
    <w:p>
      <w:pPr>
        <w:pStyle w:val="TextBody"/>
        <w:bidi w:val="0"/>
        <w:spacing w:before="240" w:after="0"/>
        <w:jc w:val="left"/>
        <w:rPr>
          <w:spacing w:val="0"/>
        </w:rPr>
      </w:pPr>
      <w:r>
        <w:rPr>
          <w:spacing w:val="0"/>
        </w:rPr>
        <w:t> </w:t>
      </w:r>
      <w:r>
        <w:rPr>
          <w:rFonts w:ascii="Times New Roman" w:hAnsi="Times New Roman"/>
          <w:spacing w:val="0"/>
          <w:sz w:val="20"/>
        </w:rPr>
        <w:t xml:space="preserve">million and nearly </w:t>
      </w:r>
    </w:p>
    <w:p>
      <w:pPr>
        <w:pStyle w:val="TextBody"/>
        <w:bidi w:val="0"/>
        <w:spacing w:before="240" w:after="0"/>
        <w:jc w:val="left"/>
        <w:rPr>
          <w:rFonts w:ascii="Times New Roman" w:hAnsi="Times New Roman"/>
          <w:sz w:val="20"/>
        </w:rPr>
      </w:pPr>
      <w:r>
        <w:rPr>
          <w:rFonts w:ascii="Times New Roman" w:hAnsi="Times New Roman"/>
          <w:sz w:val="20"/>
        </w:rPr>
        <w:t>zero</w:t>
      </w:r>
    </w:p>
    <w:p>
      <w:pPr>
        <w:pStyle w:val="TextBody"/>
        <w:bidi w:val="0"/>
        <w:spacing w:before="240" w:after="0"/>
        <w:jc w:val="left"/>
        <w:rPr>
          <w:rFonts w:ascii="Times New Roman" w:hAnsi="Times New Roman"/>
          <w:spacing w:val="0"/>
          <w:sz w:val="20"/>
        </w:rPr>
      </w:pPr>
      <w:r>
        <w:rPr>
          <w:rFonts w:ascii="Times New Roman" w:hAnsi="Times New Roman"/>
          <w:spacing w:val="0"/>
          <w:sz w:val="20"/>
        </w:rPr>
        <w:t>, respectively. As of December 31, 2023, the related party P2P Note and P2P Warrants approximate $</w:t>
      </w:r>
    </w:p>
    <w:p>
      <w:pPr>
        <w:pStyle w:val="TextBody"/>
        <w:bidi w:val="0"/>
        <w:spacing w:before="240" w:after="0"/>
        <w:jc w:val="left"/>
        <w:rPr>
          <w:rFonts w:ascii="Times New Roman" w:hAnsi="Times New Roman"/>
          <w:sz w:val="20"/>
        </w:rPr>
      </w:pPr>
      <w:r>
        <w:rPr>
          <w:rFonts w:ascii="Times New Roman" w:hAnsi="Times New Roman"/>
          <w:sz w:val="20"/>
        </w:rPr>
        <w:t>0.4</w:t>
      </w:r>
    </w:p>
    <w:p>
      <w:pPr>
        <w:pStyle w:val="TextBody"/>
        <w:bidi w:val="0"/>
        <w:spacing w:before="240" w:after="0"/>
        <w:jc w:val="left"/>
        <w:rPr>
          <w:spacing w:val="0"/>
        </w:rPr>
      </w:pPr>
      <w:r>
        <w:rPr>
          <w:spacing w:val="0"/>
        </w:rPr>
        <w:t> </w:t>
      </w:r>
      <w:r>
        <w:rPr>
          <w:rFonts w:ascii="Times New Roman" w:hAnsi="Times New Roman"/>
          <w:spacing w:val="0"/>
          <w:sz w:val="20"/>
        </w:rPr>
        <w:t>million and $</w:t>
      </w:r>
    </w:p>
    <w:p>
      <w:pPr>
        <w:pStyle w:val="TextBody"/>
        <w:bidi w:val="0"/>
        <w:spacing w:before="240" w:after="0"/>
        <w:jc w:val="left"/>
        <w:rPr>
          <w:rFonts w:ascii="Times New Roman" w:hAnsi="Times New Roman"/>
          <w:sz w:val="20"/>
        </w:rPr>
      </w:pPr>
      <w:r>
        <w:rPr>
          <w:rFonts w:ascii="Times New Roman" w:hAnsi="Times New Roman"/>
          <w:sz w:val="20"/>
        </w:rPr>
        <w:t>29,000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respectively. During the year ended December 31, 2024, the change in fair value for the P2P Note and P2P Note Warrants equaled $</w:t>
      </w:r>
    </w:p>
    <w:p>
      <w:pPr>
        <w:pStyle w:val="TextBody"/>
        <w:bidi w:val="0"/>
        <w:spacing w:before="240" w:after="0"/>
        <w:jc w:val="left"/>
        <w:rPr>
          <w:rFonts w:ascii="Times New Roman" w:hAnsi="Times New Roman"/>
          <w:sz w:val="20"/>
        </w:rPr>
      </w:pPr>
      <w:r>
        <w:rPr>
          <w:rFonts w:ascii="Times New Roman" w:hAnsi="Times New Roman"/>
          <w:sz w:val="20"/>
        </w:rPr>
        <w:t>38,000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and $</w:t>
      </w:r>
    </w:p>
    <w:p>
      <w:pPr>
        <w:pStyle w:val="TextBody"/>
        <w:bidi w:val="0"/>
        <w:spacing w:before="240" w:after="0"/>
        <w:jc w:val="left"/>
        <w:rPr>
          <w:rFonts w:ascii="Times New Roman" w:hAnsi="Times New Roman"/>
          <w:sz w:val="20"/>
        </w:rPr>
      </w:pPr>
      <w:r>
        <w:rPr>
          <w:rFonts w:ascii="Times New Roman" w:hAnsi="Times New Roman"/>
          <w:sz w:val="20"/>
        </w:rPr>
        <w:t>29,000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respectively (see Note 4). During the year ended December 31, 2023, the change in fair value for the P2P Note and P2P Note Warrants was immaterial (see Note 4).</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During 2024, the Company incurred $</w:t>
      </w:r>
    </w:p>
    <w:p>
      <w:pPr>
        <w:pStyle w:val="TextBody"/>
        <w:bidi w:val="0"/>
        <w:spacing w:before="240" w:after="0"/>
        <w:jc w:val="left"/>
        <w:rPr>
          <w:rFonts w:ascii="Times New Roman" w:hAnsi="Times New Roman"/>
          <w:sz w:val="20"/>
        </w:rPr>
      </w:pPr>
      <w:r>
        <w:rPr>
          <w:rFonts w:ascii="Times New Roman" w:hAnsi="Times New Roman"/>
          <w:sz w:val="20"/>
        </w:rPr>
        <w:t>0.3</w:t>
      </w:r>
    </w:p>
    <w:p>
      <w:pPr>
        <w:pStyle w:val="TextBody"/>
        <w:bidi w:val="0"/>
        <w:spacing w:before="240" w:after="0"/>
        <w:jc w:val="left"/>
        <w:rPr>
          <w:spacing w:val="0"/>
        </w:rPr>
      </w:pPr>
      <w:r>
        <w:rPr>
          <w:spacing w:val="0"/>
        </w:rPr>
        <w:t> </w:t>
      </w:r>
      <w:r>
        <w:rPr>
          <w:rFonts w:ascii="Times New Roman" w:hAnsi="Times New Roman"/>
          <w:spacing w:val="0"/>
          <w:sz w:val="20"/>
        </w:rPr>
        <w:t>million of marketing expenses paid to a Company owned by a direct family member of a minority stockholder and Company board of director.</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14. Net Loss Per Share Attributable to Common Shareholders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the computation of basic and dilutive net loss per share attributable to common stockholders for the years ended December 31,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5"/>
        <w:gridCol w:w="1987"/>
        <w:gridCol w:w="2006"/>
        <w:gridCol w:w="120"/>
        <w:gridCol w:w="140"/>
        <w:gridCol w:w="1100"/>
        <w:gridCol w:w="155"/>
        <w:gridCol w:w="120"/>
        <w:gridCol w:w="140"/>
        <w:gridCol w:w="980"/>
        <w:gridCol w:w="172"/>
      </w:tblGrid>
      <w:tr>
        <w:trPr/>
        <w:tc>
          <w:tcPr>
            <w:tcW w:w="328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2" w:type="dxa"/>
            <w:tcBorders/>
            <w:vAlign w:val="center"/>
          </w:tcPr>
          <w:p>
            <w:pPr>
              <w:pStyle w:val="TableContents"/>
              <w:bidi w:val="0"/>
              <w:spacing w:before="0" w:after="0"/>
              <w:jc w:val="left"/>
              <w:rPr>
                <w:spacing w:val="0"/>
              </w:rPr>
            </w:pPr>
            <w:r>
              <w:rPr>
                <w:spacing w:val="0"/>
              </w:rPr>
              <w:t> </w:t>
            </w:r>
          </w:p>
        </w:tc>
      </w:tr>
      <w:tr>
        <w:trPr/>
        <w:tc>
          <w:tcPr>
            <w:tcW w:w="7278" w:type="dxa"/>
            <w:gridSpan w:val="3"/>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78" w:type="dxa"/>
            <w:gridSpan w:val="3"/>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(87,589</w:t>
            </w:r>
          </w:p>
        </w:tc>
        <w:tc>
          <w:tcPr>
            <w:tcW w:w="172" w:type="dxa"/>
            <w:tcBorders/>
            <w:vAlign w:val="center"/>
          </w:tcPr>
          <w:p>
            <w:pPr>
              <w:pStyle w:val="TableContents"/>
              <w:bidi w:val="0"/>
              <w:spacing w:before="0" w:after="283"/>
              <w:jc w:val="left"/>
              <w:rPr/>
            </w:pPr>
            <w:r>
              <w:rPr/>
              <w:t>) </w:t>
            </w:r>
          </w:p>
        </w:tc>
      </w:tr>
      <w:tr>
        <w:trPr/>
        <w:tc>
          <w:tcPr>
            <w:tcW w:w="7278" w:type="dxa"/>
            <w:gridSpan w:val="3"/>
            <w:vMerge w:val="continue"/>
            <w:tcBorders/>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shd w:fill="CCEEFF" w:val="clear"/>
            <w:vAlign w:val="center"/>
          </w:tcPr>
          <w:p>
            <w:pPr>
              <w:pStyle w:val="TableContents"/>
              <w:bidi w:val="0"/>
              <w:spacing w:before="0" w:after="283"/>
              <w:jc w:val="left"/>
              <w:rPr/>
            </w:pPr>
            <w:r>
              <w:rPr/>
              <w:t> </w:t>
            </w:r>
          </w:p>
        </w:tc>
      </w:tr>
      <w:tr>
        <w:trPr/>
        <w:tc>
          <w:tcPr>
            <w:tcW w:w="7278" w:type="dxa"/>
            <w:gridSpan w:val="3"/>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7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outstanding used to compute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17,476,105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4,213,244</w:t>
            </w:r>
          </w:p>
        </w:tc>
        <w:tc>
          <w:tcPr>
            <w:tcW w:w="172" w:type="dxa"/>
            <w:tcBorders/>
            <w:vAlign w:val="center"/>
          </w:tcPr>
          <w:p>
            <w:pPr>
              <w:pStyle w:val="TableContents"/>
              <w:bidi w:val="0"/>
              <w:spacing w:before="0" w:after="283"/>
              <w:jc w:val="left"/>
              <w:rPr/>
            </w:pPr>
            <w:r>
              <w:rPr/>
              <w:t> </w:t>
            </w:r>
          </w:p>
        </w:tc>
      </w:tr>
      <w:tr>
        <w:trPr/>
        <w:tc>
          <w:tcPr>
            <w:tcW w:w="7278"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278"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(20.79</w:t>
            </w:r>
          </w:p>
        </w:tc>
        <w:tc>
          <w:tcPr>
            <w:tcW w:w="172" w:type="dxa"/>
            <w:tcBorders/>
            <w:shd w:fill="CCEEFF" w:val="clear"/>
            <w:vAlign w:val="center"/>
          </w:tcPr>
          <w:p>
            <w:pPr>
              <w:pStyle w:val="TableContents"/>
              <w:bidi w:val="0"/>
              <w:spacing w:before="0" w:after="283"/>
              <w:jc w:val="left"/>
              <w:rPr/>
            </w:pPr>
            <w:r>
              <w:rPr/>
              <w:t>) </w:t>
            </w:r>
          </w:p>
        </w:tc>
      </w:tr>
      <w:tr>
        <w:trPr/>
        <w:tc>
          <w:tcPr>
            <w:tcW w:w="7278"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86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potentially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dilutive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securities were excluded from the calculation of diluted net loss per share attributable to common shareholders for the periods presented because the impact of including them would have been anti-dilutive for the years ended December 31, 2024 and 2023: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3425"/>
        <w:gridCol w:w="120"/>
        <w:gridCol w:w="60"/>
        <w:gridCol w:w="1100"/>
        <w:gridCol w:w="335"/>
        <w:gridCol w:w="120"/>
        <w:gridCol w:w="60"/>
        <w:gridCol w:w="1100"/>
        <w:gridCol w:w="35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3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50"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44,494,703</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44,494,703</w:t>
            </w:r>
          </w:p>
        </w:tc>
        <w:tc>
          <w:tcPr>
            <w:tcW w:w="35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36,363,184</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16,437,980</w:t>
            </w:r>
          </w:p>
        </w:tc>
        <w:tc>
          <w:tcPr>
            <w:tcW w:w="35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4,655,274</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4,916,829</w:t>
            </w:r>
          </w:p>
        </w:tc>
        <w:tc>
          <w:tcPr>
            <w:tcW w:w="35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D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D-2</w:t>
            </w:r>
          </w:p>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756,172</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1,094,667</w:t>
            </w:r>
          </w:p>
        </w:tc>
        <w:tc>
          <w:tcPr>
            <w:tcW w:w="35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Pay-to-Play</w:t>
            </w:r>
          </w:p>
          <w:p>
            <w:pPr>
              <w:pStyle w:val="TableContents"/>
              <w:bidi w:val="0"/>
              <w:spacing w:before="0" w:after="0"/>
              <w:jc w:val="left"/>
              <w:rPr>
                <w:rFonts w:ascii="Times New Roman" w:hAnsi="Times New Roman"/>
                <w:sz w:val="20"/>
              </w:rPr>
            </w:pPr>
            <w:r>
              <w:rPr>
                <w:rFonts w:ascii="Times New Roman" w:hAnsi="Times New Roman"/>
                <w:sz w:val="20"/>
              </w:rPr>
              <w:t>warrants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1,127,088</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721,086</w:t>
            </w:r>
          </w:p>
        </w:tc>
        <w:tc>
          <w:tcPr>
            <w:tcW w:w="35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(a)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(a)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2,063</w:t>
            </w:r>
          </w:p>
        </w:tc>
        <w:tc>
          <w:tcPr>
            <w:tcW w:w="35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(estimated See Note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7,007,582</w:t>
            </w:r>
          </w:p>
        </w:tc>
        <w:tc>
          <w:tcPr>
            <w:tcW w:w="35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 April 2024 (estimated See Note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4,500,000</w:t>
            </w:r>
          </w:p>
        </w:tc>
        <w:tc>
          <w:tcPr>
            <w:tcW w:w="33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35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potentially dilutive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93,896,421</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74,674,910</w:t>
            </w:r>
          </w:p>
        </w:tc>
        <w:tc>
          <w:tcPr>
            <w:tcW w:w="35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3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due to the variable settlement terms (see Note 8).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15. Employee Benefit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 401(k) plan is provided that covers substantially all employees meeting certain age and service requirements. The Company makes discretionary contributions to the 401(k) plan. The Company recorded $</w:t>
      </w:r>
    </w:p>
    <w:p>
      <w:pPr>
        <w:pStyle w:val="TextBody"/>
        <w:bidi w:val="0"/>
        <w:spacing w:before="120" w:after="0"/>
        <w:jc w:val="left"/>
        <w:rPr>
          <w:rFonts w:ascii="Times New Roman" w:hAnsi="Times New Roman"/>
          <w:sz w:val="20"/>
        </w:rPr>
      </w:pPr>
      <w:r>
        <w:rPr>
          <w:rFonts w:ascii="Times New Roman" w:hAnsi="Times New Roman"/>
          <w:sz w:val="20"/>
        </w:rPr>
        <w:t>0.6</w:t>
      </w:r>
    </w:p>
    <w:p>
      <w:pPr>
        <w:pStyle w:val="TextBody"/>
        <w:bidi w:val="0"/>
        <w:spacing w:before="120" w:after="0"/>
        <w:jc w:val="left"/>
        <w:rPr>
          <w:spacing w:val="0"/>
        </w:rPr>
      </w:pPr>
      <w:r>
        <w:rPr>
          <w:spacing w:val="0"/>
        </w:rPr>
        <w:t> </w:t>
      </w:r>
      <w:r>
        <w:rPr>
          <w:rFonts w:ascii="Times New Roman" w:hAnsi="Times New Roman"/>
          <w:spacing w:val="0"/>
          <w:sz w:val="20"/>
        </w:rPr>
        <w:t>million and $</w:t>
      </w:r>
    </w:p>
    <w:p>
      <w:pPr>
        <w:pStyle w:val="TextBody"/>
        <w:bidi w:val="0"/>
        <w:spacing w:before="120" w:after="0"/>
        <w:jc w:val="left"/>
        <w:rPr>
          <w:rFonts w:ascii="Times New Roman" w:hAnsi="Times New Roman"/>
          <w:sz w:val="20"/>
        </w:rPr>
      </w:pPr>
      <w:r>
        <w:rPr>
          <w:rFonts w:ascii="Times New Roman" w:hAnsi="Times New Roman"/>
          <w:sz w:val="20"/>
        </w:rPr>
        <w:t>0.5</w:t>
      </w:r>
    </w:p>
    <w:p>
      <w:pPr>
        <w:pStyle w:val="TextBody"/>
        <w:bidi w:val="0"/>
        <w:spacing w:before="120" w:after="0"/>
        <w:jc w:val="left"/>
        <w:rPr>
          <w:spacing w:val="0"/>
        </w:rPr>
      </w:pPr>
      <w:r>
        <w:rPr>
          <w:spacing w:val="0"/>
        </w:rPr>
        <w:t> </w:t>
      </w:r>
      <w:r>
        <w:rPr>
          <w:rFonts w:ascii="Times New Roman" w:hAnsi="Times New Roman"/>
          <w:spacing w:val="0"/>
          <w:sz w:val="20"/>
        </w:rPr>
        <w:t>million in matching contributions for the years ended December 31, 2024 and 2023.</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Long-term employee benefits: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w:t>
      </w:r>
    </w:p>
    <w:p>
      <w:pPr>
        <w:pStyle w:val="TextBody"/>
        <w:bidi w:val="0"/>
        <w:spacing w:before="120" w:after="0"/>
        <w:jc w:val="left"/>
        <w:rPr>
          <w:rFonts w:ascii="Times New Roman" w:hAnsi="Times New Roman"/>
          <w:sz w:val="20"/>
        </w:rPr>
      </w:pPr>
      <w:r>
        <w:rPr>
          <w:rFonts w:ascii="Times New Roman" w:hAnsi="Times New Roman"/>
          <w:sz w:val="20"/>
        </w:rPr>
        <w:t>15</w:t>
      </w:r>
    </w:p>
    <w:p>
      <w:pPr>
        <w:pStyle w:val="TextBody"/>
        <w:bidi w:val="0"/>
        <w:spacing w:before="120" w:after="0"/>
        <w:jc w:val="left"/>
        <w:rPr>
          <w:rFonts w:ascii="Times New Roman" w:hAnsi="Times New Roman"/>
          <w:spacing w:val="0"/>
          <w:sz w:val="20"/>
        </w:rPr>
      </w:pPr>
      <w:r>
        <w:rPr>
          <w:rFonts w:ascii="Times New Roman" w:hAnsi="Times New Roman"/>
          <w:spacing w:val="0"/>
          <w:sz w:val="20"/>
        </w:rPr>
        <w:t>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2024 and 2023, the related liability is included within accrued compensation and other liabilities on the consolidated balance sheets.</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16. 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Blaize, Inc. and Subsidiaries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left"/>
        <w:rPr/>
      </w:pPr>
      <w:r>
        <w:rPr/>
        <w:t>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Net loss for the years ended December 31, 2024 and 2023 is as follows (in thousands): </w:t>
      </w:r>
    </w:p>
    <w:p>
      <w:pPr>
        <w:pStyle w:val="TextBody"/>
        <w:bidi w:val="0"/>
        <w:spacing w:before="0" w:after="0"/>
        <w:jc w:val="left"/>
        <w:rPr/>
      </w:pPr>
      <w:r>
        <w:rPr/>
        <w:t> </w:t>
      </w:r>
    </w:p>
    <w:tbl>
      <w:tblPr>
        <w:tblW w:w="5735" w:type="dxa"/>
        <w:jc w:val="left"/>
        <w:tblInd w:w="0" w:type="dxa"/>
        <w:tblLayout w:type="fixed"/>
        <w:tblCellMar>
          <w:top w:w="0" w:type="dxa"/>
          <w:left w:w="0" w:type="dxa"/>
          <w:bottom w:w="0" w:type="dxa"/>
          <w:right w:w="0" w:type="dxa"/>
        </w:tblCellMar>
      </w:tblPr>
      <w:tblGrid>
        <w:gridCol w:w="3380"/>
        <w:gridCol w:w="120"/>
        <w:gridCol w:w="140"/>
        <w:gridCol w:w="755"/>
        <w:gridCol w:w="155"/>
        <w:gridCol w:w="120"/>
        <w:gridCol w:w="140"/>
        <w:gridCol w:w="755"/>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3,856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Costs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3,656</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31,981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23,773</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2,693</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2,040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interest (income)/expense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changes and financing charges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49,454</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9,574</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(61,195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(87,589</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loss includes marketing expense, professional fees, income tax expense, facilities costs, foreign currency exchange gains and losses, credit loss, and other overhead expenses.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measure of segment assets is reported on the consolidated balance sheet as total consolidated assets. Long-lived and ROU assets located in the United States, Asia Pacific and United Kingdon region were as follows: </w:t>
      </w:r>
    </w:p>
    <w:p>
      <w:pPr>
        <w:pStyle w:val="TextBody"/>
        <w:bidi w:val="0"/>
        <w:spacing w:before="0" w:after="0"/>
        <w:jc w:val="left"/>
        <w:rPr/>
      </w:pPr>
      <w:r>
        <w:rPr/>
        <w:t> </w:t>
      </w:r>
    </w:p>
    <w:tbl>
      <w:tblPr>
        <w:tblW w:w="7279" w:type="dxa"/>
        <w:jc w:val="left"/>
        <w:tblInd w:w="0" w:type="dxa"/>
        <w:tblLayout w:type="fixed"/>
        <w:tblCellMar>
          <w:top w:w="0" w:type="dxa"/>
          <w:left w:w="0" w:type="dxa"/>
          <w:bottom w:w="0" w:type="dxa"/>
          <w:right w:w="0" w:type="dxa"/>
        </w:tblCellMar>
      </w:tblPr>
      <w:tblGrid>
        <w:gridCol w:w="1400"/>
        <w:gridCol w:w="120"/>
        <w:gridCol w:w="256"/>
        <w:gridCol w:w="1024"/>
        <w:gridCol w:w="74"/>
        <w:gridCol w:w="148"/>
        <w:gridCol w:w="250"/>
        <w:gridCol w:w="1000"/>
        <w:gridCol w:w="60"/>
        <w:gridCol w:w="120"/>
        <w:gridCol w:w="256"/>
        <w:gridCol w:w="1024"/>
        <w:gridCol w:w="74"/>
        <w:gridCol w:w="148"/>
        <w:gridCol w:w="250"/>
        <w:gridCol w:w="1000"/>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52" w:type="dxa"/>
            <w:gridSpan w:val="6"/>
            <w:tcBorders/>
            <w:vAlign w:val="center"/>
          </w:tcPr>
          <w:p>
            <w:pPr>
              <w:pStyle w:val="TableContents"/>
              <w:bidi w:val="0"/>
              <w:spacing w:before="0" w:after="0"/>
              <w:jc w:val="center"/>
              <w:rPr>
                <w:b/>
                <w:spacing w:val="0"/>
              </w:rPr>
            </w:pPr>
            <w:r>
              <w:rPr>
                <w:b/>
                <w:spacing w:val="0"/>
              </w:rPr>
              <w:t>December 31,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52" w:type="dxa"/>
            <w:gridSpan w:val="6"/>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14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Fixed Assets</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ROU Assets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Fixed Assets</w:t>
            </w:r>
          </w:p>
        </w:tc>
        <w:tc>
          <w:tcPr>
            <w:tcW w:w="74" w:type="dxa"/>
            <w:tcBorders/>
            <w:vAlign w:val="center"/>
          </w:tcPr>
          <w:p>
            <w:pPr>
              <w:pStyle w:val="TableContents"/>
              <w:bidi w:val="0"/>
              <w:spacing w:before="0" w:after="0"/>
              <w:jc w:val="left"/>
              <w:rPr>
                <w:spacing w:val="0"/>
              </w:rPr>
            </w:pPr>
            <w:r>
              <w:rPr>
                <w:spacing w:val="0"/>
              </w:rPr>
              <w:t> </w:t>
            </w:r>
          </w:p>
        </w:tc>
        <w:tc>
          <w:tcPr>
            <w:tcW w:w="148" w:type="dxa"/>
            <w:tcBorders/>
            <w:vAlign w:val="center"/>
          </w:tcPr>
          <w:p>
            <w:pPr>
              <w:pStyle w:val="TableContents"/>
              <w:bidi w:val="0"/>
              <w:spacing w:before="0" w:after="0"/>
              <w:jc w:val="left"/>
              <w:rPr>
                <w:spacing w:val="0"/>
              </w:rPr>
            </w:pPr>
            <w:r>
              <w:rPr>
                <w:spacing w:val="0"/>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ROU Assets</w:t>
            </w:r>
          </w:p>
        </w:tc>
        <w:tc>
          <w:tcPr>
            <w:tcW w:w="75" w:type="dxa"/>
            <w:tcBorders/>
            <w:vAlign w:val="center"/>
          </w:tcPr>
          <w:p>
            <w:pPr>
              <w:pStyle w:val="TableContents"/>
              <w:bidi w:val="0"/>
              <w:spacing w:before="0" w:after="0"/>
              <w:jc w:val="left"/>
              <w:rPr>
                <w:spacing w:val="0"/>
              </w:rPr>
            </w:pPr>
            <w:r>
              <w:rPr>
                <w:spacing w:val="0"/>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1,095</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368</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421</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913</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1,175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1,038</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1,477</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73</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149</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525</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2,081</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1,773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1,555</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0" w:type="dxa"/>
            <w:tcBorders/>
            <w:vAlign w:val="center"/>
          </w:tcPr>
          <w:p>
            <w:pPr>
              <w:pStyle w:val="TableContents"/>
              <w:bidi w:val="0"/>
              <w:spacing w:before="0" w:after="283"/>
              <w:jc w:val="right"/>
              <w:rPr/>
            </w:pPr>
            <w:r>
              <w:rPr/>
              <w:t>2,423</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17.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January 13, 2025, the Company consummated the Merger (See Note 1 “Description of Business”).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w:t>
      </w:r>
    </w:p>
    <w:p>
      <w:pPr>
        <w:pStyle w:val="TextBody"/>
        <w:bidi w:val="0"/>
        <w:spacing w:before="240" w:after="0"/>
        <w:jc w:val="left"/>
        <w:rPr>
          <w:rFonts w:ascii="Times New Roman" w:hAnsi="Times New Roman"/>
          <w:sz w:val="20"/>
        </w:rPr>
      </w:pPr>
      <w:r>
        <w:rPr>
          <w:rFonts w:ascii="Times New Roman" w:hAnsi="Times New Roman"/>
          <w:sz w:val="20"/>
        </w:rPr>
        <w:t>0.5</w:t>
      </w:r>
    </w:p>
    <w:p>
      <w:pPr>
        <w:pStyle w:val="TextBody"/>
        <w:bidi w:val="0"/>
        <w:spacing w:before="240" w:after="0"/>
        <w:jc w:val="left"/>
        <w:rPr>
          <w:spacing w:val="0"/>
        </w:rPr>
      </w:pPr>
      <w:r>
        <w:rPr>
          <w:spacing w:val="0"/>
        </w:rPr>
        <w:t> </w:t>
      </w:r>
      <w:r>
        <w:rPr>
          <w:rFonts w:ascii="Times New Roman" w:hAnsi="Times New Roman"/>
          <w:spacing w:val="0"/>
          <w:sz w:val="20"/>
        </w:rPr>
        <w:t>million for capital market advisory services is due (1) $</w:t>
      </w:r>
    </w:p>
    <w:p>
      <w:pPr>
        <w:pStyle w:val="TextBody"/>
        <w:bidi w:val="0"/>
        <w:spacing w:before="240" w:after="0"/>
        <w:jc w:val="left"/>
        <w:rPr>
          <w:rFonts w:ascii="Times New Roman" w:hAnsi="Times New Roman"/>
          <w:sz w:val="20"/>
        </w:rPr>
      </w:pPr>
      <w:r>
        <w:rPr>
          <w:rFonts w:ascii="Times New Roman" w:hAnsi="Times New Roman"/>
          <w:sz w:val="20"/>
        </w:rPr>
        <w:t>0.3</w:t>
      </w:r>
    </w:p>
    <w:p>
      <w:pPr>
        <w:pStyle w:val="TextBody"/>
        <w:bidi w:val="0"/>
        <w:spacing w:before="240" w:after="0"/>
        <w:jc w:val="left"/>
        <w:rPr>
          <w:spacing w:val="0"/>
        </w:rPr>
      </w:pPr>
      <w:r>
        <w:rPr>
          <w:spacing w:val="0"/>
        </w:rPr>
        <w:t> </w:t>
      </w:r>
      <w:r>
        <w:rPr>
          <w:rFonts w:ascii="Times New Roman" w:hAnsi="Times New Roman"/>
          <w:spacing w:val="0"/>
          <w:sz w:val="20"/>
        </w:rPr>
        <w:t xml:space="preserve">million upon the closing of the Merger with fifty-percent paid in cash and fifty percent paid in common stock of New Blaize; and </w:t>
      </w:r>
    </w:p>
    <w:p>
      <w:pPr>
        <w:pStyle w:val="TextBody"/>
        <w:bidi w:val="0"/>
        <w:spacing w:before="240" w:after="0"/>
        <w:jc w:val="left"/>
        <w:rPr>
          <w:rFonts w:ascii="Times New Roman" w:hAnsi="Times New Roman"/>
          <w:sz w:val="20"/>
        </w:rPr>
      </w:pPr>
      <w:r>
        <w:rPr>
          <w:rFonts w:ascii="Times New Roman" w:hAnsi="Times New Roman"/>
          <w:sz w:val="20"/>
        </w:rPr>
        <w:t>0.2</w:t>
      </w:r>
    </w:p>
    <w:p>
      <w:pPr>
        <w:pStyle w:val="TextBody"/>
        <w:bidi w:val="0"/>
        <w:spacing w:before="240" w:after="0"/>
        <w:jc w:val="left"/>
        <w:rPr>
          <w:spacing w:val="0"/>
        </w:rPr>
      </w:pPr>
      <w:r>
        <w:rPr>
          <w:spacing w:val="0"/>
        </w:rPr>
        <w:t> </w:t>
      </w:r>
      <w:r>
        <w:rPr>
          <w:rFonts w:ascii="Times New Roman" w:hAnsi="Times New Roman"/>
          <w:spacing w:val="0"/>
          <w:sz w:val="20"/>
        </w:rPr>
        <w:t xml:space="preserve">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w:t>
      </w:r>
    </w:p>
    <w:p>
      <w:pPr>
        <w:pStyle w:val="TextBody"/>
        <w:bidi w:val="0"/>
        <w:spacing w:before="240" w:after="0"/>
        <w:jc w:val="left"/>
        <w:rPr>
          <w:rFonts w:ascii="Times New Roman" w:hAnsi="Times New Roman"/>
          <w:sz w:val="20"/>
        </w:rPr>
      </w:pPr>
      <w:r>
        <w:rPr>
          <w:rFonts w:ascii="Times New Roman" w:hAnsi="Times New Roman"/>
          <w:sz w:val="20"/>
        </w:rPr>
        <w:t>50</w:t>
      </w:r>
    </w:p>
    <w:p>
      <w:pPr>
        <w:pStyle w:val="TextBody"/>
        <w:bidi w:val="0"/>
        <w:spacing w:before="240" w:after="0"/>
        <w:jc w:val="left"/>
        <w:rPr>
          <w:rFonts w:ascii="Times New Roman" w:hAnsi="Times New Roman"/>
          <w:spacing w:val="0"/>
          <w:sz w:val="20"/>
        </w:rPr>
      </w:pPr>
      <w:r>
        <w:rPr>
          <w:rFonts w:ascii="Times New Roman" w:hAnsi="Times New Roman"/>
          <w:spacing w:val="0"/>
          <w:sz w:val="20"/>
        </w:rPr>
        <w:t>000 shares of common stock at a price of $</w:t>
      </w:r>
    </w:p>
    <w:p>
      <w:pPr>
        <w:pStyle w:val="TextBody"/>
        <w:bidi w:val="0"/>
        <w:spacing w:before="240" w:after="0"/>
        <w:jc w:val="left"/>
        <w:rPr>
          <w:rFonts w:ascii="Times New Roman" w:hAnsi="Times New Roman"/>
          <w:sz w:val="20"/>
        </w:rPr>
      </w:pPr>
      <w:r>
        <w:rPr>
          <w:rFonts w:ascii="Times New Roman" w:hAnsi="Times New Roman"/>
          <w:sz w:val="20"/>
        </w:rPr>
        <w:t>11.50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per share for a term of five years. On February 10, 2025, New Blaize issued the </w:t>
      </w:r>
    </w:p>
    <w:p>
      <w:pPr>
        <w:pStyle w:val="TextBody"/>
        <w:bidi w:val="0"/>
        <w:spacing w:before="240" w:after="0"/>
        <w:jc w:val="left"/>
        <w:rPr>
          <w:rFonts w:ascii="Times New Roman" w:hAnsi="Times New Roman"/>
          <w:sz w:val="20"/>
        </w:rPr>
      </w:pPr>
      <w:r>
        <w:rPr>
          <w:rFonts w:ascii="Times New Roman" w:hAnsi="Times New Roman"/>
          <w:sz w:val="20"/>
        </w:rPr>
        <w:t>50,000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common stock warrants.</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jc w:val="left"/>
        <w:rPr>
          <w:rFonts w:ascii="Times New Roman" w:hAnsi="Times New Roman"/>
          <w:spacing w:val="0"/>
          <w:sz w:val="20"/>
        </w:rPr>
      </w:pPr>
      <w:r>
        <w:rPr>
          <w:rFonts w:ascii="Times New Roman" w:hAnsi="Times New Roman"/>
          <w:spacing w:val="0"/>
          <w:sz w:val="20"/>
        </w:rPr>
        <w:t>During January 2025 the Company received $</w:t>
      </w:r>
    </w:p>
    <w:p>
      <w:pPr>
        <w:pStyle w:val="TextBody"/>
        <w:bidi w:val="0"/>
        <w:spacing w:before="240" w:after="0"/>
        <w:jc w:val="left"/>
        <w:rPr>
          <w:rFonts w:ascii="Times New Roman" w:hAnsi="Times New Roman"/>
          <w:sz w:val="20"/>
        </w:rPr>
      </w:pPr>
      <w:r>
        <w:rPr>
          <w:rFonts w:ascii="Times New Roman" w:hAnsi="Times New Roman"/>
          <w:sz w:val="20"/>
        </w:rPr>
        <w:t>15.4</w:t>
      </w:r>
    </w:p>
    <w:p>
      <w:pPr>
        <w:pStyle w:val="TextBody"/>
        <w:bidi w:val="0"/>
        <w:spacing w:before="240" w:after="0"/>
        <w:jc w:val="left"/>
        <w:rPr>
          <w:spacing w:val="0"/>
        </w:rPr>
      </w:pPr>
      <w:r>
        <w:rPr>
          <w:spacing w:val="0"/>
        </w:rPr>
        <w:t> </w:t>
      </w:r>
      <w:r>
        <w:rPr>
          <w:rFonts w:ascii="Times New Roman" w:hAnsi="Times New Roman"/>
          <w:spacing w:val="0"/>
          <w:sz w:val="20"/>
        </w:rPr>
        <w:t>million in funding in accordance with the PIPE Subscription Agreements (see Note 1).</w:t>
      </w:r>
    </w:p>
    <w:p>
      <w:pPr>
        <w:pStyle w:val="TextBody"/>
        <w:bidi w:val="0"/>
        <w:spacing w:before="0" w:after="0"/>
        <w:ind w:left="0" w:right="0" w:hanging="0"/>
        <w:jc w:val="left"/>
        <w:rPr>
          <w:sz w:val="16"/>
        </w:rPr>
      </w:pPr>
      <w:r>
        <w:rPr>
          <w:sz w:val="16"/>
        </w:rPr>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bookmarkStart w:id="27" w:name="toc944597_27"/>
      <w:bookmarkEnd w:id="27"/>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indicates the expenses to be incurred in connection with the offering described in this registration statement, other than underwriting discounts and commissions. </w:t>
      </w:r>
    </w:p>
    <w:p>
      <w:pPr>
        <w:pStyle w:val="TextBody"/>
        <w:bidi w:val="0"/>
        <w:spacing w:before="0" w:after="0"/>
        <w:jc w:val="left"/>
        <w:rPr/>
      </w:pPr>
      <w:r>
        <w:rPr/>
        <w:t> </w:t>
      </w:r>
    </w:p>
    <w:tbl>
      <w:tblPr>
        <w:tblW w:w="5790" w:type="dxa"/>
        <w:jc w:val="left"/>
        <w:tblInd w:w="0" w:type="dxa"/>
        <w:tblLayout w:type="fixed"/>
        <w:tblCellMar>
          <w:top w:w="0" w:type="dxa"/>
          <w:left w:w="0" w:type="dxa"/>
          <w:bottom w:w="0" w:type="dxa"/>
          <w:right w:w="0" w:type="dxa"/>
        </w:tblCellMar>
      </w:tblPr>
      <w:tblGrid>
        <w:gridCol w:w="4355"/>
        <w:gridCol w:w="120"/>
        <w:gridCol w:w="140"/>
        <w:gridCol w:w="1100"/>
        <w:gridCol w:w="7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166,494.45</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Accountants’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Agent’s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defined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305"/>
        <w:gridCol w:w="1550"/>
      </w:tblGrid>
      <w:tr>
        <w:trPr/>
        <w:tc>
          <w:tcPr>
            <w:tcW w:w="305" w:type="dxa"/>
            <w:tcBorders/>
            <w:vAlign w:val="center"/>
          </w:tcPr>
          <w:p>
            <w:pPr>
              <w:pStyle w:val="TableContents"/>
              <w:bidi w:val="0"/>
              <w:spacing w:before="0" w:after="283"/>
              <w:jc w:val="left"/>
              <w:rPr>
                <w:b/>
              </w:rPr>
            </w:pPr>
            <w:r>
              <w:rPr>
                <w:b/>
              </w:rPr>
              <w:t>(a)</w:t>
            </w:r>
          </w:p>
        </w:tc>
        <w:tc>
          <w:tcPr>
            <w:tcW w:w="1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PIPE Investment.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540" w:type="dxa"/>
        <w:jc w:val="left"/>
        <w:tblInd w:w="0" w:type="dxa"/>
        <w:tblLayout w:type="fixed"/>
        <w:tblCellMar>
          <w:top w:w="0" w:type="dxa"/>
          <w:left w:w="0" w:type="dxa"/>
          <w:bottom w:w="0" w:type="dxa"/>
          <w:right w:w="0" w:type="dxa"/>
        </w:tblCellMar>
      </w:tblPr>
      <w:tblGrid>
        <w:gridCol w:w="320"/>
        <w:gridCol w:w="4220"/>
      </w:tblGrid>
      <w:tr>
        <w:trPr/>
        <w:tc>
          <w:tcPr>
            <w:tcW w:w="320" w:type="dxa"/>
            <w:tcBorders/>
            <w:vAlign w:val="center"/>
          </w:tcPr>
          <w:p>
            <w:pPr>
              <w:pStyle w:val="TableContents"/>
              <w:bidi w:val="0"/>
              <w:spacing w:before="0" w:after="283"/>
              <w:jc w:val="left"/>
              <w:rPr>
                <w:b/>
              </w:rPr>
            </w:pPr>
            <w:r>
              <w:rPr>
                <w:b/>
              </w:rPr>
              <w:t>(b)</w:t>
            </w:r>
          </w:p>
        </w:tc>
        <w:tc>
          <w:tcPr>
            <w:tcW w:w="42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Secured Promissory Note and Pledge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305"/>
        <w:gridCol w:w="830"/>
      </w:tblGrid>
      <w:tr>
        <w:trPr/>
        <w:tc>
          <w:tcPr>
            <w:tcW w:w="305" w:type="dxa"/>
            <w:tcBorders/>
            <w:vAlign w:val="center"/>
          </w:tcPr>
          <w:p>
            <w:pPr>
              <w:pStyle w:val="TableContents"/>
              <w:bidi w:val="0"/>
              <w:spacing w:before="0" w:after="283"/>
              <w:jc w:val="left"/>
              <w:rPr>
                <w:b/>
              </w:rPr>
            </w:pPr>
            <w:r>
              <w:rPr>
                <w:b/>
              </w:rPr>
              <w:t>(a)</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6808"/>
        <w:gridCol w:w="120"/>
        <w:gridCol w:w="65"/>
        <w:gridCol w:w="553"/>
        <w:gridCol w:w="61"/>
        <w:gridCol w:w="122"/>
        <w:gridCol w:w="121"/>
        <w:gridCol w:w="649"/>
        <w:gridCol w:w="61"/>
        <w:gridCol w:w="122"/>
        <w:gridCol w:w="65"/>
        <w:gridCol w:w="701"/>
        <w:gridCol w:w="77"/>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Incorporated by Reference</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2">
              <w:r>
                <w:rPr>
                  <w:rStyle w:val="InternetLink"/>
                </w:rPr>
                <w:t xml:space="preserve">Agreement and Plan of Merger, dated as of December 22, 2023, by and among BurTech Acquisition Corp., BurTech Merger Sub, Inc., Blaize, Inc. and for the limited purposes set forth therein, Burkhan Capital LLC.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S-4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2.1</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7/19/2024</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3">
              <w:r>
                <w:rPr>
                  <w:rStyle w:val="InternetLink"/>
                </w:rPr>
                <w:t xml:space="preserve">Amendment to Agreement and Plan of Merger, dated as of April 22, 2024, by and among BurTech Acquisition Corp., BurTech Merger Sub, Inc., Blaize, Inc. and for the limited purposes set forth therein, Burkhan Capital LLC.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S-4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2.2</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7/19/2024</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"http://www.sec.gov/Archives/edgar/data/1871638/000110465924112666/tm2418197-13_s4a.htm" \l "tANNEXA3"</w:instrText>
            </w:r>
            <w:r>
              <w:rPr>
                <w:rStyle w:val="InternetLink"/>
              </w:rPr>
              <w:fldChar w:fldCharType="separate"/>
            </w:r>
            <w:r>
              <w:rPr>
                <w:rStyle w:val="InternetLink"/>
              </w:rPr>
              <w:t xml:space="preserve">Amendment No. 2 to Agreement and Plan of Merger, dated as of October 24, 2024, by and among BurTech Acquisition Corp., BurTech Merger Sub, Inc., Blaize, Inc. and for the limited purposes set forth therein, Burkhan Capital LLC.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S-4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2.3</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10/30/2024</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2.4</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"http://www.sec.gov/Archives/edgar/data/1871638/000110465924122026/tm2418197-20_s4a.htm" \l "tANNEXA4"</w:instrText>
            </w:r>
            <w:r>
              <w:rPr>
                <w:rStyle w:val="InternetLink"/>
              </w:rPr>
              <w:fldChar w:fldCharType="separate"/>
            </w:r>
            <w:r>
              <w:rPr>
                <w:rStyle w:val="InternetLink"/>
              </w:rPr>
              <w:t xml:space="preserve">Amendment No. 3 to Agreement and Plan of Merger, dated as of November 21, 2024, by and among BurTech Acquisition Corp., BurTech Merger Sub, Inc., Blaize, Inc. and for the limited purposes set forth therein, Burkhan Capital LLC.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S-4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11/26/2024</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4">
              <w:r>
                <w:rPr>
                  <w:rStyle w:val="InternetLink"/>
                </w:rPr>
                <w:t xml:space="preserve">Third Amended and Restated Certificate of Incorporation of Blaize Holdings, Inc.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8-K</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3.1</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1/17/2025</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5">
              <w:r>
                <w:rPr>
                  <w:rStyle w:val="InternetLink"/>
                </w:rPr>
                <w:t xml:space="preserve">Amended and Restated Bylaws of Blaize Holdings, Inc.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8-K</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3.2</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1/17/2025</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6">
              <w:r>
                <w:rPr>
                  <w:rStyle w:val="InternetLink"/>
                </w:rPr>
                <w:t xml:space="preserve">Specimen Common Stock Certificate.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S-1/A</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4.2</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11/19/2021</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7">
              <w:r>
                <w:rPr>
                  <w:rStyle w:val="InternetLink"/>
                </w:rPr>
                <w:t xml:space="preserve">Specimen Warrant Certificate.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S-1/A</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4.3</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11/19/2021</w:t>
            </w:r>
          </w:p>
        </w:tc>
        <w:tc>
          <w:tcPr>
            <w:tcW w:w="77"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928"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6808" w:type="dxa"/>
            <w:tcBorders/>
            <w:vAlign w:val="center"/>
          </w:tcPr>
          <w:p>
            <w:pPr>
              <w:pStyle w:val="TableContents"/>
              <w:bidi w:val="0"/>
              <w:spacing w:before="0" w:after="283"/>
              <w:jc w:val="left"/>
              <w:rPr/>
            </w:pPr>
            <w:hyperlink r:id="rId8">
              <w:r>
                <w:rPr>
                  <w:rStyle w:val="InternetLink"/>
                </w:rPr>
                <w:t xml:space="preserve">Warrant Agreement, dated as of December 10, 2021, by and between the Company and Continental Stock Transfer &amp; Trust Company, as warrant agent. </w:t>
              </w:r>
            </w:hyperlink>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8-K</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4.1</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12/16/2021</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25"/>
        <w:gridCol w:w="120"/>
        <w:gridCol w:w="6674"/>
        <w:gridCol w:w="120"/>
        <w:gridCol w:w="122"/>
        <w:gridCol w:w="468"/>
        <w:gridCol w:w="60"/>
        <w:gridCol w:w="121"/>
        <w:gridCol w:w="74"/>
        <w:gridCol w:w="696"/>
        <w:gridCol w:w="60"/>
        <w:gridCol w:w="121"/>
        <w:gridCol w:w="63"/>
        <w:gridCol w:w="702"/>
        <w:gridCol w:w="79"/>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8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Incorporated by Reference</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9">
              <w:r>
                <w:rPr>
                  <w:rStyle w:val="InternetLink"/>
                </w:rPr>
                <w:t xml:space="preserve">Opinion of Latham &amp; Watkins LLP.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S-1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7/18/2025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0">
              <w:r>
                <w:rPr>
                  <w:rStyle w:val="InternetLink"/>
                </w:rPr>
                <w:t xml:space="preserve">Amended and Restated Registration Rights Agreement, dated as of January 13, 2025, by and among the Company, certain stockholders of BurTech named therein and certain stockholders of Legacy Blaize named therein.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1">
              <w:r>
                <w:rPr>
                  <w:rStyle w:val="InternetLink"/>
                </w:rPr>
                <w:t xml:space="preserve">Letter Agreement, dated as of December 10, 2021, by and among BurTech, its officers and its directors, Sponsor and certain other stockholders party thereto.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12/16/2021</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2">
              <w:r>
                <w:rPr>
                  <w:rStyle w:val="InternetLink"/>
                </w:rPr>
                <w:t xml:space="preserve">Form of Indemnification Agreement.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10.3</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3">
              <w:r>
                <w:rPr>
                  <w:rStyle w:val="InternetLink"/>
                </w:rPr>
                <w:t xml:space="preserve">Blaize, Inc. Amended and Restated 2011 Stock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4">
              <w:r>
                <w:rPr>
                  <w:rStyle w:val="InternetLink"/>
                </w:rPr>
                <w:t xml:space="preserve">Blaize Holdings, Inc. 2025 Incentive Award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10.5</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5">
              <w:r>
                <w:rPr>
                  <w:rStyle w:val="InternetLink"/>
                </w:rPr>
                <w:t xml:space="preserve">Blaize Holdings, Inc. 2025 Employee Stock Purchase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10.6</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6">
              <w:r>
                <w:rPr>
                  <w:rStyle w:val="InternetLink"/>
                </w:rPr>
                <w:t xml:space="preserve">Form of Stock Option Grant Agreement (Installment Exercise) and Grant Notice under the Blaize, Inc. Amended and Restated 2011 Stock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7">
              <w:r>
                <w:rPr>
                  <w:rStyle w:val="InternetLink"/>
                </w:rPr>
                <w:t xml:space="preserve">Form of Restricted Stock Unit Grant Agreement and Grant Notice under the Blaize, Inc. Amended and Restated 2011 Stock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10.8</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8">
              <w:r>
                <w:rPr>
                  <w:rStyle w:val="InternetLink"/>
                </w:rPr>
                <w:t xml:space="preserve">Form of Non-Redemption Agreement.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12/31/2024</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19">
              <w:r>
                <w:rPr>
                  <w:rStyle w:val="InternetLink"/>
                </w:rPr>
                <w:t xml:space="preserve">Form of PIPE Agreement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1/8/2025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0">
              <w:r>
                <w:rPr>
                  <w:rStyle w:val="InternetLink"/>
                </w:rPr>
                <w:t xml:space="preserve">Registration Rights Agreement, dated as of January 13, 2025, by and among the Company and certain stockholders of Legacy Blaize named therein.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10.11</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1">
              <w:r>
                <w:rPr>
                  <w:rStyle w:val="InternetLink"/>
                </w:rPr>
                <w:t xml:space="preserve">Stockholder Lock-Up Agreement, dated as of January 13, 2025, by and among the Company and certain stockholders of Legacy Blaize named therein.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10.12</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2">
              <w:r>
                <w:rPr>
                  <w:rStyle w:val="InternetLink"/>
                </w:rPr>
                <w:t xml:space="preserve">Noteholder Lock-Up Agreement, dated as of January 13, 2025, by and among the Company and certain securityholders of Legacy Blaize named therein.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10.13</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3">
              <w:r>
                <w:rPr>
                  <w:rStyle w:val="InternetLink"/>
                </w:rPr>
                <w:t xml:space="preserve">Secured Promissory Note and Pledge Agreement, dated as of January 13, 2025, by and among BurTech LP LLC and BurTech.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10.14</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4">
              <w:r>
                <w:rPr>
                  <w:rStyle w:val="InternetLink"/>
                </w:rPr>
                <w:t xml:space="preserve">Letter Agreement, dated as of January 13, 2025, by and among BurTech, Merger Sub, Blaize and Burkhan BurTech LP LLC and Blaize.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10.15</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5">
              <w:r>
                <w:rPr>
                  <w:rStyle w:val="InternetLink"/>
                </w:rPr>
                <w:t xml:space="preserve">Offer Letter, dated as of June 18, 2018, by and between ThinCI, Inc. and Dinakar Munagala.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10.16</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6">
              <w:r>
                <w:rPr>
                  <w:rStyle w:val="InternetLink"/>
                </w:rPr>
                <w:t xml:space="preserve">Offer Letter, dated as of June 20, 2018, by and between ThinCI, Inc. and Val Cook.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10.17</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7">
              <w:r>
                <w:rPr>
                  <w:rStyle w:val="InternetLink"/>
                </w:rPr>
                <w:t xml:space="preserve">Offer Letter, dated as of November 15, 2018, by and between ThinCI, Inc. and Dmitry Zakharchenko.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10.18</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79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95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6674" w:type="dxa"/>
            <w:tcBorders/>
            <w:vAlign w:val="center"/>
          </w:tcPr>
          <w:p>
            <w:pPr>
              <w:pStyle w:val="TableContents"/>
              <w:bidi w:val="0"/>
              <w:spacing w:before="0" w:after="283"/>
              <w:jc w:val="left"/>
              <w:rPr/>
            </w:pPr>
            <w:hyperlink r:id="rId28">
              <w:r>
                <w:rPr>
                  <w:rStyle w:val="InternetLink"/>
                </w:rPr>
                <w:t xml:space="preserve">Amendment to Offer Letter, dated as of February 22, 2022, by and between ThinCI, Inc. and Dmitry Zakharchenko.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10.19</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95"/>
        <w:gridCol w:w="120"/>
        <w:gridCol w:w="6533"/>
        <w:gridCol w:w="120"/>
        <w:gridCol w:w="122"/>
        <w:gridCol w:w="468"/>
        <w:gridCol w:w="62"/>
        <w:gridCol w:w="125"/>
        <w:gridCol w:w="74"/>
        <w:gridCol w:w="696"/>
        <w:gridCol w:w="62"/>
        <w:gridCol w:w="125"/>
        <w:gridCol w:w="67"/>
        <w:gridCol w:w="757"/>
        <w:gridCol w:w="79"/>
      </w:tblGrid>
      <w:tr>
        <w:trPr/>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Incorporated by Reference</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29">
              <w:r>
                <w:rPr>
                  <w:rStyle w:val="InternetLink"/>
                </w:rPr>
                <w:t xml:space="preserve">Offer Letter, dated as of July 4, 2018, by and between ThinCI, Inc. and Santiago Fernandez-Gomez.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10.20</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0">
              <w:r>
                <w:rPr>
                  <w:rStyle w:val="InternetLink"/>
                </w:rPr>
                <w:t xml:space="preserve">Blaize Holdings, Inc. Non-Employee Director Compensation Program.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10.21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1">
              <w:r>
                <w:rPr>
                  <w:rStyle w:val="InternetLink"/>
                </w:rPr>
                <w:t xml:space="preserve">Form of Stock Option Grant Agreement (Contingent Exercise) and Grant Notice under the Blaize, Inc. Amended and Restated 2011 Stock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10.22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2">
              <w:r>
                <w:rPr>
                  <w:rStyle w:val="InternetLink"/>
                </w:rPr>
                <w:t xml:space="preserve">Registration Rights Agreement, dated as of July 14, 2025, by and between the Company and B. Riley Principal Capital II, LLC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7/15/2025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3">
              <w:r>
                <w:rPr>
                  <w:rStyle w:val="InternetLink"/>
                </w:rPr>
                <w:t xml:space="preserve">Common Stock Purchase Agreement, dated as of July 14, 2025, by and between the Company and B. Riley Principal Capital II, LLC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7/14/2025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4">
              <w:r>
                <w:rPr>
                  <w:rStyle w:val="InternetLink"/>
                </w:rPr>
                <w:t xml:space="preserve">Sales Partner Referral Agreement, dated as of June 30, 2025, by and between the Company and Burkhan LLC.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6/30/2025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5">
              <w:r>
                <w:rPr>
                  <w:rStyle w:val="InternetLink"/>
                </w:rPr>
                <w:t xml:space="preserve">Subsidiaries of Blaize Holdings, Inc.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8-K</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21.1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1/17/2025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w:anchor="d944597dex231.htm">
              <w:r>
                <w:rPr>
                  <w:rStyle w:val="InternetLink"/>
                </w:rPr>
                <w:t xml:space="preserve">Consent of UHY LLP.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6">
              <w:r>
                <w:rPr>
                  <w:rStyle w:val="InternetLink"/>
                </w:rPr>
                <w:t>Consent of Latham &amp; Watkins LLP (included in Exhibit 5.1).</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S-1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5.1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7/18/2025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"http://www.sec.gov/Archives/edgar/data/1871638/000119312525160671/d944597ds1.htm" \l "sig"</w:instrText>
            </w:r>
            <w:r>
              <w:rPr>
                <w:rStyle w:val="InternetLink"/>
              </w:rPr>
              <w:fldChar w:fldCharType="separate"/>
            </w:r>
            <w:r>
              <w:rPr>
                <w:rStyle w:val="InternetLink"/>
              </w:rPr>
              <w:t xml:space="preserve">Power of Attorney. </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S-1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24.1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7/18/2025</w:t>
            </w:r>
          </w:p>
        </w:tc>
        <w:tc>
          <w:tcPr>
            <w:tcW w:w="79" w:type="dxa"/>
            <w:tcBorders/>
            <w:vAlign w:val="center"/>
          </w:tcPr>
          <w:p>
            <w:pPr>
              <w:pStyle w:val="TableContents"/>
              <w:bidi w:val="0"/>
              <w:spacing w:before="0" w:after="283"/>
              <w:jc w:val="left"/>
              <w:rPr/>
            </w:pPr>
            <w:r>
              <w:rPr/>
              <w:t> </w:t>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XBRL Instance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XBRL Taxonomy Extension Schema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XBRL Taxonomy Calculation Linkbase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XBRL Taxonomy Definition Linkbase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XBRL Taxonomy Extension Label Linkbase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r>
              <w:rPr/>
              <w:t>XBRL Taxonomy Extension Presentation Linkbase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sz w:val="4"/>
                <w:szCs w:val="4"/>
              </w:rPr>
            </w:pPr>
            <w:r>
              <w:rPr>
                <w:sz w:val="4"/>
                <w:szCs w:val="4"/>
              </w:rPr>
            </w:r>
          </w:p>
        </w:tc>
        <w:tc>
          <w:tcPr>
            <w:tcW w:w="665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6533" w:type="dxa"/>
            <w:tcBorders/>
            <w:vAlign w:val="center"/>
          </w:tcPr>
          <w:p>
            <w:pPr>
              <w:pStyle w:val="TableContents"/>
              <w:bidi w:val="0"/>
              <w:spacing w:before="0" w:after="283"/>
              <w:jc w:val="left"/>
              <w:rPr/>
            </w:pPr>
            <w:hyperlink r:id="rId37">
              <w:r>
                <w:rPr>
                  <w:rStyle w:val="InternetLink"/>
                </w:rPr>
                <w:t xml:space="preserve">Filing Fee Table.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S-1</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107</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7/18/2025</w:t>
            </w:r>
          </w:p>
        </w:tc>
        <w:tc>
          <w:tcPr>
            <w:tcW w:w="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The Company agrees to furnish a copy of all omitted exhibits and schedules to the SEC upon its request. </w:t>
            </w:r>
          </w:p>
        </w:tc>
      </w:tr>
    </w:tbl>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320"/>
        <w:gridCol w:w="2690"/>
      </w:tblGrid>
      <w:tr>
        <w:trPr/>
        <w:tc>
          <w:tcPr>
            <w:tcW w:w="320" w:type="dxa"/>
            <w:tcBorders/>
            <w:vAlign w:val="center"/>
          </w:tcPr>
          <w:p>
            <w:pPr>
              <w:pStyle w:val="TableContents"/>
              <w:bidi w:val="0"/>
              <w:spacing w:before="0" w:after="283"/>
              <w:jc w:val="left"/>
              <w:rPr>
                <w:b/>
              </w:rPr>
            </w:pPr>
            <w:r>
              <w:rPr>
                <w:b/>
              </w:rPr>
              <w:t>(b)</w:t>
            </w:r>
          </w:p>
        </w:tc>
        <w:tc>
          <w:tcPr>
            <w:tcW w:w="26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 Schedules.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Schedules not listed above have been omitted because the information required to be set forth therein is not applicable or is shown in the financial statements or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p>
    <w:p>
      <w:pPr>
        <w:pStyle w:val="TextBody"/>
        <w:bidi w:val="0"/>
        <w:spacing w:before="120" w:after="0"/>
        <w:jc w:val="left"/>
        <w:rPr>
          <w:rFonts w:ascii="Times New Roman" w:hAnsi="Times New Roman"/>
          <w:sz w:val="20"/>
        </w:rPr>
      </w:pPr>
      <w:r>
        <w:rPr>
          <w:rFonts w:ascii="Times New Roman" w:hAnsi="Times New Roman"/>
          <w:sz w:val="20"/>
        </w:rPr>
        <w:t xml:space="preserve">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(a)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(b)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(c) the portion of any other free writing prospectus relating to the offering containing material information about the undersigned registrant or its securities provided by or on behalf of an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(d)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sig"/>
      <w:bookmarkStart w:id="29" w:name="toc944597_28"/>
      <w:bookmarkEnd w:id="28"/>
      <w:bookmarkEnd w:id="29"/>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Registration Statement to be signed on its behalf by the undersigned hereunto duly authorized, on this 28th day of July, 2025. </w:t>
      </w:r>
    </w:p>
    <w:p>
      <w:pPr>
        <w:pStyle w:val="TextBody"/>
        <w:bidi w:val="0"/>
        <w:spacing w:before="0" w:after="0"/>
        <w:jc w:val="left"/>
        <w:rPr/>
      </w:pPr>
      <w:r>
        <w:rPr/>
        <w:t> </w:t>
      </w:r>
    </w:p>
    <w:tbl>
      <w:tblPr>
        <w:tblW w:w="3828" w:type="dxa"/>
        <w:jc w:val="left"/>
        <w:tblInd w:w="0" w:type="dxa"/>
        <w:tblLayout w:type="fixed"/>
        <w:tblCellMar>
          <w:top w:w="0" w:type="dxa"/>
          <w:left w:w="0" w:type="dxa"/>
          <w:bottom w:w="0" w:type="dxa"/>
          <w:right w:w="0" w:type="dxa"/>
        </w:tblCellMar>
      </w:tblPr>
      <w:tblGrid>
        <w:gridCol w:w="578"/>
        <w:gridCol w:w="90"/>
        <w:gridCol w:w="3160"/>
      </w:tblGrid>
      <w:tr>
        <w:trPr/>
        <w:tc>
          <w:tcPr>
            <w:tcW w:w="57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bookmarkStart w:id="30" w:name="toc944597_29"/>
            <w:bookmarkStart w:id="31" w:name="toc944597_29"/>
            <w:bookmarkEnd w:id="31"/>
          </w:p>
        </w:tc>
      </w:tr>
      <w:tr>
        <w:trPr/>
        <w:tc>
          <w:tcPr>
            <w:tcW w:w="3828" w:type="dxa"/>
            <w:gridSpan w:val="3"/>
            <w:tcBorders/>
            <w:vAlign w:val="center"/>
          </w:tcPr>
          <w:p>
            <w:pPr>
              <w:pStyle w:val="TableContents"/>
              <w:bidi w:val="0"/>
              <w:spacing w:before="0" w:after="283"/>
              <w:jc w:val="left"/>
              <w:rPr>
                <w:b/>
              </w:rPr>
            </w:pPr>
            <w:r>
              <w:rPr>
                <w:b/>
              </w:rPr>
              <w:t>BLAIZE HOLDINGS, INC.</w:t>
            </w:r>
          </w:p>
        </w:tc>
      </w:tr>
      <w:tr>
        <w:trPr/>
        <w:tc>
          <w:tcPr>
            <w:tcW w:w="578" w:type="dxa"/>
            <w:tcBorders/>
            <w:vAlign w:val="center"/>
          </w:tcPr>
          <w:p>
            <w:pPr>
              <w:pStyle w:val="TableContents"/>
              <w:bidi w:val="0"/>
              <w:spacing w:before="0" w:after="283"/>
              <w:jc w:val="left"/>
              <w:rPr>
                <w:sz w:val="4"/>
                <w:szCs w:val="4"/>
              </w:rPr>
            </w:pPr>
            <w:r>
              <w:rPr>
                <w:sz w:val="4"/>
                <w:szCs w:val="4"/>
              </w:rPr>
            </w:r>
          </w:p>
        </w:tc>
        <w:tc>
          <w:tcPr>
            <w:tcW w:w="3250" w:type="dxa"/>
            <w:gridSpan w:val="2"/>
            <w:tcBorders/>
            <w:vAlign w:val="center"/>
          </w:tcPr>
          <w:p>
            <w:pPr>
              <w:pStyle w:val="TableContents"/>
              <w:bidi w:val="0"/>
              <w:spacing w:before="0" w:after="283"/>
              <w:jc w:val="left"/>
              <w:rPr>
                <w:sz w:val="4"/>
                <w:szCs w:val="4"/>
              </w:rPr>
            </w:pPr>
            <w:r>
              <w:rPr>
                <w:sz w:val="4"/>
                <w:szCs w:val="4"/>
              </w:rPr>
            </w:r>
          </w:p>
        </w:tc>
      </w:tr>
      <w:tr>
        <w:trPr/>
        <w:tc>
          <w:tcPr>
            <w:tcW w:w="578" w:type="dxa"/>
            <w:tcBorders/>
            <w:vAlign w:val="center"/>
          </w:tcPr>
          <w:p>
            <w:pPr>
              <w:pStyle w:val="TableContents"/>
              <w:bidi w:val="0"/>
              <w:spacing w:before="0" w:after="283"/>
              <w:jc w:val="left"/>
              <w:rPr/>
            </w:pPr>
            <w:r>
              <w:rPr/>
              <w:t>By:</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3160" w:type="dxa"/>
            <w:tcBorders>
              <w:bottom w:val="single" w:sz="6" w:space="0" w:color="000000"/>
            </w:tcBorders>
            <w:tcMar>
              <w:bottom w:w="28" w:type="dxa"/>
            </w:tcMar>
            <w:vAlign w:val="center"/>
          </w:tcPr>
          <w:p>
            <w:pPr>
              <w:pStyle w:val="TableContents"/>
              <w:bidi w:val="0"/>
              <w:spacing w:before="0" w:after="283"/>
              <w:jc w:val="left"/>
              <w:rPr/>
            </w:pPr>
            <w:r>
              <w:rPr/>
              <w:t>/s/ Dinakar Munagala</w:t>
            </w:r>
          </w:p>
        </w:tc>
      </w:tr>
      <w:tr>
        <w:trPr/>
        <w:tc>
          <w:tcPr>
            <w:tcW w:w="3828" w:type="dxa"/>
            <w:gridSpan w:val="3"/>
            <w:tcBorders/>
            <w:vAlign w:val="center"/>
          </w:tcPr>
          <w:p>
            <w:pPr>
              <w:pStyle w:val="TableContents"/>
              <w:bidi w:val="0"/>
              <w:spacing w:before="0" w:after="283"/>
              <w:jc w:val="left"/>
              <w:rPr/>
            </w:pPr>
            <w:r>
              <w:rPr/>
              <w:t>Name: Dinakar Munagala</w:t>
            </w:r>
          </w:p>
        </w:tc>
      </w:tr>
      <w:tr>
        <w:trPr/>
        <w:tc>
          <w:tcPr>
            <w:tcW w:w="3828" w:type="dxa"/>
            <w:gridSpan w:val="3"/>
            <w:tcBorders/>
            <w:vAlign w:val="center"/>
          </w:tcPr>
          <w:p>
            <w:pPr>
              <w:pStyle w:val="TableContents"/>
              <w:bidi w:val="0"/>
              <w:spacing w:before="0" w:after="283"/>
              <w:jc w:val="left"/>
              <w:rPr/>
            </w:pPr>
            <w:r>
              <w:rPr/>
              <w:t>Title:  Chief Executive Officer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held on the dates indicated. </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1790"/>
        <w:gridCol w:w="120"/>
        <w:gridCol w:w="5015"/>
        <w:gridCol w:w="60"/>
        <w:gridCol w:w="132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Dinakar Munagala</w:t>
            </w:r>
          </w:p>
          <w:p>
            <w:pPr>
              <w:pStyle w:val="TableContents"/>
              <w:bidi w:val="0"/>
              <w:spacing w:before="0" w:after="20"/>
              <w:jc w:val="left"/>
              <w:rPr>
                <w:rFonts w:ascii="Times New Roman" w:hAnsi="Times New Roman"/>
                <w:sz w:val="20"/>
              </w:rPr>
            </w:pPr>
            <w:r>
              <w:rPr>
                <w:rFonts w:ascii="Times New Roman" w:hAnsi="Times New Roman"/>
                <w:sz w:val="20"/>
              </w:rPr>
              <w:t>Dinakar Munagala</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Harminder Sehmi</w:t>
            </w:r>
          </w:p>
          <w:p>
            <w:pPr>
              <w:pStyle w:val="TableContents"/>
              <w:bidi w:val="0"/>
              <w:spacing w:before="0" w:after="20"/>
              <w:jc w:val="left"/>
              <w:rPr>
                <w:rFonts w:ascii="Times New Roman" w:hAnsi="Times New Roman"/>
                <w:sz w:val="20"/>
              </w:rPr>
            </w:pPr>
            <w:r>
              <w:rPr>
                <w:rFonts w:ascii="Times New Roman" w:hAnsi="Times New Roman"/>
                <w:sz w:val="20"/>
              </w:rPr>
              <w:t>Harminder Sehmi</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Edward Frank</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Juergen Hambrecht</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Tony Cannestra</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George de Urioste</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Lane Bess</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Yoshiaki Fujimori</w:t>
            </w:r>
          </w:p>
        </w:tc>
        <w:tc>
          <w:tcPr>
            <w:tcW w:w="12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July 28, 2025</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500"/>
        <w:gridCol w:w="60"/>
        <w:gridCol w:w="249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Dinakar Munagala</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Name: Dinakar Munagala</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Title: Attorney-In-Fact</w:t>
            </w:r>
          </w:p>
        </w:tc>
      </w:tr>
    </w:tbl>
    <w:p>
      <w:pPr>
        <w:pStyle w:val="TextBody"/>
        <w:bidi w:val="0"/>
        <w:spacing w:before="0" w:after="0"/>
        <w:jc w:val="right"/>
        <w:rPr>
          <w:rFonts w:ascii="Times New Roman" w:hAnsi="Times New Roman"/>
          <w:b/>
          <w:sz w:val="20"/>
        </w:rPr>
      </w:pPr>
      <w:bookmarkStart w:id="32" w:name="d944597dex231.htm"/>
      <w:bookmarkStart w:id="33" w:name="ksd944597dex231"/>
      <w:bookmarkEnd w:id="32"/>
      <w:bookmarkEnd w:id="3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INDEPENDENT REGISTERED PUBLIC ACCOUNTING FIRMS CONSENT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inclusion in this Registration Statement of Blaize Holdings, Inc. (the Company) on Amendment No. 1 to Form S-1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 We also consent to the reference to our Firm under the heading Experts in such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UHY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Melville, NY</w:t>
            </w:r>
          </w:p>
        </w:tc>
      </w:tr>
      <w:tr>
        <w:trPr/>
        <w:tc>
          <w:tcPr>
            <w:tcW w:w="4082" w:type="dxa"/>
            <w:tcBorders/>
          </w:tcPr>
          <w:p>
            <w:pPr>
              <w:pStyle w:val="TableContents"/>
              <w:bidi w:val="0"/>
              <w:spacing w:before="0" w:after="283"/>
              <w:jc w:val="left"/>
              <w:rPr/>
            </w:pPr>
            <w:r>
              <w:rPr/>
              <w:t>July 28, 2025</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An Independent Member of Urbach Hacker Young International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71638/000110465924080933/brkh-20240331xs4.htm" TargetMode="External"/><Relationship Id="rId3" Type="http://schemas.openxmlformats.org/officeDocument/2006/relationships/hyperlink" Target="http://www.sec.gov/Archives/edgar/data/../../../ix?doc=/Archives/edgar/data/1871638/000110465924080933/brkh-20240331xs4.htm" TargetMode="External"/><Relationship Id="rId4" Type="http://schemas.openxmlformats.org/officeDocument/2006/relationships/hyperlink" Target="http://www.sec.gov/Archives/edgar/data/1871638/000119312525008517/d903961dex31.htm" TargetMode="External"/><Relationship Id="rId5" Type="http://schemas.openxmlformats.org/officeDocument/2006/relationships/hyperlink" Target="http://www.sec.gov/Archives/edgar/data/1871638/000119312525008517/d903961dex32.htm" TargetMode="External"/><Relationship Id="rId6" Type="http://schemas.openxmlformats.org/officeDocument/2006/relationships/hyperlink" Target="http://www.sec.gov/Archives/edgar/data/1871638/000110465921141949/tm2124406d5_ex4-2.htm" TargetMode="External"/><Relationship Id="rId7" Type="http://schemas.openxmlformats.org/officeDocument/2006/relationships/hyperlink" Target="http://www.sec.gov/Archives/edgar/data/1871638/000110465921141949/tm2124406d5_ex4-3.htm" TargetMode="External"/><Relationship Id="rId8" Type="http://schemas.openxmlformats.org/officeDocument/2006/relationships/hyperlink" Target="http://www.sec.gov/Archives/edgar/data/1871638/000110465921150569/tm2135631d1_ex4-1.htm" TargetMode="External"/><Relationship Id="rId9" Type="http://schemas.openxmlformats.org/officeDocument/2006/relationships/hyperlink" Target="http://www.sec.gov/Archives/edgar/data/1871638/000119312525160671/d944597dex51.htm" TargetMode="External"/><Relationship Id="rId10" Type="http://schemas.openxmlformats.org/officeDocument/2006/relationships/hyperlink" Target="http://www.sec.gov/Archives/edgar/data/1871638/000119312525008517/d903961dex101.htm" TargetMode="External"/><Relationship Id="rId11" Type="http://schemas.openxmlformats.org/officeDocument/2006/relationships/hyperlink" Target="http://www.sec.gov/Archives/edgar/data/1871638/000110465921150569/tm2135631d1_ex10-2.htm" TargetMode="External"/><Relationship Id="rId12" Type="http://schemas.openxmlformats.org/officeDocument/2006/relationships/hyperlink" Target="http://www.sec.gov/Archives/edgar/data/1871638/000119312525008517/d903961dex103.htm" TargetMode="External"/><Relationship Id="rId13" Type="http://schemas.openxmlformats.org/officeDocument/2006/relationships/hyperlink" Target="http://www.sec.gov/Archives/edgar/data/1871638/000119312525008517/d903961dex104.htm" TargetMode="External"/><Relationship Id="rId14" Type="http://schemas.openxmlformats.org/officeDocument/2006/relationships/hyperlink" Target="http://www.sec.gov/Archives/edgar/data/1871638/000119312525008517/d903961dex105.htm" TargetMode="External"/><Relationship Id="rId15" Type="http://schemas.openxmlformats.org/officeDocument/2006/relationships/hyperlink" Target="http://www.sec.gov/Archives/edgar/data/1871638/000119312525008517/d903961dex106.htm" TargetMode="External"/><Relationship Id="rId16" Type="http://schemas.openxmlformats.org/officeDocument/2006/relationships/hyperlink" Target="http://www.sec.gov/Archives/edgar/data/1871638/000119312525008517/d903961dex107.htm" TargetMode="External"/><Relationship Id="rId17" Type="http://schemas.openxmlformats.org/officeDocument/2006/relationships/hyperlink" Target="http://www.sec.gov/Archives/edgar/data/1871638/000119312525008517/d903961dex108.htm" TargetMode="External"/><Relationship Id="rId18" Type="http://schemas.openxmlformats.org/officeDocument/2006/relationships/hyperlink" Target="http://www.sec.gov/Archives/edgar/data/1871638/000110465924132802/tm2431152d1_ex10-1.htm" TargetMode="External"/><Relationship Id="rId19" Type="http://schemas.openxmlformats.org/officeDocument/2006/relationships/hyperlink" Target="http://www.sec.gov/Archives/edgar/data/1871638/000110465925001763/tm252173d1_ex10-1.htm" TargetMode="External"/><Relationship Id="rId20" Type="http://schemas.openxmlformats.org/officeDocument/2006/relationships/hyperlink" Target="http://www.sec.gov/Archives/edgar/data/1871638/000119312525008517/d903961dex1011.htm" TargetMode="External"/><Relationship Id="rId21" Type="http://schemas.openxmlformats.org/officeDocument/2006/relationships/hyperlink" Target="http://www.sec.gov/Archives/edgar/data/1871638/000119312525008517/d903961dex1012.htm" TargetMode="External"/><Relationship Id="rId22" Type="http://schemas.openxmlformats.org/officeDocument/2006/relationships/hyperlink" Target="http://www.sec.gov/Archives/edgar/data/1871638/000119312525008517/d903961dex1013.htm" TargetMode="External"/><Relationship Id="rId23" Type="http://schemas.openxmlformats.org/officeDocument/2006/relationships/hyperlink" Target="http://www.sec.gov/Archives/edgar/data/1871638/000119312525008517/d903961dex1014.htm" TargetMode="External"/><Relationship Id="rId24" Type="http://schemas.openxmlformats.org/officeDocument/2006/relationships/hyperlink" Target="http://www.sec.gov/Archives/edgar/data/1871638/000119312525008517/d903961dex1015.htm" TargetMode="External"/><Relationship Id="rId25" Type="http://schemas.openxmlformats.org/officeDocument/2006/relationships/hyperlink" Target="http://www.sec.gov/Archives/edgar/data/1871638/000119312525008517/d903961dex1016.htm" TargetMode="External"/><Relationship Id="rId26" Type="http://schemas.openxmlformats.org/officeDocument/2006/relationships/hyperlink" Target="http://www.sec.gov/Archives/edgar/data/1871638/000119312525008517/d903961dex1017.htm" TargetMode="External"/><Relationship Id="rId27" Type="http://schemas.openxmlformats.org/officeDocument/2006/relationships/hyperlink" Target="http://www.sec.gov/Archives/edgar/data/1871638/000119312525008517/d903961dex1018.htm" TargetMode="External"/><Relationship Id="rId28" Type="http://schemas.openxmlformats.org/officeDocument/2006/relationships/hyperlink" Target="http://www.sec.gov/Archives/edgar/data/1871638/000119312525008517/d903961dex1019.htm" TargetMode="External"/><Relationship Id="rId29" Type="http://schemas.openxmlformats.org/officeDocument/2006/relationships/hyperlink" Target="http://www.sec.gov/Archives/edgar/data/1871638/000119312525008517/d903961dex1020.htm" TargetMode="External"/><Relationship Id="rId30" Type="http://schemas.openxmlformats.org/officeDocument/2006/relationships/hyperlink" Target="http://www.sec.gov/Archives/edgar/data/1871638/000119312525008517/d903961dex1021.htm" TargetMode="External"/><Relationship Id="rId31" Type="http://schemas.openxmlformats.org/officeDocument/2006/relationships/hyperlink" Target="http://www.sec.gov/Archives/edgar/data/1871638/000119312525008517/d903961dex1022.htm" TargetMode="External"/><Relationship Id="rId32" Type="http://schemas.openxmlformats.org/officeDocument/2006/relationships/hyperlink" Target="http://www.sec.gov/Archives/edgar/data/1871638/000119312525158997/d13627dex102.htm" TargetMode="External"/><Relationship Id="rId33" Type="http://schemas.openxmlformats.org/officeDocument/2006/relationships/hyperlink" Target="http://www.sec.gov/Archives/edgar/data/1871638/000119312525158997/d13627dex101.htm" TargetMode="External"/><Relationship Id="rId34" Type="http://schemas.openxmlformats.org/officeDocument/2006/relationships/hyperlink" Target="http://www.sec.gov/Archives/edgar/data/1871638/000119312525152119/d868639dex101.htm" TargetMode="External"/><Relationship Id="rId35" Type="http://schemas.openxmlformats.org/officeDocument/2006/relationships/hyperlink" Target="http://www.sec.gov/Archives/edgar/data/1871638/000119312525008517/d903961dex211.htm" TargetMode="External"/><Relationship Id="rId36" Type="http://schemas.openxmlformats.org/officeDocument/2006/relationships/hyperlink" Target="http://www.sec.gov/Archives/edgar/data/1871638/000119312525160671/d944597dex51.htm" TargetMode="External"/><Relationship Id="rId37" Type="http://schemas.openxmlformats.org/officeDocument/2006/relationships/hyperlink" Target="http://www.sec.gov/Archives/edgar/data/1871638/000119312525160671/d944597dexfilingfees.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168</Pages>
  <Words>134898</Words>
  <Characters>729037</Characters>
  <CharactersWithSpaces>872562</CharactersWithSpaces>
  <Paragraphs>19755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