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tm2210770d1_10k.htm"/>
      <w:bookmarkStart w:id="1" w:name="kstm2210770d1_10k"/>
      <w:bookmarkEnd w:id="0"/>
      <w:bookmarkEnd w:id="1"/>
      <w:r>
        <w:rPr>
          <w:caps w:val="false"/>
          <w:smallCaps w:val="false"/>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spacing w:before="0" w:after="0"/>
        <w:ind w:left="0" w:right="0" w:hanging="0"/>
        <w:rPr>
          <w:caps w:val="false"/>
          <w:smallCaps w:val="false"/>
        </w:rPr>
      </w:pPr>
      <w:r>
        <w:rPr>
          <w:caps w:val="false"/>
          <w:smallCaps w:val="false"/>
        </w:rPr>
        <w:t> </w:t>
      </w:r>
    </w:p>
    <w:tbl>
      <w:tblPr>
        <w:tblW w:w="9715" w:type="dxa"/>
        <w:jc w:val="left"/>
        <w:tblInd w:w="0" w:type="dxa"/>
        <w:tblCellMar>
          <w:top w:w="0" w:type="dxa"/>
          <w:left w:w="0" w:type="dxa"/>
          <w:bottom w:w="0" w:type="dxa"/>
          <w:right w:w="0" w:type="dxa"/>
        </w:tblCellMar>
      </w:tblPr>
      <w:tblGrid>
        <w:gridCol w:w="245"/>
        <w:gridCol w:w="9470"/>
      </w:tblGrid>
      <w:tr>
        <w:trPr/>
        <w:tc>
          <w:tcPr>
            <w:tcW w:w="245" w:type="dxa"/>
            <w:tcBorders/>
            <w:shd w:fill="auto" w:val="clear"/>
            <w:vAlign w:val="center"/>
          </w:tcPr>
          <w:p>
            <w:pPr>
              <w:pStyle w:val="TableContents"/>
              <w:spacing w:before="0" w:after="283"/>
              <w:rPr/>
            </w:pPr>
            <w:r>
              <w:rPr/>
              <w:t>☒</w:t>
            </w:r>
          </w:p>
        </w:tc>
        <w:tc>
          <w:tcPr>
            <w:tcW w:w="9470" w:type="dxa"/>
            <w:tcBorders/>
            <w:shd w:fill="auto" w:val="clear"/>
            <w:vAlign w:val="center"/>
          </w:tcPr>
          <w:p>
            <w:pPr>
              <w:pStyle w:val="TableContents"/>
              <w:spacing w:before="0" w:after="283"/>
              <w:rPr>
                <w:b/>
                <w:sz w:val="20"/>
              </w:rPr>
            </w:pPr>
            <w:r>
              <w:rPr>
                <w:b/>
                <w:sz w:val="20"/>
              </w:rPr>
              <w:t>ANNUAL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r>
        <w:rPr>
          <w:rFonts w:ascii="Times New Roman;Times;Serif" w:hAnsi="Times New Roman;Times;Serif"/>
          <w:b/>
          <w:i w:val="false"/>
          <w:caps w:val="false"/>
          <w:smallCaps w:val="false"/>
          <w:sz w:val="20"/>
          <w:u w:val="single"/>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spacing w:before="0" w:after="0"/>
        <w:ind w:left="0" w:right="0" w:hanging="0"/>
        <w:rPr>
          <w:caps w:val="false"/>
          <w:smallCaps w:val="false"/>
        </w:rPr>
      </w:pPr>
      <w:r>
        <w:rPr>
          <w:caps w:val="false"/>
          <w:smallCaps w:val="false"/>
        </w:rPr>
        <w:t> </w:t>
      </w:r>
    </w:p>
    <w:tbl>
      <w:tblPr>
        <w:tblW w:w="9430" w:type="dxa"/>
        <w:jc w:val="left"/>
        <w:tblInd w:w="0" w:type="dxa"/>
        <w:tblCellMar>
          <w:top w:w="0" w:type="dxa"/>
          <w:left w:w="0" w:type="dxa"/>
          <w:bottom w:w="0" w:type="dxa"/>
          <w:right w:w="0" w:type="dxa"/>
        </w:tblCellMar>
      </w:tblPr>
      <w:tblGrid>
        <w:gridCol w:w="245"/>
        <w:gridCol w:w="9185"/>
      </w:tblGrid>
      <w:tr>
        <w:trPr/>
        <w:tc>
          <w:tcPr>
            <w:tcW w:w="245" w:type="dxa"/>
            <w:tcBorders/>
            <w:shd w:fill="auto" w:val="clear"/>
            <w:vAlign w:val="center"/>
          </w:tcPr>
          <w:p>
            <w:pPr>
              <w:pStyle w:val="TableContents"/>
              <w:spacing w:before="0" w:after="283"/>
              <w:rPr/>
            </w:pPr>
            <w:r>
              <w:rPr/>
              <w:t>☐</w:t>
            </w:r>
          </w:p>
        </w:tc>
        <w:tc>
          <w:tcPr>
            <w:tcW w:w="9185" w:type="dxa"/>
            <w:tcBorders/>
            <w:shd w:fill="auto" w:val="clear"/>
            <w:vAlign w:val="center"/>
          </w:tcPr>
          <w:p>
            <w:pPr>
              <w:pStyle w:val="TableContents"/>
              <w:spacing w:before="0" w:after="283"/>
              <w:rPr>
                <w:b/>
                <w:sz w:val="20"/>
              </w:rPr>
            </w:pPr>
            <w:r>
              <w:rPr>
                <w:b/>
                <w:sz w:val="20"/>
              </w:rPr>
              <w:t>TRANSITION REPORT UNDER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 to ________________</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001-41139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BURTECH ACQUISITION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5470" w:type="dxa"/>
        <w:jc w:val="left"/>
        <w:tblInd w:w="0" w:type="dxa"/>
        <w:tblCellMar>
          <w:top w:w="0" w:type="dxa"/>
          <w:left w:w="0" w:type="dxa"/>
          <w:bottom w:w="28" w:type="dxa"/>
          <w:right w:w="0" w:type="dxa"/>
        </w:tblCellMar>
      </w:tblPr>
      <w:tblGrid>
        <w:gridCol w:w="2495"/>
        <w:gridCol w:w="60"/>
        <w:gridCol w:w="2915"/>
      </w:tblGrid>
      <w:tr>
        <w:trPr/>
        <w:tc>
          <w:tcPr>
            <w:tcW w:w="2495" w:type="dxa"/>
            <w:tcBorders>
              <w:bottom w:val="single" w:sz="8" w:space="0" w:color="000000"/>
            </w:tcBorders>
            <w:shd w:fill="auto" w:val="clear"/>
            <w:vAlign w:val="center"/>
          </w:tcPr>
          <w:p>
            <w:pPr>
              <w:pStyle w:val="TableContents"/>
              <w:spacing w:before="0" w:after="283"/>
              <w:jc w:val="center"/>
              <w:rPr>
                <w:b/>
                <w:sz w:val="20"/>
              </w:rPr>
            </w:pPr>
            <w:r>
              <w:rPr>
                <w:b/>
                <w:sz w:val="20"/>
              </w:rPr>
              <w:t xml:space="preserve">Delaware </w:t>
            </w:r>
          </w:p>
        </w:tc>
        <w:tc>
          <w:tcPr>
            <w:tcW w:w="60" w:type="dxa"/>
            <w:tcBorders/>
            <w:shd w:fill="auto" w:val="clear"/>
            <w:tcMar>
              <w:bottom w:w="0" w:type="dxa"/>
            </w:tcMar>
            <w:vAlign w:val="center"/>
          </w:tcPr>
          <w:p>
            <w:pPr>
              <w:pStyle w:val="TableContents"/>
              <w:spacing w:before="0" w:after="283"/>
              <w:jc w:val="center"/>
              <w:rPr/>
            </w:pPr>
            <w:r>
              <w:rPr/>
              <w:t> </w:t>
            </w:r>
          </w:p>
        </w:tc>
        <w:tc>
          <w:tcPr>
            <w:tcW w:w="2915" w:type="dxa"/>
            <w:tcBorders>
              <w:bottom w:val="single" w:sz="8" w:space="0" w:color="000000"/>
            </w:tcBorders>
            <w:shd w:fill="auto" w:val="clear"/>
            <w:vAlign w:val="center"/>
          </w:tcPr>
          <w:p>
            <w:pPr>
              <w:pStyle w:val="TableContents"/>
              <w:spacing w:before="0" w:after="283"/>
              <w:jc w:val="center"/>
              <w:rPr>
                <w:b/>
                <w:sz w:val="20"/>
              </w:rPr>
            </w:pPr>
            <w:r>
              <w:rPr>
                <w:b/>
                <w:sz w:val="20"/>
              </w:rPr>
              <w:t>85-2708752</w:t>
            </w:r>
          </w:p>
        </w:tc>
      </w:tr>
      <w:tr>
        <w:trPr/>
        <w:tc>
          <w:tcPr>
            <w:tcW w:w="2495" w:type="dxa"/>
            <w:tcBorders/>
            <w:shd w:fill="auto" w:val="clear"/>
            <w:tcMar>
              <w:bottom w:w="0" w:type="dxa"/>
            </w:tcMar>
            <w:vAlign w:val="center"/>
          </w:tcPr>
          <w:p>
            <w:pPr>
              <w:pStyle w:val="TableContents"/>
              <w:spacing w:before="0" w:after="283"/>
              <w:jc w:val="center"/>
              <w:rPr>
                <w:sz w:val="20"/>
              </w:rPr>
            </w:pPr>
            <w:r>
              <w:rPr>
                <w:sz w:val="20"/>
              </w:rPr>
              <w:t>(State or other jurisdiction of</w:t>
            </w:r>
          </w:p>
        </w:tc>
        <w:tc>
          <w:tcPr>
            <w:tcW w:w="60" w:type="dxa"/>
            <w:tcBorders/>
            <w:shd w:fill="auto" w:val="clear"/>
            <w:tcMar>
              <w:bottom w:w="0" w:type="dxa"/>
            </w:tcMar>
            <w:vAlign w:val="center"/>
          </w:tcPr>
          <w:p>
            <w:pPr>
              <w:pStyle w:val="TableContents"/>
              <w:spacing w:before="0" w:after="283"/>
              <w:jc w:val="center"/>
              <w:rPr/>
            </w:pPr>
            <w:r>
              <w:rPr/>
              <w:t> </w:t>
            </w:r>
          </w:p>
        </w:tc>
        <w:tc>
          <w:tcPr>
            <w:tcW w:w="2915"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r>
        <w:trPr/>
        <w:tc>
          <w:tcPr>
            <w:tcW w:w="2495" w:type="dxa"/>
            <w:tcBorders/>
            <w:shd w:fill="auto" w:val="clear"/>
            <w:tcMar>
              <w:bottom w:w="0" w:type="dxa"/>
            </w:tcMar>
            <w:vAlign w:val="center"/>
          </w:tcPr>
          <w:p>
            <w:pPr>
              <w:pStyle w:val="TableContents"/>
              <w:spacing w:before="0" w:after="283"/>
              <w:jc w:val="center"/>
              <w:rPr>
                <w:sz w:val="20"/>
              </w:rPr>
            </w:pPr>
            <w:r>
              <w:rPr>
                <w:sz w:val="20"/>
              </w:rP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291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4240" w:type="dxa"/>
        <w:jc w:val="left"/>
        <w:tblInd w:w="0" w:type="dxa"/>
        <w:tblCellMar>
          <w:top w:w="0" w:type="dxa"/>
          <w:left w:w="0" w:type="dxa"/>
          <w:bottom w:w="28" w:type="dxa"/>
          <w:right w:w="0" w:type="dxa"/>
        </w:tblCellMar>
      </w:tblPr>
      <w:tblGrid>
        <w:gridCol w:w="3260"/>
        <w:gridCol w:w="60"/>
        <w:gridCol w:w="920"/>
      </w:tblGrid>
      <w:tr>
        <w:trPr/>
        <w:tc>
          <w:tcPr>
            <w:tcW w:w="326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1300 Pennsylvania Ave NW, Suite 700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20004</w:t>
            </w:r>
          </w:p>
        </w:tc>
        <w:tc>
          <w:tcPr>
            <w:tcW w:w="60" w:type="dxa"/>
            <w:tcBorders/>
            <w:shd w:fill="auto" w:val="clear"/>
            <w:tcMar>
              <w:bottom w:w="0" w:type="dxa"/>
            </w:tcMar>
            <w:vAlign w:val="center"/>
          </w:tcPr>
          <w:p>
            <w:pPr>
              <w:pStyle w:val="TableContents"/>
              <w:spacing w:before="0" w:after="283"/>
              <w:jc w:val="center"/>
              <w:rPr/>
            </w:pPr>
            <w:r>
              <w:rPr/>
              <w:t> </w:t>
            </w:r>
          </w:p>
        </w:tc>
        <w:tc>
          <w:tcPr>
            <w:tcW w:w="920" w:type="dxa"/>
            <w:tcBorders>
              <w:bottom w:val="single" w:sz="8" w:space="0" w:color="000000"/>
            </w:tcBorders>
            <w:shd w:fill="auto" w:val="clear"/>
            <w:vAlign w:val="center"/>
          </w:tcPr>
          <w:p>
            <w:pPr>
              <w:pStyle w:val="TableContents"/>
              <w:spacing w:before="0" w:after="283"/>
              <w:jc w:val="center"/>
              <w:rPr>
                <w:b/>
                <w:sz w:val="20"/>
              </w:rPr>
            </w:pPr>
            <w:r>
              <w:rPr>
                <w:b/>
                <w:sz w:val="20"/>
              </w:rPr>
              <w:t>20004</w:t>
            </w:r>
          </w:p>
        </w:tc>
      </w:tr>
      <w:tr>
        <w:trPr/>
        <w:tc>
          <w:tcPr>
            <w:tcW w:w="3260"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jc w:val="center"/>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((202) 600-5757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389"/>
        <w:gridCol w:w="60"/>
        <w:gridCol w:w="785"/>
        <w:gridCol w:w="60"/>
        <w:gridCol w:w="1911"/>
      </w:tblGrid>
      <w:tr>
        <w:trPr/>
        <w:tc>
          <w:tcPr>
            <w:tcW w:w="7389"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785" w:type="dxa"/>
            <w:tcBorders>
              <w:bottom w:val="single" w:sz="8" w:space="0" w:color="000000"/>
            </w:tcBorders>
            <w:shd w:fill="auto" w:val="clear"/>
            <w:vAlign w:val="center"/>
          </w:tcPr>
          <w:p>
            <w:pPr>
              <w:pStyle w:val="TableContents"/>
              <w:spacing w:before="0" w:after="283"/>
              <w:jc w:val="center"/>
              <w:rPr>
                <w:b/>
                <w:sz w:val="20"/>
              </w:rPr>
            </w:pPr>
            <w:r>
              <w:rPr>
                <w:b/>
                <w:sz w:val="20"/>
              </w:rPr>
              <w:t>Trading</w:t>
              <w:br/>
              <w:t>Symbol</w:t>
            </w:r>
          </w:p>
        </w:tc>
        <w:tc>
          <w:tcPr>
            <w:tcW w:w="60" w:type="dxa"/>
            <w:tcBorders/>
            <w:shd w:fill="auto" w:val="clear"/>
            <w:tcMar>
              <w:bottom w:w="0" w:type="dxa"/>
            </w:tcMar>
            <w:vAlign w:val="center"/>
          </w:tcPr>
          <w:p>
            <w:pPr>
              <w:pStyle w:val="TableContents"/>
              <w:spacing w:before="0" w:after="283"/>
              <w:rPr/>
            </w:pPr>
            <w:r>
              <w:rPr/>
              <w:t> </w:t>
            </w:r>
          </w:p>
        </w:tc>
        <w:tc>
          <w:tcPr>
            <w:tcW w:w="1911"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w:t>
              <w:br/>
              <w:t>registered</w:t>
            </w:r>
          </w:p>
        </w:tc>
      </w:tr>
      <w:tr>
        <w:trPr/>
        <w:tc>
          <w:tcPr>
            <w:tcW w:w="7389" w:type="dxa"/>
            <w:tcBorders/>
            <w:shd w:fill="auto" w:val="clear"/>
            <w:tcMar>
              <w:bottom w:w="0" w:type="dxa"/>
            </w:tcMar>
            <w:vAlign w:val="center"/>
          </w:tcPr>
          <w:p>
            <w:pPr>
              <w:pStyle w:val="TableContents"/>
              <w:spacing w:before="0" w:after="283"/>
              <w:rPr>
                <w:sz w:val="20"/>
              </w:rPr>
            </w:pPr>
            <w:r>
              <w:rPr>
                <w:sz w:val="20"/>
              </w:rPr>
              <w:t>Units, each consisting of one share of Class A Common Stock and one Redeemable Warrant to purchase one share of Class A common stock for $11.50 per share</w:t>
            </w:r>
          </w:p>
        </w:tc>
        <w:tc>
          <w:tcPr>
            <w:tcW w:w="60" w:type="dxa"/>
            <w:tcBorders/>
            <w:shd w:fill="auto" w:val="clear"/>
            <w:tcMar>
              <w:bottom w:w="0" w:type="dxa"/>
            </w:tcMar>
            <w:vAlign w:val="center"/>
          </w:tcPr>
          <w:p>
            <w:pPr>
              <w:pStyle w:val="TableContents"/>
              <w:spacing w:before="0" w:after="283"/>
              <w:rPr/>
            </w:pPr>
            <w:r>
              <w:rPr/>
              <w:t> </w:t>
            </w:r>
          </w:p>
        </w:tc>
        <w:tc>
          <w:tcPr>
            <w:tcW w:w="785" w:type="dxa"/>
            <w:tcBorders/>
            <w:shd w:fill="auto" w:val="clear"/>
            <w:tcMar>
              <w:bottom w:w="0" w:type="dxa"/>
            </w:tcMar>
            <w:vAlign w:val="center"/>
          </w:tcPr>
          <w:p>
            <w:pPr>
              <w:pStyle w:val="TableContents"/>
              <w:spacing w:before="0" w:after="283"/>
              <w:jc w:val="center"/>
              <w:rPr>
                <w:sz w:val="20"/>
              </w:rPr>
            </w:pPr>
            <w:r>
              <w:rPr>
                <w:sz w:val="20"/>
              </w:rPr>
              <w:t>BRKHU</w:t>
            </w:r>
          </w:p>
        </w:tc>
        <w:tc>
          <w:tcPr>
            <w:tcW w:w="60" w:type="dxa"/>
            <w:tcBorders/>
            <w:shd w:fill="auto" w:val="clear"/>
            <w:tcMar>
              <w:bottom w:w="0" w:type="dxa"/>
            </w:tcMar>
            <w:vAlign w:val="center"/>
          </w:tcPr>
          <w:p>
            <w:pPr>
              <w:pStyle w:val="TableContents"/>
              <w:spacing w:before="0" w:after="283"/>
              <w:rPr/>
            </w:pPr>
            <w:r>
              <w:rPr/>
              <w:t> </w:t>
            </w:r>
          </w:p>
        </w:tc>
        <w:tc>
          <w:tcPr>
            <w:tcW w:w="1911" w:type="dxa"/>
            <w:tcBorders/>
            <w:shd w:fill="auto" w:val="clear"/>
            <w:tcMar>
              <w:bottom w:w="0" w:type="dxa"/>
            </w:tcMar>
            <w:vAlign w:val="center"/>
          </w:tcPr>
          <w:p>
            <w:pPr>
              <w:pStyle w:val="TableContents"/>
              <w:spacing w:before="0" w:after="283"/>
              <w:jc w:val="center"/>
              <w:rPr>
                <w:sz w:val="20"/>
              </w:rPr>
            </w:pPr>
            <w:r>
              <w:rPr>
                <w:sz w:val="20"/>
              </w:rPr>
              <w:t>The Nasdaq Stock Market LLC</w:t>
            </w:r>
          </w:p>
        </w:tc>
      </w:tr>
      <w:tr>
        <w:trPr/>
        <w:tc>
          <w:tcPr>
            <w:tcW w:w="7389" w:type="dxa"/>
            <w:tcBorders/>
            <w:shd w:fill="auto" w:val="clear"/>
            <w:tcMar>
              <w:bottom w:w="0" w:type="dxa"/>
            </w:tcMar>
            <w:vAlign w:val="center"/>
          </w:tcPr>
          <w:p>
            <w:pPr>
              <w:pStyle w:val="TableContents"/>
              <w:spacing w:before="0" w:after="283"/>
              <w:rPr>
                <w:sz w:val="20"/>
              </w:rPr>
            </w:pPr>
            <w:r>
              <w:rPr>
                <w:sz w:val="20"/>
              </w:rPr>
              <w:t>Class A Common Stock, par value $0.0001 per share</w:t>
            </w:r>
          </w:p>
        </w:tc>
        <w:tc>
          <w:tcPr>
            <w:tcW w:w="60" w:type="dxa"/>
            <w:tcBorders/>
            <w:shd w:fill="auto" w:val="clear"/>
            <w:tcMar>
              <w:bottom w:w="0" w:type="dxa"/>
            </w:tcMar>
            <w:vAlign w:val="center"/>
          </w:tcPr>
          <w:p>
            <w:pPr>
              <w:pStyle w:val="TableContents"/>
              <w:spacing w:before="0" w:after="283"/>
              <w:rPr/>
            </w:pPr>
            <w:r>
              <w:rPr/>
              <w:t> </w:t>
            </w:r>
          </w:p>
        </w:tc>
        <w:tc>
          <w:tcPr>
            <w:tcW w:w="785" w:type="dxa"/>
            <w:tcBorders/>
            <w:shd w:fill="auto" w:val="clear"/>
            <w:tcMar>
              <w:bottom w:w="0" w:type="dxa"/>
            </w:tcMar>
            <w:vAlign w:val="center"/>
          </w:tcPr>
          <w:p>
            <w:pPr>
              <w:pStyle w:val="TableContents"/>
              <w:spacing w:before="0" w:after="283"/>
              <w:jc w:val="center"/>
              <w:rPr>
                <w:sz w:val="20"/>
              </w:rPr>
            </w:pPr>
            <w:r>
              <w:rPr>
                <w:sz w:val="20"/>
              </w:rPr>
              <w:t>BRKH</w:t>
            </w:r>
          </w:p>
        </w:tc>
        <w:tc>
          <w:tcPr>
            <w:tcW w:w="60" w:type="dxa"/>
            <w:tcBorders/>
            <w:shd w:fill="auto" w:val="clear"/>
            <w:tcMar>
              <w:bottom w:w="0" w:type="dxa"/>
            </w:tcMar>
            <w:vAlign w:val="center"/>
          </w:tcPr>
          <w:p>
            <w:pPr>
              <w:pStyle w:val="TableContents"/>
              <w:spacing w:before="0" w:after="283"/>
              <w:rPr/>
            </w:pPr>
            <w:r>
              <w:rPr/>
              <w:t> </w:t>
            </w:r>
          </w:p>
        </w:tc>
        <w:tc>
          <w:tcPr>
            <w:tcW w:w="1911" w:type="dxa"/>
            <w:tcBorders/>
            <w:shd w:fill="auto" w:val="clear"/>
            <w:tcMar>
              <w:bottom w:w="0" w:type="dxa"/>
            </w:tcMar>
            <w:vAlign w:val="center"/>
          </w:tcPr>
          <w:p>
            <w:pPr>
              <w:pStyle w:val="TableContents"/>
              <w:spacing w:before="0" w:after="283"/>
              <w:jc w:val="center"/>
              <w:rPr>
                <w:sz w:val="20"/>
              </w:rPr>
            </w:pPr>
            <w:r>
              <w:rPr>
                <w:sz w:val="20"/>
              </w:rPr>
              <w:t>The Nasdaq Stock Market LLC</w:t>
            </w:r>
          </w:p>
        </w:tc>
      </w:tr>
      <w:tr>
        <w:trPr/>
        <w:tc>
          <w:tcPr>
            <w:tcW w:w="7389" w:type="dxa"/>
            <w:tcBorders/>
            <w:shd w:fill="auto" w:val="clear"/>
            <w:tcMar>
              <w:bottom w:w="0" w:type="dxa"/>
            </w:tcMar>
            <w:vAlign w:val="center"/>
          </w:tcPr>
          <w:p>
            <w:pPr>
              <w:pStyle w:val="TableContents"/>
              <w:spacing w:before="0" w:after="283"/>
              <w:rPr>
                <w:sz w:val="20"/>
              </w:rPr>
            </w:pPr>
            <w:r>
              <w:rPr>
                <w:sz w:val="20"/>
              </w:rPr>
              <w:t>Warrants, each exercisable for one share of Common Stock for $11.50 per share</w:t>
            </w:r>
          </w:p>
        </w:tc>
        <w:tc>
          <w:tcPr>
            <w:tcW w:w="60" w:type="dxa"/>
            <w:tcBorders/>
            <w:shd w:fill="auto" w:val="clear"/>
            <w:tcMar>
              <w:bottom w:w="0" w:type="dxa"/>
            </w:tcMar>
            <w:vAlign w:val="center"/>
          </w:tcPr>
          <w:p>
            <w:pPr>
              <w:pStyle w:val="TableContents"/>
              <w:spacing w:before="0" w:after="283"/>
              <w:rPr/>
            </w:pPr>
            <w:r>
              <w:rPr/>
              <w:t> </w:t>
            </w:r>
          </w:p>
        </w:tc>
        <w:tc>
          <w:tcPr>
            <w:tcW w:w="78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BRKHW </w:t>
            </w:r>
          </w:p>
        </w:tc>
        <w:tc>
          <w:tcPr>
            <w:tcW w:w="60" w:type="dxa"/>
            <w:tcBorders/>
            <w:shd w:fill="auto" w:val="clear"/>
            <w:tcMar>
              <w:bottom w:w="0" w:type="dxa"/>
            </w:tcMar>
            <w:vAlign w:val="center"/>
          </w:tcPr>
          <w:p>
            <w:pPr>
              <w:pStyle w:val="TableContents"/>
              <w:spacing w:before="0" w:after="283"/>
              <w:rPr/>
            </w:pPr>
            <w:r>
              <w:rPr/>
              <w:t> </w:t>
            </w:r>
          </w:p>
        </w:tc>
        <w:tc>
          <w:tcPr>
            <w:tcW w:w="1911" w:type="dxa"/>
            <w:tcBorders/>
            <w:shd w:fill="auto" w:val="clear"/>
            <w:tcMar>
              <w:bottom w:w="0" w:type="dxa"/>
            </w:tcMar>
            <w:vAlign w:val="center"/>
          </w:tcPr>
          <w:p>
            <w:pPr>
              <w:pStyle w:val="TableContents"/>
              <w:spacing w:before="0" w:after="283"/>
              <w:jc w:val="center"/>
              <w:rPr>
                <w:sz w:val="20"/>
              </w:rPr>
            </w:pPr>
            <w:r>
              <w:rPr>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610" w:type="dxa"/>
        <w:jc w:val="left"/>
        <w:tblInd w:w="0" w:type="dxa"/>
        <w:tblCellMar>
          <w:top w:w="0" w:type="dxa"/>
          <w:left w:w="0" w:type="dxa"/>
          <w:bottom w:w="0" w:type="dxa"/>
          <w:right w:w="0" w:type="dxa"/>
        </w:tblCellMar>
      </w:tblPr>
      <w:tblGrid>
        <w:gridCol w:w="1835"/>
        <w:gridCol w:w="230"/>
        <w:gridCol w:w="2300"/>
        <w:gridCol w:w="245"/>
      </w:tblGrid>
      <w:tr>
        <w:trPr/>
        <w:tc>
          <w:tcPr>
            <w:tcW w:w="1835" w:type="dxa"/>
            <w:tcBorders/>
            <w:shd w:fill="FFFFFF" w:val="clear"/>
            <w:vAlign w:val="center"/>
          </w:tcPr>
          <w:p>
            <w:pPr>
              <w:pStyle w:val="TableContents"/>
              <w:spacing w:before="0" w:after="283"/>
              <w:ind w:left="0" w:right="0" w:hanging="90"/>
              <w:rPr>
                <w:sz w:val="20"/>
              </w:rPr>
            </w:pPr>
            <w:r>
              <w:rPr>
                <w:sz w:val="20"/>
              </w:rPr>
              <w:t>Large accelerated filer</w:t>
            </w:r>
          </w:p>
        </w:tc>
        <w:tc>
          <w:tcPr>
            <w:tcW w:w="230" w:type="dxa"/>
            <w:tcBorders/>
            <w:shd w:fill="FFFFFF" w:val="clear"/>
            <w:vAlign w:val="center"/>
          </w:tcPr>
          <w:p>
            <w:pPr>
              <w:pStyle w:val="TableContents"/>
              <w:spacing w:before="0" w:after="283"/>
              <w:ind w:left="0" w:right="0" w:hanging="90"/>
              <w:rPr/>
            </w:pPr>
            <w:r>
              <w:rPr/>
              <w:t>☐</w:t>
            </w:r>
          </w:p>
        </w:tc>
        <w:tc>
          <w:tcPr>
            <w:tcW w:w="2300" w:type="dxa"/>
            <w:tcBorders/>
            <w:shd w:fill="FFFFFF" w:val="clear"/>
            <w:vAlign w:val="center"/>
          </w:tcPr>
          <w:p>
            <w:pPr>
              <w:pStyle w:val="TableContents"/>
              <w:spacing w:before="0" w:after="283"/>
              <w:ind w:left="0" w:right="0" w:hanging="90"/>
              <w:rPr>
                <w:sz w:val="20"/>
              </w:rPr>
            </w:pPr>
            <w:r>
              <w:rPr>
                <w:sz w:val="20"/>
              </w:rPr>
              <w:t>Accelerated filer</w:t>
            </w:r>
          </w:p>
        </w:tc>
        <w:tc>
          <w:tcPr>
            <w:tcW w:w="245" w:type="dxa"/>
            <w:tcBorders/>
            <w:shd w:fill="FFFFFF" w:val="clear"/>
            <w:vAlign w:val="center"/>
          </w:tcPr>
          <w:p>
            <w:pPr>
              <w:pStyle w:val="TableContents"/>
              <w:spacing w:before="0" w:after="283"/>
              <w:rPr/>
            </w:pPr>
            <w:r>
              <w:rPr/>
              <w:t>☐</w:t>
            </w:r>
          </w:p>
        </w:tc>
      </w:tr>
      <w:tr>
        <w:trPr/>
        <w:tc>
          <w:tcPr>
            <w:tcW w:w="1835" w:type="dxa"/>
            <w:tcBorders/>
            <w:shd w:fill="FFFFFF" w:val="clear"/>
            <w:vAlign w:val="center"/>
          </w:tcPr>
          <w:p>
            <w:pPr>
              <w:pStyle w:val="TableContents"/>
              <w:spacing w:before="0" w:after="283"/>
              <w:ind w:left="0" w:right="0" w:hanging="90"/>
              <w:rPr/>
            </w:pPr>
            <w:r>
              <w:rPr/>
              <w:t> </w:t>
            </w:r>
          </w:p>
        </w:tc>
        <w:tc>
          <w:tcPr>
            <w:tcW w:w="230" w:type="dxa"/>
            <w:tcBorders/>
            <w:shd w:fill="FFFFFF" w:val="clear"/>
            <w:vAlign w:val="center"/>
          </w:tcPr>
          <w:p>
            <w:pPr>
              <w:pStyle w:val="TableContents"/>
              <w:spacing w:before="0" w:after="283"/>
              <w:ind w:left="0" w:right="0" w:hanging="90"/>
              <w:rPr/>
            </w:pPr>
            <w:r>
              <w:rPr/>
              <w:t> </w:t>
            </w:r>
          </w:p>
        </w:tc>
        <w:tc>
          <w:tcPr>
            <w:tcW w:w="2300" w:type="dxa"/>
            <w:tcBorders/>
            <w:shd w:fill="FFFFFF" w:val="clear"/>
            <w:vAlign w:val="center"/>
          </w:tcPr>
          <w:p>
            <w:pPr>
              <w:pStyle w:val="TableContents"/>
              <w:spacing w:before="0" w:after="283"/>
              <w:ind w:left="0" w:right="0" w:hanging="90"/>
              <w:rPr/>
            </w:pPr>
            <w:r>
              <w:rPr/>
              <w:t> </w:t>
            </w:r>
          </w:p>
        </w:tc>
        <w:tc>
          <w:tcPr>
            <w:tcW w:w="245" w:type="dxa"/>
            <w:tcBorders/>
            <w:shd w:fill="FFFFFF" w:val="clear"/>
            <w:vAlign w:val="center"/>
          </w:tcPr>
          <w:p>
            <w:pPr>
              <w:pStyle w:val="TableContents"/>
              <w:spacing w:before="0" w:after="283"/>
              <w:ind w:left="0" w:right="0" w:hanging="90"/>
              <w:rPr/>
            </w:pPr>
            <w:r>
              <w:rPr/>
              <w:t> </w:t>
            </w:r>
          </w:p>
        </w:tc>
      </w:tr>
      <w:tr>
        <w:trPr/>
        <w:tc>
          <w:tcPr>
            <w:tcW w:w="1835" w:type="dxa"/>
            <w:tcBorders/>
            <w:shd w:fill="FFFFFF" w:val="clear"/>
            <w:vAlign w:val="center"/>
          </w:tcPr>
          <w:p>
            <w:pPr>
              <w:pStyle w:val="TableContents"/>
              <w:spacing w:before="0" w:after="283"/>
              <w:ind w:left="0" w:right="0" w:hanging="90"/>
              <w:rPr>
                <w:sz w:val="20"/>
              </w:rPr>
            </w:pPr>
            <w:r>
              <w:rPr>
                <w:sz w:val="20"/>
              </w:rPr>
              <w:t>Non-accelerated filer  </w:t>
            </w:r>
          </w:p>
        </w:tc>
        <w:tc>
          <w:tcPr>
            <w:tcW w:w="230" w:type="dxa"/>
            <w:tcBorders/>
            <w:shd w:fill="FFFFFF" w:val="clear"/>
            <w:vAlign w:val="center"/>
          </w:tcPr>
          <w:p>
            <w:pPr>
              <w:pStyle w:val="TableContents"/>
              <w:spacing w:before="0" w:after="283"/>
              <w:ind w:left="0" w:right="0" w:hanging="90"/>
              <w:rPr/>
            </w:pPr>
            <w:r>
              <w:rPr/>
              <w:t>☒</w:t>
            </w:r>
          </w:p>
        </w:tc>
        <w:tc>
          <w:tcPr>
            <w:tcW w:w="2300" w:type="dxa"/>
            <w:tcBorders/>
            <w:shd w:fill="FFFFFF" w:val="clear"/>
            <w:vAlign w:val="center"/>
          </w:tcPr>
          <w:p>
            <w:pPr>
              <w:pStyle w:val="TableContents"/>
              <w:spacing w:before="0" w:after="283"/>
              <w:ind w:left="0" w:right="0" w:hanging="90"/>
              <w:rPr>
                <w:sz w:val="20"/>
              </w:rPr>
            </w:pPr>
            <w:r>
              <w:rPr>
                <w:sz w:val="20"/>
              </w:rPr>
              <w:t>Smaller reporting company</w:t>
            </w:r>
          </w:p>
        </w:tc>
        <w:tc>
          <w:tcPr>
            <w:tcW w:w="245" w:type="dxa"/>
            <w:tcBorders/>
            <w:shd w:fill="FFFFFF" w:val="clear"/>
            <w:vAlign w:val="center"/>
          </w:tcPr>
          <w:p>
            <w:pPr>
              <w:pStyle w:val="TableContents"/>
              <w:spacing w:before="0" w:after="283"/>
              <w:ind w:left="0" w:right="0" w:hanging="90"/>
              <w:rPr/>
            </w:pPr>
            <w:r>
              <w:rPr/>
              <w:t>☒</w:t>
            </w:r>
          </w:p>
        </w:tc>
      </w:tr>
      <w:tr>
        <w:trPr/>
        <w:tc>
          <w:tcPr>
            <w:tcW w:w="1835" w:type="dxa"/>
            <w:tcBorders/>
            <w:shd w:fill="FFFFFF" w:val="clear"/>
            <w:vAlign w:val="center"/>
          </w:tcPr>
          <w:p>
            <w:pPr>
              <w:pStyle w:val="TableContents"/>
              <w:spacing w:before="0" w:after="283"/>
              <w:ind w:left="0" w:right="0" w:hanging="90"/>
              <w:rPr/>
            </w:pPr>
            <w:r>
              <w:rPr/>
              <w:t> </w:t>
            </w:r>
          </w:p>
        </w:tc>
        <w:tc>
          <w:tcPr>
            <w:tcW w:w="230" w:type="dxa"/>
            <w:tcBorders/>
            <w:shd w:fill="FFFFFF" w:val="clear"/>
            <w:vAlign w:val="center"/>
          </w:tcPr>
          <w:p>
            <w:pPr>
              <w:pStyle w:val="TableContents"/>
              <w:spacing w:before="0" w:after="283"/>
              <w:ind w:left="0" w:right="0" w:hanging="90"/>
              <w:rPr/>
            </w:pPr>
            <w:r>
              <w:rPr/>
              <w:t> </w:t>
            </w:r>
          </w:p>
        </w:tc>
        <w:tc>
          <w:tcPr>
            <w:tcW w:w="2300" w:type="dxa"/>
            <w:tcBorders/>
            <w:shd w:fill="FFFFFF" w:val="clear"/>
            <w:vAlign w:val="center"/>
          </w:tcPr>
          <w:p>
            <w:pPr>
              <w:pStyle w:val="TableContents"/>
              <w:spacing w:before="0" w:after="283"/>
              <w:ind w:left="0" w:right="0" w:hanging="90"/>
              <w:rPr/>
            </w:pPr>
            <w:r>
              <w:rPr/>
              <w:t> </w:t>
            </w:r>
          </w:p>
        </w:tc>
        <w:tc>
          <w:tcPr>
            <w:tcW w:w="245" w:type="dxa"/>
            <w:tcBorders/>
            <w:shd w:fill="FFFFFF" w:val="clear"/>
            <w:vAlign w:val="center"/>
          </w:tcPr>
          <w:p>
            <w:pPr>
              <w:pStyle w:val="TableContents"/>
              <w:spacing w:before="0" w:after="283"/>
              <w:ind w:left="0" w:right="0" w:hanging="90"/>
              <w:rPr/>
            </w:pPr>
            <w:r>
              <w:rPr/>
              <w:t> </w:t>
            </w:r>
          </w:p>
        </w:tc>
      </w:tr>
      <w:tr>
        <w:trPr/>
        <w:tc>
          <w:tcPr>
            <w:tcW w:w="1835" w:type="dxa"/>
            <w:tcBorders/>
            <w:shd w:fill="FFFFFF" w:val="clear"/>
            <w:vAlign w:val="center"/>
          </w:tcPr>
          <w:p>
            <w:pPr>
              <w:pStyle w:val="TableContents"/>
              <w:spacing w:before="0" w:after="283"/>
              <w:ind w:left="0" w:right="0" w:hanging="90"/>
              <w:rPr/>
            </w:pPr>
            <w:r>
              <w:rPr/>
              <w:t> </w:t>
            </w:r>
          </w:p>
        </w:tc>
        <w:tc>
          <w:tcPr>
            <w:tcW w:w="230" w:type="dxa"/>
            <w:tcBorders/>
            <w:shd w:fill="FFFFFF" w:val="clear"/>
            <w:vAlign w:val="center"/>
          </w:tcPr>
          <w:p>
            <w:pPr>
              <w:pStyle w:val="TableContents"/>
              <w:spacing w:before="0" w:after="283"/>
              <w:ind w:left="0" w:right="0" w:hanging="90"/>
              <w:rPr/>
            </w:pPr>
            <w:r>
              <w:rPr/>
              <w:t> </w:t>
            </w:r>
          </w:p>
        </w:tc>
        <w:tc>
          <w:tcPr>
            <w:tcW w:w="2300" w:type="dxa"/>
            <w:tcBorders/>
            <w:shd w:fill="FFFFFF" w:val="clear"/>
            <w:vAlign w:val="center"/>
          </w:tcPr>
          <w:p>
            <w:pPr>
              <w:pStyle w:val="TableContents"/>
              <w:spacing w:before="0" w:after="283"/>
              <w:ind w:left="0" w:right="0" w:hanging="90"/>
              <w:rPr>
                <w:sz w:val="20"/>
              </w:rPr>
            </w:pPr>
            <w:r>
              <w:rPr>
                <w:sz w:val="20"/>
              </w:rPr>
              <w:t>Emerging Growth Company</w:t>
            </w:r>
          </w:p>
        </w:tc>
        <w:tc>
          <w:tcPr>
            <w:tcW w:w="245" w:type="dxa"/>
            <w:tcBorders/>
            <w:shd w:fill="FFFFFF" w:val="clear"/>
            <w:vAlign w:val="center"/>
          </w:tcPr>
          <w:p>
            <w:pPr>
              <w:pStyle w:val="TableContents"/>
              <w:spacing w:before="0" w:after="283"/>
              <w:rPr/>
            </w:pPr>
            <w:r>
              <w:rPr/>
              <w:t>☒</w:t>
            </w:r>
          </w:p>
        </w:tc>
      </w:tr>
    </w:tbl>
    <w:p>
      <w:pPr>
        <w:pStyle w:val="TextBody"/>
        <w:spacing w:before="0" w:after="0"/>
        <w:ind w:left="360" w:right="0" w:hanging="36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2021, the aggregate market value of the registrant’s common stock held by non-affiliates of the registrant was $0. The registrant’s units began trading on The Nasdaq Global Market (“NASDAQ”) on December 13, 2021 and the registrant’s shares of Class A common stock, par value $0.0001 and warrants began trading on the NASDAQ on January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there were 28,750,000 shares of Class A common stock, par value $0.0001 per share, and 9,487,500 shares of Class B common stock, par value $0.0001 per share, issued and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 for the Year Ended 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8"/>
        <w:gridCol w:w="9001"/>
        <w:gridCol w:w="456"/>
      </w:tblGrid>
      <w:tr>
        <w:trPr/>
        <w:tc>
          <w:tcPr>
            <w:tcW w:w="748" w:type="dxa"/>
            <w:tcBorders/>
            <w:shd w:fill="auto" w:val="clear"/>
            <w:vAlign w:val="center"/>
          </w:tcPr>
          <w:p>
            <w:pPr>
              <w:pStyle w:val="TableContents"/>
              <w:spacing w:before="0" w:after="283"/>
              <w:rPr/>
            </w:pPr>
            <w:r>
              <w:rPr/>
              <w:t> </w:t>
            </w:r>
          </w:p>
        </w:tc>
        <w:tc>
          <w:tcPr>
            <w:tcW w:w="9001" w:type="dxa"/>
            <w:tcBorders/>
            <w:shd w:fill="auto" w:val="clear"/>
            <w:vAlign w:val="center"/>
          </w:tcPr>
          <w:p>
            <w:pPr>
              <w:pStyle w:val="TableContents"/>
              <w:spacing w:before="0" w:after="283"/>
              <w:rPr/>
            </w:pPr>
            <w:r>
              <w:rPr/>
              <w:t> </w:t>
            </w:r>
          </w:p>
        </w:tc>
        <w:tc>
          <w:tcPr>
            <w:tcW w:w="456"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Page</w:t>
            </w:r>
          </w:p>
        </w:tc>
      </w:tr>
      <w:tr>
        <w:trPr/>
        <w:tc>
          <w:tcPr>
            <w:tcW w:w="748" w:type="dxa"/>
            <w:tcBorders/>
            <w:shd w:fill="CCEEFF" w:val="clear"/>
            <w:vAlign w:val="center"/>
          </w:tcPr>
          <w:p>
            <w:pPr>
              <w:pStyle w:val="TableContents"/>
              <w:spacing w:before="0" w:after="283"/>
              <w:rPr/>
            </w:pPr>
            <w:hyperlink w:anchor="a_001">
              <w:r>
                <w:rPr>
                  <w:rStyle w:val="InternetLink"/>
                  <w:sz w:val="20"/>
                </w:rPr>
                <w:t>PART I</w:t>
              </w:r>
            </w:hyperlink>
          </w:p>
        </w:tc>
        <w:tc>
          <w:tcPr>
            <w:tcW w:w="9001" w:type="dxa"/>
            <w:tcBorders/>
            <w:shd w:fill="CCEEFF" w:val="clear"/>
            <w:vAlign w:val="center"/>
          </w:tcPr>
          <w:p>
            <w:pPr>
              <w:pStyle w:val="TableContents"/>
              <w:spacing w:before="0" w:after="283"/>
              <w:rPr/>
            </w:pPr>
            <w:r>
              <w:rPr/>
              <w:t> </w:t>
            </w:r>
          </w:p>
        </w:tc>
        <w:tc>
          <w:tcPr>
            <w:tcW w:w="456" w:type="dxa"/>
            <w:tcBorders/>
            <w:shd w:fill="CCEEFF" w:val="clear"/>
            <w:vAlign w:val="center"/>
          </w:tcPr>
          <w:p>
            <w:pPr>
              <w:pStyle w:val="TableContents"/>
              <w:spacing w:before="0" w:after="283"/>
              <w:jc w:val="center"/>
              <w:rPr/>
            </w:pPr>
            <w:hyperlink w:anchor="a_001">
              <w:r>
                <w:rPr>
                  <w:rStyle w:val="InternetLink"/>
                  <w:sz w:val="20"/>
                </w:rPr>
                <w:t>4</w:t>
              </w:r>
            </w:hyperlink>
          </w:p>
        </w:tc>
      </w:tr>
      <w:tr>
        <w:trPr/>
        <w:tc>
          <w:tcPr>
            <w:tcW w:w="748" w:type="dxa"/>
            <w:tcBorders/>
            <w:shd w:fill="FFFFFF" w:val="clear"/>
            <w:vAlign w:val="center"/>
          </w:tcPr>
          <w:p>
            <w:pPr>
              <w:pStyle w:val="TableContents"/>
              <w:spacing w:before="0" w:after="283"/>
              <w:rPr/>
            </w:pPr>
            <w:hyperlink w:anchor="a_002">
              <w:r>
                <w:rPr>
                  <w:rStyle w:val="InternetLink"/>
                  <w:sz w:val="20"/>
                </w:rPr>
                <w:t>ITEM 1.</w:t>
              </w:r>
            </w:hyperlink>
          </w:p>
        </w:tc>
        <w:tc>
          <w:tcPr>
            <w:tcW w:w="9001" w:type="dxa"/>
            <w:tcBorders/>
            <w:shd w:fill="FFFFFF" w:val="clear"/>
            <w:vAlign w:val="center"/>
          </w:tcPr>
          <w:p>
            <w:pPr>
              <w:pStyle w:val="TableContents"/>
              <w:spacing w:before="0" w:after="283"/>
              <w:rPr/>
            </w:pPr>
            <w:hyperlink w:anchor="a_002">
              <w:r>
                <w:rPr>
                  <w:rStyle w:val="InternetLink"/>
                  <w:sz w:val="20"/>
                </w:rPr>
                <w:t>BUSINESS</w:t>
              </w:r>
            </w:hyperlink>
          </w:p>
        </w:tc>
        <w:tc>
          <w:tcPr>
            <w:tcW w:w="456" w:type="dxa"/>
            <w:tcBorders/>
            <w:shd w:fill="FFFFFF" w:val="clear"/>
            <w:vAlign w:val="center"/>
          </w:tcPr>
          <w:p>
            <w:pPr>
              <w:pStyle w:val="TableContents"/>
              <w:spacing w:before="0" w:after="283"/>
              <w:jc w:val="center"/>
              <w:rPr/>
            </w:pPr>
            <w:hyperlink w:anchor="a_002">
              <w:r>
                <w:rPr>
                  <w:rStyle w:val="InternetLink"/>
                  <w:sz w:val="20"/>
                </w:rPr>
                <w:t>4</w:t>
              </w:r>
            </w:hyperlink>
          </w:p>
        </w:tc>
      </w:tr>
      <w:tr>
        <w:trPr/>
        <w:tc>
          <w:tcPr>
            <w:tcW w:w="748" w:type="dxa"/>
            <w:tcBorders/>
            <w:shd w:fill="CCEEFF" w:val="clear"/>
            <w:vAlign w:val="center"/>
          </w:tcPr>
          <w:p>
            <w:pPr>
              <w:pStyle w:val="TableContents"/>
              <w:spacing w:before="0" w:after="283"/>
              <w:rPr/>
            </w:pPr>
            <w:hyperlink w:anchor="b_001">
              <w:r>
                <w:rPr>
                  <w:rStyle w:val="InternetLink"/>
                  <w:sz w:val="20"/>
                </w:rPr>
                <w:t>ITEM 1A.</w:t>
              </w:r>
            </w:hyperlink>
          </w:p>
        </w:tc>
        <w:tc>
          <w:tcPr>
            <w:tcW w:w="9001" w:type="dxa"/>
            <w:tcBorders/>
            <w:shd w:fill="CCEEFF" w:val="clear"/>
            <w:vAlign w:val="center"/>
          </w:tcPr>
          <w:p>
            <w:pPr>
              <w:pStyle w:val="TableContents"/>
              <w:spacing w:before="0" w:after="283"/>
              <w:rPr/>
            </w:pPr>
            <w:hyperlink w:anchor="b_001">
              <w:r>
                <w:rPr>
                  <w:rStyle w:val="InternetLink"/>
                  <w:sz w:val="20"/>
                </w:rPr>
                <w:t>RISK FACTORS</w:t>
              </w:r>
            </w:hyperlink>
          </w:p>
        </w:tc>
        <w:tc>
          <w:tcPr>
            <w:tcW w:w="456" w:type="dxa"/>
            <w:tcBorders/>
            <w:shd w:fill="CCEEFF" w:val="clear"/>
            <w:vAlign w:val="center"/>
          </w:tcPr>
          <w:p>
            <w:pPr>
              <w:pStyle w:val="TableContents"/>
              <w:spacing w:before="0" w:after="283"/>
              <w:jc w:val="center"/>
              <w:rPr/>
            </w:pPr>
            <w:hyperlink w:anchor="b_001">
              <w:r>
                <w:rPr>
                  <w:rStyle w:val="InternetLink"/>
                  <w:sz w:val="20"/>
                </w:rPr>
                <w:t>10</w:t>
              </w:r>
            </w:hyperlink>
          </w:p>
        </w:tc>
      </w:tr>
      <w:tr>
        <w:trPr/>
        <w:tc>
          <w:tcPr>
            <w:tcW w:w="748" w:type="dxa"/>
            <w:tcBorders/>
            <w:shd w:fill="FFFFFF" w:val="clear"/>
            <w:vAlign w:val="center"/>
          </w:tcPr>
          <w:p>
            <w:pPr>
              <w:pStyle w:val="TableContents"/>
              <w:spacing w:before="0" w:after="283"/>
              <w:rPr/>
            </w:pPr>
            <w:hyperlink w:anchor="b_002">
              <w:r>
                <w:rPr>
                  <w:rStyle w:val="InternetLink"/>
                  <w:sz w:val="20"/>
                </w:rPr>
                <w:t>ITEM 1B.</w:t>
              </w:r>
            </w:hyperlink>
          </w:p>
        </w:tc>
        <w:tc>
          <w:tcPr>
            <w:tcW w:w="9001" w:type="dxa"/>
            <w:tcBorders/>
            <w:shd w:fill="FFFFFF" w:val="clear"/>
            <w:vAlign w:val="center"/>
          </w:tcPr>
          <w:p>
            <w:pPr>
              <w:pStyle w:val="TableContents"/>
              <w:spacing w:before="0" w:after="283"/>
              <w:rPr/>
            </w:pPr>
            <w:hyperlink w:anchor="b_002">
              <w:r>
                <w:rPr>
                  <w:rStyle w:val="InternetLink"/>
                  <w:sz w:val="20"/>
                </w:rPr>
                <w:t>UNRESOLVED STAFF COMMENTS</w:t>
              </w:r>
            </w:hyperlink>
          </w:p>
        </w:tc>
        <w:tc>
          <w:tcPr>
            <w:tcW w:w="456" w:type="dxa"/>
            <w:tcBorders/>
            <w:shd w:fill="FFFFFF" w:val="clear"/>
            <w:vAlign w:val="center"/>
          </w:tcPr>
          <w:p>
            <w:pPr>
              <w:pStyle w:val="TableContents"/>
              <w:spacing w:before="0" w:after="283"/>
              <w:jc w:val="center"/>
              <w:rPr/>
            </w:pPr>
            <w:hyperlink w:anchor="b_002">
              <w:r>
                <w:rPr>
                  <w:rStyle w:val="InternetLink"/>
                  <w:sz w:val="20"/>
                </w:rPr>
                <w:t>10</w:t>
              </w:r>
            </w:hyperlink>
          </w:p>
        </w:tc>
      </w:tr>
      <w:tr>
        <w:trPr/>
        <w:tc>
          <w:tcPr>
            <w:tcW w:w="748" w:type="dxa"/>
            <w:tcBorders/>
            <w:shd w:fill="CCEEFF" w:val="clear"/>
            <w:vAlign w:val="center"/>
          </w:tcPr>
          <w:p>
            <w:pPr>
              <w:pStyle w:val="TableContents"/>
              <w:spacing w:before="0" w:after="283"/>
              <w:rPr/>
            </w:pPr>
            <w:hyperlink w:anchor="b_003">
              <w:r>
                <w:rPr>
                  <w:rStyle w:val="InternetLink"/>
                  <w:sz w:val="20"/>
                </w:rPr>
                <w:t>ITEM 2.</w:t>
              </w:r>
            </w:hyperlink>
          </w:p>
        </w:tc>
        <w:tc>
          <w:tcPr>
            <w:tcW w:w="9001" w:type="dxa"/>
            <w:tcBorders/>
            <w:shd w:fill="CCEEFF" w:val="clear"/>
            <w:vAlign w:val="center"/>
          </w:tcPr>
          <w:p>
            <w:pPr>
              <w:pStyle w:val="TableContents"/>
              <w:spacing w:before="0" w:after="283"/>
              <w:rPr/>
            </w:pPr>
            <w:hyperlink w:anchor="b_003">
              <w:r>
                <w:rPr>
                  <w:rStyle w:val="InternetLink"/>
                  <w:sz w:val="20"/>
                </w:rPr>
                <w:t>PROPERTIES</w:t>
              </w:r>
            </w:hyperlink>
          </w:p>
        </w:tc>
        <w:tc>
          <w:tcPr>
            <w:tcW w:w="456" w:type="dxa"/>
            <w:tcBorders/>
            <w:shd w:fill="CCEEFF" w:val="clear"/>
            <w:vAlign w:val="center"/>
          </w:tcPr>
          <w:p>
            <w:pPr>
              <w:pStyle w:val="TableContents"/>
              <w:spacing w:before="0" w:after="283"/>
              <w:jc w:val="center"/>
              <w:rPr/>
            </w:pPr>
            <w:hyperlink w:anchor="b_003">
              <w:r>
                <w:rPr>
                  <w:rStyle w:val="InternetLink"/>
                  <w:sz w:val="20"/>
                </w:rPr>
                <w:t>10</w:t>
              </w:r>
            </w:hyperlink>
          </w:p>
        </w:tc>
      </w:tr>
      <w:tr>
        <w:trPr/>
        <w:tc>
          <w:tcPr>
            <w:tcW w:w="748" w:type="dxa"/>
            <w:tcBorders/>
            <w:shd w:fill="FFFFFF" w:val="clear"/>
            <w:vAlign w:val="center"/>
          </w:tcPr>
          <w:p>
            <w:pPr>
              <w:pStyle w:val="TableContents"/>
              <w:spacing w:before="0" w:after="283"/>
              <w:rPr/>
            </w:pPr>
            <w:hyperlink w:anchor="b_004">
              <w:r>
                <w:rPr>
                  <w:rStyle w:val="InternetLink"/>
                  <w:sz w:val="20"/>
                </w:rPr>
                <w:t>ITEM 3.</w:t>
              </w:r>
            </w:hyperlink>
          </w:p>
        </w:tc>
        <w:tc>
          <w:tcPr>
            <w:tcW w:w="9001" w:type="dxa"/>
            <w:tcBorders/>
            <w:shd w:fill="FFFFFF" w:val="clear"/>
            <w:vAlign w:val="center"/>
          </w:tcPr>
          <w:p>
            <w:pPr>
              <w:pStyle w:val="TableContents"/>
              <w:spacing w:before="0" w:after="283"/>
              <w:rPr/>
            </w:pPr>
            <w:hyperlink w:anchor="b_004">
              <w:r>
                <w:rPr>
                  <w:rStyle w:val="InternetLink"/>
                  <w:sz w:val="20"/>
                </w:rPr>
                <w:t>LEGAL PROCEEDINGS</w:t>
              </w:r>
            </w:hyperlink>
          </w:p>
        </w:tc>
        <w:tc>
          <w:tcPr>
            <w:tcW w:w="456" w:type="dxa"/>
            <w:tcBorders/>
            <w:shd w:fill="FFFFFF" w:val="clear"/>
            <w:vAlign w:val="center"/>
          </w:tcPr>
          <w:p>
            <w:pPr>
              <w:pStyle w:val="TableContents"/>
              <w:spacing w:before="0" w:after="283"/>
              <w:jc w:val="center"/>
              <w:rPr/>
            </w:pPr>
            <w:hyperlink w:anchor="b_004">
              <w:r>
                <w:rPr>
                  <w:rStyle w:val="InternetLink"/>
                  <w:sz w:val="20"/>
                </w:rPr>
                <w:t>10</w:t>
              </w:r>
            </w:hyperlink>
          </w:p>
        </w:tc>
      </w:tr>
      <w:tr>
        <w:trPr/>
        <w:tc>
          <w:tcPr>
            <w:tcW w:w="748" w:type="dxa"/>
            <w:tcBorders/>
            <w:shd w:fill="CCEEFF" w:val="clear"/>
            <w:vAlign w:val="center"/>
          </w:tcPr>
          <w:p>
            <w:pPr>
              <w:pStyle w:val="TableContents"/>
              <w:spacing w:before="0" w:after="283"/>
              <w:rPr/>
            </w:pPr>
            <w:hyperlink w:anchor="b_005">
              <w:r>
                <w:rPr>
                  <w:rStyle w:val="InternetLink"/>
                  <w:sz w:val="20"/>
                </w:rPr>
                <w:t>ITEM 4.</w:t>
              </w:r>
            </w:hyperlink>
          </w:p>
        </w:tc>
        <w:tc>
          <w:tcPr>
            <w:tcW w:w="9001" w:type="dxa"/>
            <w:tcBorders/>
            <w:shd w:fill="CCEEFF" w:val="clear"/>
            <w:vAlign w:val="center"/>
          </w:tcPr>
          <w:p>
            <w:pPr>
              <w:pStyle w:val="TableContents"/>
              <w:spacing w:before="0" w:after="283"/>
              <w:rPr/>
            </w:pPr>
            <w:hyperlink w:anchor="b_005">
              <w:r>
                <w:rPr>
                  <w:rStyle w:val="InternetLink"/>
                  <w:sz w:val="20"/>
                </w:rPr>
                <w:t>MINE SAFETY DISCLOSURES</w:t>
              </w:r>
            </w:hyperlink>
          </w:p>
        </w:tc>
        <w:tc>
          <w:tcPr>
            <w:tcW w:w="456" w:type="dxa"/>
            <w:tcBorders/>
            <w:shd w:fill="CCEEFF" w:val="clear"/>
            <w:vAlign w:val="center"/>
          </w:tcPr>
          <w:p>
            <w:pPr>
              <w:pStyle w:val="TableContents"/>
              <w:spacing w:before="0" w:after="283"/>
              <w:jc w:val="center"/>
              <w:rPr/>
            </w:pPr>
            <w:hyperlink w:anchor="b_005">
              <w:r>
                <w:rPr>
                  <w:rStyle w:val="InternetLink"/>
                  <w:sz w:val="20"/>
                </w:rPr>
                <w:t>10</w:t>
              </w:r>
            </w:hyperlink>
          </w:p>
        </w:tc>
      </w:tr>
      <w:tr>
        <w:trPr/>
        <w:tc>
          <w:tcPr>
            <w:tcW w:w="748" w:type="dxa"/>
            <w:tcBorders/>
            <w:shd w:fill="FFFFFF" w:val="clear"/>
            <w:vAlign w:val="center"/>
          </w:tcPr>
          <w:p>
            <w:pPr>
              <w:pStyle w:val="TableContents"/>
              <w:spacing w:before="0" w:after="283"/>
              <w:rPr/>
            </w:pPr>
            <w:hyperlink w:anchor="b_006">
              <w:r>
                <w:rPr>
                  <w:rStyle w:val="InternetLink"/>
                  <w:sz w:val="20"/>
                </w:rPr>
                <w:t>PART II</w:t>
              </w:r>
            </w:hyperlink>
          </w:p>
        </w:tc>
        <w:tc>
          <w:tcPr>
            <w:tcW w:w="9001"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center"/>
              <w:rPr/>
            </w:pPr>
            <w:hyperlink w:anchor="b_006">
              <w:r>
                <w:rPr>
                  <w:rStyle w:val="InternetLink"/>
                  <w:sz w:val="20"/>
                </w:rPr>
                <w:t>10</w:t>
              </w:r>
            </w:hyperlink>
          </w:p>
        </w:tc>
      </w:tr>
      <w:tr>
        <w:trPr/>
        <w:tc>
          <w:tcPr>
            <w:tcW w:w="748" w:type="dxa"/>
            <w:tcBorders/>
            <w:shd w:fill="CCEEFF" w:val="clear"/>
            <w:vAlign w:val="center"/>
          </w:tcPr>
          <w:p>
            <w:pPr>
              <w:pStyle w:val="TableContents"/>
              <w:spacing w:before="0" w:after="283"/>
              <w:rPr/>
            </w:pPr>
            <w:hyperlink w:anchor="b_007">
              <w:r>
                <w:rPr>
                  <w:rStyle w:val="InternetLink"/>
                  <w:sz w:val="20"/>
                </w:rPr>
                <w:t>ITEM 5.</w:t>
              </w:r>
            </w:hyperlink>
          </w:p>
        </w:tc>
        <w:tc>
          <w:tcPr>
            <w:tcW w:w="9001" w:type="dxa"/>
            <w:tcBorders/>
            <w:shd w:fill="CCEEFF" w:val="clear"/>
            <w:vAlign w:val="center"/>
          </w:tcPr>
          <w:p>
            <w:pPr>
              <w:pStyle w:val="TableContents"/>
              <w:spacing w:before="0" w:after="283"/>
              <w:jc w:val="both"/>
              <w:rPr/>
            </w:pPr>
            <w:hyperlink w:anchor="b_007">
              <w:r>
                <w:rPr>
                  <w:rStyle w:val="InternetLink"/>
                  <w:sz w:val="20"/>
                </w:rPr>
                <w:t>MARKET FOR REGISTRANT’S COMMON EQUITY, RELATED SHAREHOLDER MATTERS AND ISSUER PURCHASES OF EQUITY SECURITIES</w:t>
              </w:r>
            </w:hyperlink>
          </w:p>
        </w:tc>
        <w:tc>
          <w:tcPr>
            <w:tcW w:w="456" w:type="dxa"/>
            <w:tcBorders/>
            <w:shd w:fill="CCEEFF" w:val="clear"/>
            <w:vAlign w:val="center"/>
          </w:tcPr>
          <w:p>
            <w:pPr>
              <w:pStyle w:val="TableContents"/>
              <w:spacing w:before="0" w:after="283"/>
              <w:jc w:val="center"/>
              <w:rPr/>
            </w:pPr>
            <w:hyperlink w:anchor="b_007">
              <w:r>
                <w:rPr>
                  <w:rStyle w:val="InternetLink"/>
                  <w:sz w:val="20"/>
                </w:rPr>
                <w:t>10</w:t>
              </w:r>
            </w:hyperlink>
          </w:p>
        </w:tc>
      </w:tr>
      <w:tr>
        <w:trPr/>
        <w:tc>
          <w:tcPr>
            <w:tcW w:w="748" w:type="dxa"/>
            <w:tcBorders/>
            <w:shd w:fill="FFFFFF" w:val="clear"/>
            <w:vAlign w:val="center"/>
          </w:tcPr>
          <w:p>
            <w:pPr>
              <w:pStyle w:val="TableContents"/>
              <w:spacing w:before="0" w:after="283"/>
              <w:rPr/>
            </w:pPr>
            <w:hyperlink w:anchor="b_008">
              <w:r>
                <w:rPr>
                  <w:rStyle w:val="InternetLink"/>
                  <w:sz w:val="20"/>
                </w:rPr>
                <w:t>ITEM 6.</w:t>
              </w:r>
            </w:hyperlink>
          </w:p>
        </w:tc>
        <w:tc>
          <w:tcPr>
            <w:tcW w:w="9001" w:type="dxa"/>
            <w:tcBorders/>
            <w:shd w:fill="FFFFFF" w:val="clear"/>
            <w:vAlign w:val="center"/>
          </w:tcPr>
          <w:p>
            <w:pPr>
              <w:pStyle w:val="TableContents"/>
              <w:spacing w:before="0" w:after="283"/>
              <w:rPr/>
            </w:pPr>
            <w:hyperlink w:anchor="b_008">
              <w:r>
                <w:rPr>
                  <w:rStyle w:val="InternetLink"/>
                  <w:sz w:val="20"/>
                </w:rPr>
                <w:t>[RESERVED]</w:t>
              </w:r>
            </w:hyperlink>
          </w:p>
        </w:tc>
        <w:tc>
          <w:tcPr>
            <w:tcW w:w="456" w:type="dxa"/>
            <w:tcBorders/>
            <w:shd w:fill="FFFFFF" w:val="clear"/>
            <w:vAlign w:val="center"/>
          </w:tcPr>
          <w:p>
            <w:pPr>
              <w:pStyle w:val="TableContents"/>
              <w:spacing w:before="0" w:after="283"/>
              <w:jc w:val="center"/>
              <w:rPr/>
            </w:pPr>
            <w:hyperlink w:anchor="b_008">
              <w:r>
                <w:rPr>
                  <w:rStyle w:val="InternetLink"/>
                  <w:sz w:val="20"/>
                </w:rPr>
                <w:t>11</w:t>
              </w:r>
            </w:hyperlink>
          </w:p>
        </w:tc>
      </w:tr>
      <w:tr>
        <w:trPr/>
        <w:tc>
          <w:tcPr>
            <w:tcW w:w="748" w:type="dxa"/>
            <w:tcBorders/>
            <w:shd w:fill="CCEEFF" w:val="clear"/>
            <w:vAlign w:val="center"/>
          </w:tcPr>
          <w:p>
            <w:pPr>
              <w:pStyle w:val="TableContents"/>
              <w:spacing w:before="0" w:after="283"/>
              <w:rPr/>
            </w:pPr>
            <w:hyperlink w:anchor="b_009">
              <w:r>
                <w:rPr>
                  <w:rStyle w:val="InternetLink"/>
                  <w:sz w:val="20"/>
                </w:rPr>
                <w:t>ITEM 7.</w:t>
              </w:r>
            </w:hyperlink>
          </w:p>
        </w:tc>
        <w:tc>
          <w:tcPr>
            <w:tcW w:w="9001" w:type="dxa"/>
            <w:tcBorders/>
            <w:shd w:fill="CCEEFF" w:val="clear"/>
            <w:vAlign w:val="center"/>
          </w:tcPr>
          <w:p>
            <w:pPr>
              <w:pStyle w:val="TableContents"/>
              <w:spacing w:before="0" w:after="283"/>
              <w:rPr/>
            </w:pPr>
            <w:hyperlink w:anchor="b_009">
              <w:r>
                <w:rPr>
                  <w:rStyle w:val="InternetLink"/>
                  <w:sz w:val="20"/>
                </w:rPr>
                <w:t>MANAGEMENT’S DISCUSSION AND ANALYSIS OF FINANCIAL CONDITION AND RESULTS OF OPERATIONS</w:t>
              </w:r>
            </w:hyperlink>
          </w:p>
        </w:tc>
        <w:tc>
          <w:tcPr>
            <w:tcW w:w="456" w:type="dxa"/>
            <w:tcBorders/>
            <w:shd w:fill="CCEEFF" w:val="clear"/>
            <w:vAlign w:val="center"/>
          </w:tcPr>
          <w:p>
            <w:pPr>
              <w:pStyle w:val="TableContents"/>
              <w:spacing w:before="0" w:after="283"/>
              <w:jc w:val="center"/>
              <w:rPr/>
            </w:pPr>
            <w:hyperlink w:anchor="b_009">
              <w:r>
                <w:rPr>
                  <w:rStyle w:val="InternetLink"/>
                  <w:sz w:val="20"/>
                </w:rPr>
                <w:t>11</w:t>
              </w:r>
            </w:hyperlink>
          </w:p>
        </w:tc>
      </w:tr>
      <w:tr>
        <w:trPr/>
        <w:tc>
          <w:tcPr>
            <w:tcW w:w="748" w:type="dxa"/>
            <w:tcBorders/>
            <w:shd w:fill="FFFFFF" w:val="clear"/>
            <w:vAlign w:val="center"/>
          </w:tcPr>
          <w:p>
            <w:pPr>
              <w:pStyle w:val="TableContents"/>
              <w:spacing w:before="0" w:after="283"/>
              <w:rPr/>
            </w:pPr>
            <w:hyperlink w:anchor="b_010">
              <w:r>
                <w:rPr>
                  <w:rStyle w:val="InternetLink"/>
                  <w:sz w:val="20"/>
                </w:rPr>
                <w:t>ITEM 7A.</w:t>
              </w:r>
            </w:hyperlink>
          </w:p>
        </w:tc>
        <w:tc>
          <w:tcPr>
            <w:tcW w:w="9001" w:type="dxa"/>
            <w:tcBorders/>
            <w:shd w:fill="FFFFFF" w:val="clear"/>
            <w:vAlign w:val="center"/>
          </w:tcPr>
          <w:p>
            <w:pPr>
              <w:pStyle w:val="TableContents"/>
              <w:spacing w:before="0" w:after="283"/>
              <w:rPr/>
            </w:pPr>
            <w:hyperlink w:anchor="b_010">
              <w:r>
                <w:rPr>
                  <w:rStyle w:val="InternetLink"/>
                  <w:sz w:val="20"/>
                </w:rPr>
                <w:t>QUANTITATIVE AND QUALITATIVE DISCLOSURES ABOUT MARKET RISK</w:t>
              </w:r>
            </w:hyperlink>
          </w:p>
        </w:tc>
        <w:tc>
          <w:tcPr>
            <w:tcW w:w="456" w:type="dxa"/>
            <w:tcBorders/>
            <w:shd w:fill="FFFFFF" w:val="clear"/>
            <w:vAlign w:val="center"/>
          </w:tcPr>
          <w:p>
            <w:pPr>
              <w:pStyle w:val="TableContents"/>
              <w:spacing w:before="0" w:after="283"/>
              <w:jc w:val="center"/>
              <w:rPr/>
            </w:pPr>
            <w:hyperlink w:anchor="b_010">
              <w:r>
                <w:rPr>
                  <w:rStyle w:val="InternetLink"/>
                  <w:sz w:val="20"/>
                </w:rPr>
                <w:t>14</w:t>
              </w:r>
            </w:hyperlink>
          </w:p>
        </w:tc>
      </w:tr>
      <w:tr>
        <w:trPr/>
        <w:tc>
          <w:tcPr>
            <w:tcW w:w="748" w:type="dxa"/>
            <w:tcBorders/>
            <w:shd w:fill="CCEEFF" w:val="clear"/>
            <w:vAlign w:val="center"/>
          </w:tcPr>
          <w:p>
            <w:pPr>
              <w:pStyle w:val="TableContents"/>
              <w:spacing w:before="0" w:after="283"/>
              <w:rPr/>
            </w:pPr>
            <w:hyperlink w:anchor="b_011">
              <w:r>
                <w:rPr>
                  <w:rStyle w:val="InternetLink"/>
                  <w:sz w:val="20"/>
                </w:rPr>
                <w:t>ITEM 8.</w:t>
              </w:r>
            </w:hyperlink>
          </w:p>
        </w:tc>
        <w:tc>
          <w:tcPr>
            <w:tcW w:w="9001" w:type="dxa"/>
            <w:tcBorders/>
            <w:shd w:fill="CCEEFF" w:val="clear"/>
            <w:vAlign w:val="center"/>
          </w:tcPr>
          <w:p>
            <w:pPr>
              <w:pStyle w:val="TableContents"/>
              <w:spacing w:before="0" w:after="283"/>
              <w:rPr/>
            </w:pPr>
            <w:hyperlink w:anchor="b_011">
              <w:r>
                <w:rPr>
                  <w:rStyle w:val="InternetLink"/>
                  <w:sz w:val="20"/>
                </w:rPr>
                <w:t>CONSOLIDATED FINANCIAL STATEMENTS AND SUPPLEMENTARY DATA</w:t>
              </w:r>
            </w:hyperlink>
          </w:p>
        </w:tc>
        <w:tc>
          <w:tcPr>
            <w:tcW w:w="456" w:type="dxa"/>
            <w:tcBorders/>
            <w:shd w:fill="CCEEFF" w:val="clear"/>
            <w:vAlign w:val="center"/>
          </w:tcPr>
          <w:p>
            <w:pPr>
              <w:pStyle w:val="TableContents"/>
              <w:spacing w:before="0" w:after="283"/>
              <w:jc w:val="center"/>
              <w:rPr/>
            </w:pPr>
            <w:hyperlink w:anchor="b_011">
              <w:r>
                <w:rPr>
                  <w:rStyle w:val="InternetLink"/>
                  <w:sz w:val="20"/>
                </w:rPr>
                <w:t>14</w:t>
              </w:r>
            </w:hyperlink>
          </w:p>
        </w:tc>
      </w:tr>
      <w:tr>
        <w:trPr/>
        <w:tc>
          <w:tcPr>
            <w:tcW w:w="748" w:type="dxa"/>
            <w:tcBorders/>
            <w:shd w:fill="FFFFFF" w:val="clear"/>
            <w:vAlign w:val="center"/>
          </w:tcPr>
          <w:p>
            <w:pPr>
              <w:pStyle w:val="TableContents"/>
              <w:spacing w:before="0" w:after="283"/>
              <w:rPr/>
            </w:pPr>
            <w:hyperlink w:anchor="b_012">
              <w:r>
                <w:rPr>
                  <w:rStyle w:val="InternetLink"/>
                  <w:sz w:val="20"/>
                </w:rPr>
                <w:t>ITEM 9.</w:t>
              </w:r>
            </w:hyperlink>
          </w:p>
        </w:tc>
        <w:tc>
          <w:tcPr>
            <w:tcW w:w="9001" w:type="dxa"/>
            <w:tcBorders/>
            <w:shd w:fill="FFFFFF" w:val="clear"/>
            <w:vAlign w:val="center"/>
          </w:tcPr>
          <w:p>
            <w:pPr>
              <w:pStyle w:val="TableContents"/>
              <w:spacing w:before="0" w:after="283"/>
              <w:rPr/>
            </w:pPr>
            <w:hyperlink w:anchor="b_012">
              <w:r>
                <w:rPr>
                  <w:rStyle w:val="InternetLink"/>
                  <w:sz w:val="20"/>
                </w:rPr>
                <w:t>CHANGES IN AND DISAGREEMENTS WITH ACCOUNTANTS ON ACCOUNTING AND FINANCIAL DISCLOSURE</w:t>
              </w:r>
            </w:hyperlink>
          </w:p>
        </w:tc>
        <w:tc>
          <w:tcPr>
            <w:tcW w:w="456" w:type="dxa"/>
            <w:tcBorders/>
            <w:shd w:fill="FFFFFF" w:val="clear"/>
            <w:vAlign w:val="center"/>
          </w:tcPr>
          <w:p>
            <w:pPr>
              <w:pStyle w:val="TableContents"/>
              <w:spacing w:before="0" w:after="283"/>
              <w:jc w:val="center"/>
              <w:rPr/>
            </w:pPr>
            <w:hyperlink w:anchor="b_012">
              <w:r>
                <w:rPr>
                  <w:rStyle w:val="InternetLink"/>
                  <w:sz w:val="20"/>
                </w:rPr>
                <w:t>14</w:t>
              </w:r>
            </w:hyperlink>
          </w:p>
        </w:tc>
      </w:tr>
      <w:tr>
        <w:trPr/>
        <w:tc>
          <w:tcPr>
            <w:tcW w:w="748" w:type="dxa"/>
            <w:tcBorders/>
            <w:shd w:fill="CCEEFF" w:val="clear"/>
            <w:vAlign w:val="center"/>
          </w:tcPr>
          <w:p>
            <w:pPr>
              <w:pStyle w:val="TableContents"/>
              <w:spacing w:before="0" w:after="283"/>
              <w:rPr/>
            </w:pPr>
            <w:hyperlink w:anchor="b_013">
              <w:r>
                <w:rPr>
                  <w:rStyle w:val="InternetLink"/>
                  <w:sz w:val="20"/>
                </w:rPr>
                <w:t>ITEM 9A.</w:t>
              </w:r>
            </w:hyperlink>
          </w:p>
        </w:tc>
        <w:tc>
          <w:tcPr>
            <w:tcW w:w="9001" w:type="dxa"/>
            <w:tcBorders/>
            <w:shd w:fill="CCEEFF" w:val="clear"/>
            <w:vAlign w:val="center"/>
          </w:tcPr>
          <w:p>
            <w:pPr>
              <w:pStyle w:val="TableContents"/>
              <w:spacing w:before="0" w:after="283"/>
              <w:rPr/>
            </w:pPr>
            <w:hyperlink w:anchor="b_013">
              <w:r>
                <w:rPr>
                  <w:rStyle w:val="InternetLink"/>
                  <w:sz w:val="20"/>
                </w:rPr>
                <w:t>CONTROLS AND PROCEDURES</w:t>
              </w:r>
            </w:hyperlink>
          </w:p>
        </w:tc>
        <w:tc>
          <w:tcPr>
            <w:tcW w:w="456" w:type="dxa"/>
            <w:tcBorders/>
            <w:shd w:fill="CCEEFF" w:val="clear"/>
            <w:vAlign w:val="center"/>
          </w:tcPr>
          <w:p>
            <w:pPr>
              <w:pStyle w:val="TableContents"/>
              <w:spacing w:before="0" w:after="283"/>
              <w:jc w:val="center"/>
              <w:rPr/>
            </w:pPr>
            <w:hyperlink w:anchor="b_013">
              <w:r>
                <w:rPr>
                  <w:rStyle w:val="InternetLink"/>
                  <w:sz w:val="20"/>
                </w:rPr>
                <w:t>14</w:t>
              </w:r>
            </w:hyperlink>
          </w:p>
        </w:tc>
      </w:tr>
      <w:tr>
        <w:trPr/>
        <w:tc>
          <w:tcPr>
            <w:tcW w:w="748" w:type="dxa"/>
            <w:tcBorders/>
            <w:shd w:fill="FFFFFF" w:val="clear"/>
            <w:vAlign w:val="center"/>
          </w:tcPr>
          <w:p>
            <w:pPr>
              <w:pStyle w:val="TableContents"/>
              <w:spacing w:before="0" w:after="283"/>
              <w:rPr/>
            </w:pPr>
            <w:hyperlink w:anchor="b_014">
              <w:r>
                <w:rPr>
                  <w:rStyle w:val="InternetLink"/>
                  <w:sz w:val="20"/>
                </w:rPr>
                <w:t>ITEM 9B.</w:t>
              </w:r>
            </w:hyperlink>
          </w:p>
        </w:tc>
        <w:tc>
          <w:tcPr>
            <w:tcW w:w="9001" w:type="dxa"/>
            <w:tcBorders/>
            <w:shd w:fill="FFFFFF" w:val="clear"/>
            <w:vAlign w:val="center"/>
          </w:tcPr>
          <w:p>
            <w:pPr>
              <w:pStyle w:val="TableContents"/>
              <w:spacing w:before="0" w:after="283"/>
              <w:rPr/>
            </w:pPr>
            <w:hyperlink w:anchor="b_014">
              <w:r>
                <w:rPr>
                  <w:rStyle w:val="InternetLink"/>
                  <w:sz w:val="20"/>
                </w:rPr>
                <w:t>OTHER INFORMATION</w:t>
              </w:r>
            </w:hyperlink>
          </w:p>
        </w:tc>
        <w:tc>
          <w:tcPr>
            <w:tcW w:w="456" w:type="dxa"/>
            <w:tcBorders/>
            <w:shd w:fill="FFFFFF" w:val="clear"/>
            <w:vAlign w:val="center"/>
          </w:tcPr>
          <w:p>
            <w:pPr>
              <w:pStyle w:val="TableContents"/>
              <w:spacing w:before="0" w:after="283"/>
              <w:jc w:val="center"/>
              <w:rPr/>
            </w:pPr>
            <w:hyperlink w:anchor="b_014">
              <w:r>
                <w:rPr>
                  <w:rStyle w:val="InternetLink"/>
                  <w:sz w:val="20"/>
                </w:rPr>
                <w:t>15</w:t>
              </w:r>
            </w:hyperlink>
          </w:p>
        </w:tc>
      </w:tr>
      <w:tr>
        <w:trPr/>
        <w:tc>
          <w:tcPr>
            <w:tcW w:w="748" w:type="dxa"/>
            <w:tcBorders/>
            <w:shd w:fill="CCEEFF" w:val="clear"/>
            <w:vAlign w:val="center"/>
          </w:tcPr>
          <w:p>
            <w:pPr>
              <w:pStyle w:val="TableContents"/>
              <w:spacing w:before="0" w:after="283"/>
              <w:rPr/>
            </w:pPr>
            <w:hyperlink w:anchor="b_015">
              <w:r>
                <w:rPr>
                  <w:rStyle w:val="InternetLink"/>
                  <w:sz w:val="20"/>
                </w:rPr>
                <w:t>ITEM 9C.</w:t>
              </w:r>
            </w:hyperlink>
          </w:p>
        </w:tc>
        <w:tc>
          <w:tcPr>
            <w:tcW w:w="9001" w:type="dxa"/>
            <w:tcBorders/>
            <w:shd w:fill="CCEEFF" w:val="clear"/>
            <w:vAlign w:val="center"/>
          </w:tcPr>
          <w:p>
            <w:pPr>
              <w:pStyle w:val="TableContents"/>
              <w:spacing w:before="0" w:after="283"/>
              <w:rPr/>
            </w:pPr>
            <w:hyperlink w:anchor="b_015">
              <w:r>
                <w:rPr>
                  <w:rStyle w:val="InternetLink"/>
                  <w:sz w:val="20"/>
                </w:rPr>
                <w:t>DISCLOSURE REGARDING FOREIGN JURISDICTIONS THAT PREVENT INSPECTIONS</w:t>
              </w:r>
            </w:hyperlink>
          </w:p>
        </w:tc>
        <w:tc>
          <w:tcPr>
            <w:tcW w:w="456" w:type="dxa"/>
            <w:tcBorders/>
            <w:shd w:fill="CCEEFF" w:val="clear"/>
            <w:vAlign w:val="center"/>
          </w:tcPr>
          <w:p>
            <w:pPr>
              <w:pStyle w:val="TableContents"/>
              <w:spacing w:before="0" w:after="283"/>
              <w:jc w:val="center"/>
              <w:rPr/>
            </w:pPr>
            <w:hyperlink w:anchor="b_015">
              <w:r>
                <w:rPr>
                  <w:rStyle w:val="InternetLink"/>
                  <w:sz w:val="20"/>
                </w:rPr>
                <w:t>15</w:t>
              </w:r>
            </w:hyperlink>
          </w:p>
        </w:tc>
      </w:tr>
      <w:tr>
        <w:trPr/>
        <w:tc>
          <w:tcPr>
            <w:tcW w:w="748" w:type="dxa"/>
            <w:tcBorders/>
            <w:shd w:fill="FFFFFF" w:val="clear"/>
            <w:vAlign w:val="center"/>
          </w:tcPr>
          <w:p>
            <w:pPr>
              <w:pStyle w:val="TableContents"/>
              <w:spacing w:before="0" w:after="283"/>
              <w:rPr/>
            </w:pPr>
            <w:hyperlink w:anchor="b_017">
              <w:r>
                <w:rPr>
                  <w:rStyle w:val="InternetLink"/>
                  <w:sz w:val="20"/>
                </w:rPr>
                <w:t>PART III</w:t>
              </w:r>
            </w:hyperlink>
          </w:p>
        </w:tc>
        <w:tc>
          <w:tcPr>
            <w:tcW w:w="9001"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center"/>
              <w:rPr/>
            </w:pPr>
            <w:hyperlink w:anchor="b_017">
              <w:r>
                <w:rPr>
                  <w:rStyle w:val="InternetLink"/>
                  <w:sz w:val="20"/>
                </w:rPr>
                <w:t>15</w:t>
              </w:r>
            </w:hyperlink>
          </w:p>
        </w:tc>
      </w:tr>
      <w:tr>
        <w:trPr/>
        <w:tc>
          <w:tcPr>
            <w:tcW w:w="748" w:type="dxa"/>
            <w:tcBorders/>
            <w:shd w:fill="CCEEFF" w:val="clear"/>
            <w:vAlign w:val="center"/>
          </w:tcPr>
          <w:p>
            <w:pPr>
              <w:pStyle w:val="TableContents"/>
              <w:spacing w:before="0" w:after="283"/>
              <w:rPr/>
            </w:pPr>
            <w:hyperlink w:anchor="b_016">
              <w:r>
                <w:rPr>
                  <w:rStyle w:val="InternetLink"/>
                  <w:sz w:val="20"/>
                </w:rPr>
                <w:t>ITEM 10.</w:t>
              </w:r>
            </w:hyperlink>
          </w:p>
        </w:tc>
        <w:tc>
          <w:tcPr>
            <w:tcW w:w="9001" w:type="dxa"/>
            <w:tcBorders/>
            <w:shd w:fill="CCEEFF" w:val="clear"/>
            <w:vAlign w:val="center"/>
          </w:tcPr>
          <w:p>
            <w:pPr>
              <w:pStyle w:val="TableContents"/>
              <w:spacing w:before="0" w:after="283"/>
              <w:rPr/>
            </w:pPr>
            <w:hyperlink w:anchor="b_016">
              <w:r>
                <w:rPr>
                  <w:rStyle w:val="InternetLink"/>
                  <w:sz w:val="20"/>
                </w:rPr>
                <w:t>DIRECTORS, EXECUTIVE OFFICERS AND CORPORATE GOVERNANCE</w:t>
              </w:r>
            </w:hyperlink>
          </w:p>
        </w:tc>
        <w:tc>
          <w:tcPr>
            <w:tcW w:w="456" w:type="dxa"/>
            <w:tcBorders/>
            <w:shd w:fill="CCEEFF" w:val="clear"/>
            <w:vAlign w:val="center"/>
          </w:tcPr>
          <w:p>
            <w:pPr>
              <w:pStyle w:val="TableContents"/>
              <w:spacing w:before="0" w:after="283"/>
              <w:jc w:val="center"/>
              <w:rPr/>
            </w:pPr>
            <w:hyperlink w:anchor="b_016">
              <w:r>
                <w:rPr>
                  <w:rStyle w:val="InternetLink"/>
                  <w:sz w:val="20"/>
                </w:rPr>
                <w:t>15</w:t>
              </w:r>
            </w:hyperlink>
          </w:p>
        </w:tc>
      </w:tr>
      <w:tr>
        <w:trPr/>
        <w:tc>
          <w:tcPr>
            <w:tcW w:w="748" w:type="dxa"/>
            <w:tcBorders/>
            <w:shd w:fill="FFFFFF" w:val="clear"/>
            <w:vAlign w:val="center"/>
          </w:tcPr>
          <w:p>
            <w:pPr>
              <w:pStyle w:val="TableContents"/>
              <w:spacing w:before="0" w:after="283"/>
              <w:rPr/>
            </w:pPr>
            <w:hyperlink w:anchor="C_001">
              <w:r>
                <w:rPr>
                  <w:rStyle w:val="InternetLink"/>
                  <w:sz w:val="20"/>
                </w:rPr>
                <w:t>ITEM 11.</w:t>
              </w:r>
            </w:hyperlink>
          </w:p>
        </w:tc>
        <w:tc>
          <w:tcPr>
            <w:tcW w:w="9001" w:type="dxa"/>
            <w:tcBorders/>
            <w:shd w:fill="FFFFFF" w:val="clear"/>
            <w:vAlign w:val="center"/>
          </w:tcPr>
          <w:p>
            <w:pPr>
              <w:pStyle w:val="TableContents"/>
              <w:spacing w:before="0" w:after="283"/>
              <w:rPr/>
            </w:pPr>
            <w:hyperlink w:anchor="C_001">
              <w:r>
                <w:rPr>
                  <w:rStyle w:val="InternetLink"/>
                  <w:sz w:val="20"/>
                </w:rPr>
                <w:t>EXECUTIVE COMPENSATION</w:t>
              </w:r>
            </w:hyperlink>
          </w:p>
        </w:tc>
        <w:tc>
          <w:tcPr>
            <w:tcW w:w="456" w:type="dxa"/>
            <w:tcBorders/>
            <w:shd w:fill="FFFFFF" w:val="clear"/>
            <w:vAlign w:val="center"/>
          </w:tcPr>
          <w:p>
            <w:pPr>
              <w:pStyle w:val="TableContents"/>
              <w:spacing w:before="0" w:after="283"/>
              <w:jc w:val="center"/>
              <w:rPr/>
            </w:pPr>
            <w:hyperlink w:anchor="C_001">
              <w:r>
                <w:rPr>
                  <w:rStyle w:val="InternetLink"/>
                  <w:sz w:val="20"/>
                </w:rPr>
                <w:t>22</w:t>
              </w:r>
            </w:hyperlink>
          </w:p>
        </w:tc>
      </w:tr>
      <w:tr>
        <w:trPr/>
        <w:tc>
          <w:tcPr>
            <w:tcW w:w="748" w:type="dxa"/>
            <w:tcBorders/>
            <w:shd w:fill="CCEEFF" w:val="clear"/>
            <w:vAlign w:val="center"/>
          </w:tcPr>
          <w:p>
            <w:pPr>
              <w:pStyle w:val="TableContents"/>
              <w:spacing w:before="0" w:after="283"/>
              <w:rPr/>
            </w:pPr>
            <w:hyperlink w:anchor="C_002">
              <w:r>
                <w:rPr>
                  <w:rStyle w:val="InternetLink"/>
                  <w:sz w:val="20"/>
                </w:rPr>
                <w:t>ITEM 12.</w:t>
              </w:r>
            </w:hyperlink>
          </w:p>
        </w:tc>
        <w:tc>
          <w:tcPr>
            <w:tcW w:w="9001" w:type="dxa"/>
            <w:tcBorders/>
            <w:shd w:fill="CCEEFF" w:val="clear"/>
            <w:vAlign w:val="center"/>
          </w:tcPr>
          <w:p>
            <w:pPr>
              <w:pStyle w:val="TableContents"/>
              <w:spacing w:before="0" w:after="283"/>
              <w:rPr/>
            </w:pPr>
            <w:hyperlink w:anchor="C_002">
              <w:r>
                <w:rPr>
                  <w:rStyle w:val="InternetLink"/>
                  <w:sz w:val="20"/>
                </w:rPr>
                <w:t>SECURITY OWNERSHIP OF CERTAIN BENEFICIAL OWNERS AND MANAGEMENT AND RELATED SHAREHOLDER MATTERS</w:t>
              </w:r>
            </w:hyperlink>
          </w:p>
        </w:tc>
        <w:tc>
          <w:tcPr>
            <w:tcW w:w="456" w:type="dxa"/>
            <w:tcBorders/>
            <w:shd w:fill="CCEEFF" w:val="clear"/>
            <w:vAlign w:val="center"/>
          </w:tcPr>
          <w:p>
            <w:pPr>
              <w:pStyle w:val="TableContents"/>
              <w:spacing w:before="0" w:after="283"/>
              <w:jc w:val="center"/>
              <w:rPr/>
            </w:pPr>
            <w:hyperlink w:anchor="C_002">
              <w:r>
                <w:rPr>
                  <w:rStyle w:val="InternetLink"/>
                  <w:sz w:val="20"/>
                </w:rPr>
                <w:t>23</w:t>
              </w:r>
            </w:hyperlink>
          </w:p>
        </w:tc>
      </w:tr>
      <w:tr>
        <w:trPr/>
        <w:tc>
          <w:tcPr>
            <w:tcW w:w="748" w:type="dxa"/>
            <w:tcBorders/>
            <w:shd w:fill="FFFFFF" w:val="clear"/>
            <w:vAlign w:val="center"/>
          </w:tcPr>
          <w:p>
            <w:pPr>
              <w:pStyle w:val="TableContents"/>
              <w:spacing w:before="0" w:after="283"/>
              <w:rPr/>
            </w:pPr>
            <w:hyperlink w:anchor="C_003">
              <w:r>
                <w:rPr>
                  <w:rStyle w:val="InternetLink"/>
                  <w:sz w:val="20"/>
                </w:rPr>
                <w:t>ITEM 13.</w:t>
              </w:r>
            </w:hyperlink>
          </w:p>
        </w:tc>
        <w:tc>
          <w:tcPr>
            <w:tcW w:w="9001" w:type="dxa"/>
            <w:tcBorders/>
            <w:shd w:fill="FFFFFF" w:val="clear"/>
            <w:vAlign w:val="center"/>
          </w:tcPr>
          <w:p>
            <w:pPr>
              <w:pStyle w:val="TableContents"/>
              <w:spacing w:before="0" w:after="283"/>
              <w:rPr/>
            </w:pPr>
            <w:hyperlink w:anchor="C_003">
              <w:r>
                <w:rPr>
                  <w:rStyle w:val="InternetLink"/>
                  <w:sz w:val="20"/>
                </w:rPr>
                <w:t>CERTAIN RELATIONSHIPS AND RELATED TRANSACTIONS, AND DIRECTOR INDEPENDENCE</w:t>
              </w:r>
            </w:hyperlink>
          </w:p>
        </w:tc>
        <w:tc>
          <w:tcPr>
            <w:tcW w:w="456" w:type="dxa"/>
            <w:tcBorders/>
            <w:shd w:fill="FFFFFF" w:val="clear"/>
            <w:vAlign w:val="center"/>
          </w:tcPr>
          <w:p>
            <w:pPr>
              <w:pStyle w:val="TableContents"/>
              <w:spacing w:before="0" w:after="283"/>
              <w:jc w:val="center"/>
              <w:rPr/>
            </w:pPr>
            <w:hyperlink w:anchor="C_003">
              <w:r>
                <w:rPr>
                  <w:rStyle w:val="InternetLink"/>
                  <w:sz w:val="20"/>
                </w:rPr>
                <w:t>24</w:t>
              </w:r>
            </w:hyperlink>
          </w:p>
        </w:tc>
      </w:tr>
      <w:tr>
        <w:trPr/>
        <w:tc>
          <w:tcPr>
            <w:tcW w:w="748" w:type="dxa"/>
            <w:tcBorders/>
            <w:shd w:fill="CCEEFF" w:val="clear"/>
            <w:vAlign w:val="center"/>
          </w:tcPr>
          <w:p>
            <w:pPr>
              <w:pStyle w:val="TableContents"/>
              <w:spacing w:before="0" w:after="283"/>
              <w:rPr/>
            </w:pPr>
            <w:hyperlink w:anchor="C_004">
              <w:r>
                <w:rPr>
                  <w:rStyle w:val="InternetLink"/>
                  <w:sz w:val="20"/>
                </w:rPr>
                <w:t>ITEM 14.</w:t>
              </w:r>
            </w:hyperlink>
          </w:p>
        </w:tc>
        <w:tc>
          <w:tcPr>
            <w:tcW w:w="9001" w:type="dxa"/>
            <w:tcBorders/>
            <w:shd w:fill="CCEEFF" w:val="clear"/>
            <w:vAlign w:val="center"/>
          </w:tcPr>
          <w:p>
            <w:pPr>
              <w:pStyle w:val="TableContents"/>
              <w:spacing w:before="0" w:after="283"/>
              <w:rPr/>
            </w:pPr>
            <w:hyperlink w:anchor="C_004">
              <w:r>
                <w:rPr>
                  <w:rStyle w:val="InternetLink"/>
                  <w:sz w:val="20"/>
                </w:rPr>
                <w:t>PRINCIPAL ACCOUNTANT FEES AND SERVICES</w:t>
              </w:r>
            </w:hyperlink>
          </w:p>
        </w:tc>
        <w:tc>
          <w:tcPr>
            <w:tcW w:w="456" w:type="dxa"/>
            <w:tcBorders/>
            <w:shd w:fill="CCEEFF" w:val="clear"/>
            <w:vAlign w:val="center"/>
          </w:tcPr>
          <w:p>
            <w:pPr>
              <w:pStyle w:val="TableContents"/>
              <w:spacing w:before="0" w:after="283"/>
              <w:jc w:val="center"/>
              <w:rPr/>
            </w:pPr>
            <w:hyperlink w:anchor="C_004">
              <w:r>
                <w:rPr>
                  <w:rStyle w:val="InternetLink"/>
                  <w:sz w:val="20"/>
                </w:rPr>
                <w:t>26</w:t>
              </w:r>
            </w:hyperlink>
          </w:p>
        </w:tc>
      </w:tr>
      <w:tr>
        <w:trPr/>
        <w:tc>
          <w:tcPr>
            <w:tcW w:w="748" w:type="dxa"/>
            <w:tcBorders/>
            <w:shd w:fill="FFFFFF" w:val="clear"/>
            <w:vAlign w:val="center"/>
          </w:tcPr>
          <w:p>
            <w:pPr>
              <w:pStyle w:val="TableContents"/>
              <w:spacing w:before="0" w:after="283"/>
              <w:rPr/>
            </w:pPr>
            <w:hyperlink w:anchor="C_005">
              <w:r>
                <w:rPr>
                  <w:rStyle w:val="InternetLink"/>
                  <w:sz w:val="20"/>
                </w:rPr>
                <w:t>PART IV</w:t>
              </w:r>
            </w:hyperlink>
          </w:p>
        </w:tc>
        <w:tc>
          <w:tcPr>
            <w:tcW w:w="9001"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jc w:val="center"/>
              <w:rPr/>
            </w:pPr>
            <w:hyperlink w:anchor="C_005">
              <w:r>
                <w:rPr>
                  <w:rStyle w:val="InternetLink"/>
                  <w:sz w:val="20"/>
                </w:rPr>
                <w:t>27</w:t>
              </w:r>
            </w:hyperlink>
          </w:p>
        </w:tc>
      </w:tr>
      <w:tr>
        <w:trPr/>
        <w:tc>
          <w:tcPr>
            <w:tcW w:w="748" w:type="dxa"/>
            <w:tcBorders/>
            <w:shd w:fill="CCEEFF" w:val="clear"/>
            <w:vAlign w:val="center"/>
          </w:tcPr>
          <w:p>
            <w:pPr>
              <w:pStyle w:val="TableContents"/>
              <w:spacing w:before="0" w:after="283"/>
              <w:rPr/>
            </w:pPr>
            <w:hyperlink w:anchor="C_006">
              <w:r>
                <w:rPr>
                  <w:rStyle w:val="InternetLink"/>
                  <w:sz w:val="20"/>
                </w:rPr>
                <w:t>ITEM 15.</w:t>
              </w:r>
            </w:hyperlink>
          </w:p>
        </w:tc>
        <w:tc>
          <w:tcPr>
            <w:tcW w:w="9001" w:type="dxa"/>
            <w:tcBorders/>
            <w:shd w:fill="CCEEFF" w:val="clear"/>
            <w:vAlign w:val="center"/>
          </w:tcPr>
          <w:p>
            <w:pPr>
              <w:pStyle w:val="TableContents"/>
              <w:spacing w:before="0" w:after="283"/>
              <w:rPr/>
            </w:pPr>
            <w:hyperlink w:anchor="C_006">
              <w:r>
                <w:rPr>
                  <w:rStyle w:val="InternetLink"/>
                  <w:sz w:val="20"/>
                </w:rPr>
                <w:t>EXHIBITS AND CONSOLIDATED FINANCIAL STATEMENT SCHEDULES</w:t>
              </w:r>
            </w:hyperlink>
          </w:p>
        </w:tc>
        <w:tc>
          <w:tcPr>
            <w:tcW w:w="456" w:type="dxa"/>
            <w:tcBorders/>
            <w:shd w:fill="CCEEFF" w:val="clear"/>
            <w:vAlign w:val="center"/>
          </w:tcPr>
          <w:p>
            <w:pPr>
              <w:pStyle w:val="TableContents"/>
              <w:spacing w:before="0" w:after="283"/>
              <w:jc w:val="center"/>
              <w:rPr/>
            </w:pPr>
            <w:hyperlink w:anchor="C_006">
              <w:r>
                <w:rPr>
                  <w:rStyle w:val="InternetLink"/>
                  <w:sz w:val="20"/>
                </w:rPr>
                <w:t>27</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“the Company,” “our,” “us” or “we” refer to BurTech Acquisition Corp., a blank check company incorporated in Delaware on March 2, 2021. References to our “Sponsor” refer to BurTech LP LLC, a Delaware limited liability company. References to our “IPO” refer to the initial public offering of BurTech Acquisition Corp., which closed on December 15,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pStyle w:val="TextBody"/>
        <w:spacing w:before="0" w:after="0"/>
        <w:ind w:left="0" w:right="0" w:hanging="0"/>
        <w:rPr>
          <w:caps w:val="false"/>
          <w:smallCaps w:val="false"/>
        </w:rPr>
      </w:pPr>
      <w:r>
        <w:rPr>
          <w:caps w:val="false"/>
          <w:smallCaps w:val="false"/>
        </w:rPr>
        <w:t> </w:t>
      </w:r>
    </w:p>
    <w:tbl>
      <w:tblPr>
        <w:tblW w:w="4480" w:type="dxa"/>
        <w:jc w:val="left"/>
        <w:tblInd w:w="0" w:type="dxa"/>
        <w:tblCellMar>
          <w:top w:w="0" w:type="dxa"/>
          <w:left w:w="0" w:type="dxa"/>
          <w:bottom w:w="0" w:type="dxa"/>
          <w:right w:w="0" w:type="dxa"/>
        </w:tblCellMar>
      </w:tblPr>
      <w:tblGrid>
        <w:gridCol w:w="75"/>
        <w:gridCol w:w="95"/>
        <w:gridCol w:w="431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4310" w:type="dxa"/>
            <w:tcBorders/>
            <w:shd w:fill="auto" w:val="clear"/>
            <w:vAlign w:val="center"/>
          </w:tcPr>
          <w:p>
            <w:pPr>
              <w:pStyle w:val="TableContents"/>
              <w:spacing w:before="0" w:after="283"/>
              <w:jc w:val="both"/>
              <w:rPr>
                <w:sz w:val="20"/>
              </w:rPr>
            </w:pPr>
            <w:r>
              <w:rPr>
                <w:sz w:val="20"/>
              </w:rPr>
              <w:t>ability to complete our initial business combination;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rPr>
                <w:sz w:val="20"/>
              </w:rPr>
            </w:pPr>
            <w:r>
              <w:rPr>
                <w:sz w:val="20"/>
              </w:rPr>
              <w:t>success in retaining or recruiting, or changes required in, our officers, key employees or directors following our initial business combination;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officers and directors allocating their time to other businesses and potentially having conflicts of interest with our business or in approving our initial business combination, as a result of which they would then receive expense reimbursements;</w:t>
            </w:r>
          </w:p>
        </w:tc>
      </w:tr>
    </w:tbl>
    <w:p>
      <w:pPr>
        <w:pStyle w:val="TextBody"/>
        <w:spacing w:before="0" w:after="0"/>
        <w:ind w:left="0" w:right="0" w:hanging="0"/>
        <w:rPr>
          <w:caps w:val="false"/>
          <w:smallCaps w:val="false"/>
        </w:rPr>
      </w:pPr>
      <w:r>
        <w:rPr>
          <w:caps w:val="false"/>
          <w:smallCaps w:val="false"/>
        </w:rPr>
        <w:t> </w:t>
      </w:r>
    </w:p>
    <w:tbl>
      <w:tblPr>
        <w:tblW w:w="7750" w:type="dxa"/>
        <w:jc w:val="left"/>
        <w:tblInd w:w="0" w:type="dxa"/>
        <w:tblCellMar>
          <w:top w:w="0" w:type="dxa"/>
          <w:left w:w="0" w:type="dxa"/>
          <w:bottom w:w="0" w:type="dxa"/>
          <w:right w:w="0" w:type="dxa"/>
        </w:tblCellMar>
      </w:tblPr>
      <w:tblGrid>
        <w:gridCol w:w="75"/>
        <w:gridCol w:w="95"/>
        <w:gridCol w:w="75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7580" w:type="dxa"/>
            <w:tcBorders/>
            <w:shd w:fill="auto" w:val="clear"/>
            <w:vAlign w:val="center"/>
          </w:tcPr>
          <w:p>
            <w:pPr>
              <w:pStyle w:val="TableContents"/>
              <w:spacing w:before="0" w:after="283"/>
              <w:jc w:val="both"/>
              <w:rPr>
                <w:sz w:val="20"/>
              </w:rPr>
            </w:pPr>
            <w:r>
              <w:rPr>
                <w:sz w:val="20"/>
              </w:rPr>
              <w:t>potential ability to obtain additional financing to complete our initial business combination;</w:t>
            </w:r>
          </w:p>
        </w:tc>
      </w:tr>
    </w:tbl>
    <w:p>
      <w:pPr>
        <w:pStyle w:val="TextBody"/>
        <w:spacing w:before="0" w:after="0"/>
        <w:ind w:left="0" w:right="0" w:hanging="0"/>
        <w:rPr>
          <w:caps w:val="false"/>
          <w:smallCaps w:val="false"/>
        </w:rPr>
      </w:pPr>
      <w:r>
        <w:rPr>
          <w:caps w:val="false"/>
          <w:smallCaps w:val="false"/>
        </w:rPr>
        <w:t> </w:t>
      </w:r>
    </w:p>
    <w:tbl>
      <w:tblPr>
        <w:tblW w:w="3250" w:type="dxa"/>
        <w:jc w:val="left"/>
        <w:tblInd w:w="0" w:type="dxa"/>
        <w:tblCellMar>
          <w:top w:w="0" w:type="dxa"/>
          <w:left w:w="0" w:type="dxa"/>
          <w:bottom w:w="0" w:type="dxa"/>
          <w:right w:w="0" w:type="dxa"/>
        </w:tblCellMar>
      </w:tblPr>
      <w:tblGrid>
        <w:gridCol w:w="75"/>
        <w:gridCol w:w="95"/>
        <w:gridCol w:w="30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3080" w:type="dxa"/>
            <w:tcBorders/>
            <w:shd w:fill="auto" w:val="clear"/>
            <w:vAlign w:val="center"/>
          </w:tcPr>
          <w:p>
            <w:pPr>
              <w:pStyle w:val="TableContents"/>
              <w:spacing w:before="0" w:after="283"/>
              <w:jc w:val="both"/>
              <w:rPr>
                <w:sz w:val="20"/>
              </w:rPr>
            </w:pPr>
            <w:r>
              <w:rPr>
                <w:sz w:val="20"/>
              </w:rPr>
              <w:t>pool of prospective target businesses;</w:t>
            </w:r>
          </w:p>
        </w:tc>
      </w:tr>
    </w:tbl>
    <w:p>
      <w:pPr>
        <w:pStyle w:val="TextBody"/>
        <w:spacing w:before="0" w:after="0"/>
        <w:ind w:left="0" w:right="0" w:hanging="0"/>
        <w:rPr>
          <w:caps w:val="false"/>
          <w:smallCaps w:val="false"/>
        </w:rPr>
      </w:pPr>
      <w:r>
        <w:rPr>
          <w:caps w:val="false"/>
          <w:smallCaps w:val="false"/>
        </w:rPr>
        <w:t> </w:t>
      </w:r>
    </w:p>
    <w:tbl>
      <w:tblPr>
        <w:tblW w:w="8185" w:type="dxa"/>
        <w:jc w:val="left"/>
        <w:tblInd w:w="0" w:type="dxa"/>
        <w:tblCellMar>
          <w:top w:w="0" w:type="dxa"/>
          <w:left w:w="0" w:type="dxa"/>
          <w:bottom w:w="0" w:type="dxa"/>
          <w:right w:w="0" w:type="dxa"/>
        </w:tblCellMar>
      </w:tblPr>
      <w:tblGrid>
        <w:gridCol w:w="75"/>
        <w:gridCol w:w="95"/>
        <w:gridCol w:w="801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015" w:type="dxa"/>
            <w:tcBorders/>
            <w:shd w:fill="auto" w:val="clear"/>
            <w:vAlign w:val="center"/>
          </w:tcPr>
          <w:p>
            <w:pPr>
              <w:pStyle w:val="TableContents"/>
              <w:spacing w:before="0" w:after="283"/>
              <w:jc w:val="both"/>
              <w:rPr>
                <w:sz w:val="20"/>
              </w:rPr>
            </w:pPr>
            <w:r>
              <w:rPr>
                <w:sz w:val="20"/>
              </w:rPr>
              <w:t>the ability of our officers and directors to generate a number of potential investment opportunities;</w:t>
            </w:r>
          </w:p>
        </w:tc>
      </w:tr>
    </w:tbl>
    <w:p>
      <w:pPr>
        <w:pStyle w:val="TextBody"/>
        <w:spacing w:before="0" w:after="0"/>
        <w:ind w:left="0" w:right="0" w:hanging="0"/>
        <w:rPr>
          <w:caps w:val="false"/>
          <w:smallCaps w:val="false"/>
        </w:rPr>
      </w:pPr>
      <w:r>
        <w:rPr>
          <w:caps w:val="false"/>
          <w:smallCaps w:val="false"/>
        </w:rPr>
        <w:t> </w:t>
      </w:r>
    </w:p>
    <w:tbl>
      <w:tblPr>
        <w:tblW w:w="6715" w:type="dxa"/>
        <w:jc w:val="left"/>
        <w:tblInd w:w="0" w:type="dxa"/>
        <w:tblCellMar>
          <w:top w:w="0" w:type="dxa"/>
          <w:left w:w="0" w:type="dxa"/>
          <w:bottom w:w="0" w:type="dxa"/>
          <w:right w:w="0" w:type="dxa"/>
        </w:tblCellMar>
      </w:tblPr>
      <w:tblGrid>
        <w:gridCol w:w="75"/>
        <w:gridCol w:w="95"/>
        <w:gridCol w:w="654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545" w:type="dxa"/>
            <w:tcBorders/>
            <w:shd w:fill="auto" w:val="clear"/>
            <w:vAlign w:val="center"/>
          </w:tcPr>
          <w:p>
            <w:pPr>
              <w:pStyle w:val="TableContents"/>
              <w:spacing w:before="0" w:after="283"/>
              <w:jc w:val="both"/>
              <w:rPr>
                <w:sz w:val="20"/>
              </w:rPr>
            </w:pPr>
            <w:r>
              <w:rPr>
                <w:sz w:val="20"/>
              </w:rPr>
              <w:t>potential change in control if we acquire one or more target businesses for stock;</w:t>
            </w:r>
          </w:p>
        </w:tc>
      </w:tr>
    </w:tbl>
    <w:p>
      <w:pPr>
        <w:pStyle w:val="TextBody"/>
        <w:spacing w:before="0" w:after="0"/>
        <w:ind w:left="0" w:right="0" w:hanging="0"/>
        <w:rPr>
          <w:caps w:val="false"/>
          <w:smallCaps w:val="false"/>
        </w:rPr>
      </w:pPr>
      <w:r>
        <w:rPr>
          <w:caps w:val="false"/>
          <w:smallCaps w:val="false"/>
        </w:rPr>
        <w:t> </w:t>
      </w:r>
    </w:p>
    <w:tbl>
      <w:tblPr>
        <w:tblW w:w="4375" w:type="dxa"/>
        <w:jc w:val="left"/>
        <w:tblInd w:w="0" w:type="dxa"/>
        <w:tblCellMar>
          <w:top w:w="0" w:type="dxa"/>
          <w:left w:w="0" w:type="dxa"/>
          <w:bottom w:w="0" w:type="dxa"/>
          <w:right w:w="0" w:type="dxa"/>
        </w:tblCellMar>
      </w:tblPr>
      <w:tblGrid>
        <w:gridCol w:w="75"/>
        <w:gridCol w:w="95"/>
        <w:gridCol w:w="420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4205" w:type="dxa"/>
            <w:tcBorders/>
            <w:shd w:fill="auto" w:val="clear"/>
            <w:vAlign w:val="center"/>
          </w:tcPr>
          <w:p>
            <w:pPr>
              <w:pStyle w:val="TableContents"/>
              <w:spacing w:before="0" w:after="283"/>
              <w:jc w:val="both"/>
              <w:rPr>
                <w:sz w:val="20"/>
              </w:rPr>
            </w:pPr>
            <w:r>
              <w:rPr>
                <w:sz w:val="20"/>
              </w:rPr>
              <w:t>the potential liquidity and trading of our securities;</w:t>
            </w:r>
          </w:p>
        </w:tc>
      </w:tr>
    </w:tbl>
    <w:p>
      <w:pPr>
        <w:pStyle w:val="TextBody"/>
        <w:spacing w:before="0" w:after="0"/>
        <w:ind w:left="0" w:right="0" w:hanging="0"/>
        <w:rPr>
          <w:caps w:val="false"/>
          <w:smallCaps w:val="false"/>
        </w:rPr>
      </w:pPr>
      <w:r>
        <w:rPr>
          <w:caps w:val="false"/>
          <w:smallCaps w:val="false"/>
        </w:rPr>
        <w:t> </w:t>
      </w:r>
    </w:p>
    <w:tbl>
      <w:tblPr>
        <w:tblW w:w="3250" w:type="dxa"/>
        <w:jc w:val="left"/>
        <w:tblInd w:w="0" w:type="dxa"/>
        <w:tblCellMar>
          <w:top w:w="0" w:type="dxa"/>
          <w:left w:w="0" w:type="dxa"/>
          <w:bottom w:w="0" w:type="dxa"/>
          <w:right w:w="0" w:type="dxa"/>
        </w:tblCellMar>
      </w:tblPr>
      <w:tblGrid>
        <w:gridCol w:w="75"/>
        <w:gridCol w:w="95"/>
        <w:gridCol w:w="308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3080" w:type="dxa"/>
            <w:tcBorders/>
            <w:shd w:fill="auto" w:val="clear"/>
            <w:vAlign w:val="center"/>
          </w:tcPr>
          <w:p>
            <w:pPr>
              <w:pStyle w:val="TableContents"/>
              <w:spacing w:before="0" w:after="283"/>
              <w:jc w:val="both"/>
              <w:rPr>
                <w:sz w:val="20"/>
              </w:rPr>
            </w:pPr>
            <w:r>
              <w:rPr>
                <w:sz w:val="20"/>
              </w:rPr>
              <w:t>the lack of a market for our securities;</w:t>
            </w:r>
          </w:p>
        </w:tc>
      </w:tr>
    </w:tbl>
    <w:p>
      <w:pPr>
        <w:pStyle w:val="TextBody"/>
        <w:spacing w:before="0" w:after="0"/>
        <w:ind w:left="0" w:right="0" w:hanging="0"/>
        <w:rPr>
          <w:caps w:val="false"/>
          <w:smallCaps w:val="false"/>
        </w:rPr>
      </w:pPr>
      <w:r>
        <w:rPr>
          <w:caps w:val="false"/>
          <w:smallCaps w:val="false"/>
        </w:rPr>
        <w:t> </w:t>
      </w:r>
    </w:p>
    <w:tbl>
      <w:tblPr>
        <w:tblW w:w="9520" w:type="dxa"/>
        <w:jc w:val="left"/>
        <w:tblInd w:w="0" w:type="dxa"/>
        <w:tblCellMar>
          <w:top w:w="0" w:type="dxa"/>
          <w:left w:w="0" w:type="dxa"/>
          <w:bottom w:w="0" w:type="dxa"/>
          <w:right w:w="0" w:type="dxa"/>
        </w:tblCellMar>
      </w:tblPr>
      <w:tblGrid>
        <w:gridCol w:w="75"/>
        <w:gridCol w:w="95"/>
        <w:gridCol w:w="935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9350" w:type="dxa"/>
            <w:tcBorders/>
            <w:shd w:fill="auto" w:val="clear"/>
            <w:vAlign w:val="center"/>
          </w:tcPr>
          <w:p>
            <w:pPr>
              <w:pStyle w:val="TableContents"/>
              <w:spacing w:before="0" w:after="283"/>
              <w:rPr>
                <w:sz w:val="20"/>
              </w:rPr>
            </w:pPr>
            <w:r>
              <w:rPr>
                <w:sz w:val="20"/>
              </w:rPr>
              <w:t>use of proceeds not held in the trust account or available to us from interest income on the trust account balance; or</w:t>
            </w:r>
          </w:p>
        </w:tc>
      </w:tr>
    </w:tbl>
    <w:p>
      <w:pPr>
        <w:pStyle w:val="TextBody"/>
        <w:spacing w:before="0" w:after="0"/>
        <w:ind w:left="0" w:right="0" w:hanging="0"/>
        <w:rPr>
          <w:caps w:val="false"/>
          <w:smallCaps w:val="false"/>
        </w:rPr>
      </w:pPr>
      <w:r>
        <w:rPr>
          <w:caps w:val="false"/>
          <w:smallCaps w:val="false"/>
        </w:rPr>
        <w:t> </w:t>
      </w:r>
    </w:p>
    <w:tbl>
      <w:tblPr>
        <w:tblW w:w="3520" w:type="dxa"/>
        <w:jc w:val="left"/>
        <w:tblInd w:w="0" w:type="dxa"/>
        <w:tblCellMar>
          <w:top w:w="0" w:type="dxa"/>
          <w:left w:w="0" w:type="dxa"/>
          <w:bottom w:w="0" w:type="dxa"/>
          <w:right w:w="0" w:type="dxa"/>
        </w:tblCellMar>
      </w:tblPr>
      <w:tblGrid>
        <w:gridCol w:w="75"/>
        <w:gridCol w:w="95"/>
        <w:gridCol w:w="335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3350" w:type="dxa"/>
            <w:tcBorders/>
            <w:shd w:fill="auto" w:val="clear"/>
            <w:vAlign w:val="center"/>
          </w:tcPr>
          <w:p>
            <w:pPr>
              <w:pStyle w:val="TableContents"/>
              <w:spacing w:before="0" w:after="283"/>
              <w:jc w:val="both"/>
              <w:rPr>
                <w:sz w:val="20"/>
              </w:rPr>
            </w:pPr>
            <w:r>
              <w:rPr>
                <w:sz w:val="20"/>
              </w:rPr>
              <w:t>financial performance following our IPO.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36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color w:val="010000"/>
          <w:sz w:val="20"/>
        </w:rPr>
      </w:pPr>
      <w:bookmarkStart w:id="2" w:name="a_001"/>
      <w:bookmarkEnd w:id="2"/>
      <w:r>
        <w:rPr>
          <w:rFonts w:ascii="Times New Roman;Times;Serif" w:hAnsi="Times New Roman;Times;Serif"/>
          <w:b/>
          <w:i w:val="false"/>
          <w:caps/>
          <w:color w:val="010000"/>
          <w:sz w:val="20"/>
        </w:rPr>
        <w:t>part I</w:t>
      </w:r>
    </w:p>
    <w:p>
      <w:pPr>
        <w:pStyle w:val="TextBody"/>
        <w:spacing w:before="0" w:after="0"/>
        <w:ind w:left="0" w:right="0" w:hanging="0"/>
        <w:rPr>
          <w:caps w:val="false"/>
          <w:smallCaps w:val="false"/>
        </w:rPr>
      </w:pPr>
      <w:r>
        <w:rPr>
          <w:caps w:val="false"/>
          <w:smallCaps w:val="false"/>
        </w:rPr>
        <w:t> </w:t>
      </w:r>
    </w:p>
    <w:tbl>
      <w:tblPr>
        <w:tblW w:w="1720" w:type="dxa"/>
        <w:jc w:val="left"/>
        <w:tblInd w:w="0" w:type="dxa"/>
        <w:tblCellMar>
          <w:top w:w="0" w:type="dxa"/>
          <w:left w:w="0" w:type="dxa"/>
          <w:bottom w:w="0" w:type="dxa"/>
          <w:right w:w="0" w:type="dxa"/>
        </w:tblCellMar>
      </w:tblPr>
      <w:tblGrid>
        <w:gridCol w:w="755"/>
        <w:gridCol w:w="965"/>
      </w:tblGrid>
      <w:tr>
        <w:trPr/>
        <w:tc>
          <w:tcPr>
            <w:tcW w:w="755" w:type="dxa"/>
            <w:tcBorders/>
            <w:shd w:fill="auto" w:val="clear"/>
            <w:vAlign w:val="center"/>
          </w:tcPr>
          <w:p>
            <w:pPr>
              <w:pStyle w:val="TableContents"/>
              <w:spacing w:before="0" w:after="283"/>
              <w:rPr>
                <w:b/>
                <w:color w:val="010000"/>
                <w:sz w:val="20"/>
              </w:rPr>
            </w:pPr>
            <w:bookmarkStart w:id="3" w:name="a_002"/>
            <w:bookmarkEnd w:id="3"/>
            <w:r>
              <w:rPr>
                <w:b/>
                <w:color w:val="010000"/>
                <w:sz w:val="20"/>
              </w:rPr>
              <w:t>ITEM 1.</w:t>
            </w:r>
          </w:p>
        </w:tc>
        <w:tc>
          <w:tcPr>
            <w:tcW w:w="965" w:type="dxa"/>
            <w:tcBorders/>
            <w:shd w:fill="auto" w:val="clear"/>
            <w:vAlign w:val="center"/>
          </w:tcPr>
          <w:p>
            <w:pPr>
              <w:pStyle w:val="TableContents"/>
              <w:spacing w:before="0" w:after="283"/>
              <w:rPr>
                <w:b/>
                <w:sz w:val="20"/>
              </w:rPr>
            </w:pPr>
            <w:r>
              <w:rPr>
                <w:b/>
                <w:sz w:val="20"/>
              </w:rPr>
              <w:t>BUSINESS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our initial public offering was declared effective on December 10, 2021 (the “Initial Public Offering,” or “IPO”). On December 15, 2021, we consummated its Initial Public Offering of 25,000,000 units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at $10.00 per Unit, each Unit comprised of one share of Class A Common Stock, $0.0001 par value (the “</w:t>
      </w:r>
      <w:r>
        <w:rPr>
          <w:rFonts w:ascii="Times New Roman;Times;Serif" w:hAnsi="Times New Roman;Times;Serif"/>
          <w:b/>
          <w:i w:val="false"/>
          <w:caps w:val="false"/>
          <w:smallCaps w:val="false"/>
          <w:sz w:val="20"/>
        </w:rPr>
        <w:t>Public Shares</w:t>
      </w:r>
      <w:r>
        <w:rPr>
          <w:rFonts w:ascii="Times New Roman;Times;Serif" w:hAnsi="Times New Roman;Times;Serif"/>
          <w:b w:val="false"/>
          <w:i w:val="false"/>
          <w:caps w:val="false"/>
          <w:smallCaps w:val="false"/>
          <w:sz w:val="20"/>
        </w:rPr>
        <w:t>”), and one redeemable warrant to purchase one share of Class A Common Stock at a purchase price of $11.50 per share(the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xml:space="preserve">”), generating gross proceeds of $250,000,000, and incurring offering costs of </w:t>
      </w:r>
      <w:r>
        <w:rPr>
          <w:rFonts w:ascii="Times New Roman;Times;Serif" w:hAnsi="Times New Roman;Times;Serif"/>
          <w:b w:val="false"/>
          <w:i w:val="false"/>
          <w:caps w:val="false"/>
          <w:smallCaps w:val="false"/>
          <w:sz w:val="20"/>
          <w:highlight w:val="white"/>
        </w:rPr>
        <w:t xml:space="preserve">$16,919,619 </w:t>
      </w:r>
      <w:r>
        <w:rPr>
          <w:rFonts w:ascii="Times New Roman;Times;Serif" w:hAnsi="Times New Roman;Times;Serif"/>
          <w:b w:val="false"/>
          <w:i w:val="false"/>
          <w:caps w:val="false"/>
          <w:smallCaps w:val="false"/>
          <w:sz w:val="20"/>
        </w:rPr>
        <w:t>of which $10,062,500 was for deferred underwriting commissions. We granted the underwriter a 45-day option to purchase up to an additional 3,750,000 Units at the Initial Public Offering price to cover over-allotments, if any. On December 15, 2021, the over-allotment option was exercised in full.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simultaneously with the consummation of the IPO, the Company completed the private sale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of 804,500 units (the “</w:t>
      </w:r>
      <w:r>
        <w:rPr>
          <w:rFonts w:ascii="Times New Roman;Times;Serif" w:hAnsi="Times New Roman;Times;Serif"/>
          <w:b/>
          <w:i w:val="false"/>
          <w:caps w:val="false"/>
          <w:smallCaps w:val="false"/>
          <w:sz w:val="20"/>
        </w:rPr>
        <w:t>Placement Units</w:t>
      </w:r>
      <w:r>
        <w:rPr>
          <w:rFonts w:ascii="Times New Roman;Times;Serif" w:hAnsi="Times New Roman;Times;Serif"/>
          <w:b w:val="false"/>
          <w:i w:val="false"/>
          <w:caps w:val="false"/>
          <w:smallCaps w:val="false"/>
          <w:sz w:val="20"/>
        </w:rPr>
        <w:t>”) to BurTech LP, LLC, the Company’s sponsor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at a purchase price of $10.00 per Placement Unit, generating gross proceeds to the Company of $8,045,000. Also on December 15, 2021, the Sponsor purchased an additional 93,750 Placement Units when the underwriter exercised their over-allotment option, generating additional proceeds of $937,500.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on December 15, 2021, a total of $291,812,500 ($10.15 per Unit) from the net proceeds of the sale of the Units in the Initial Public Offering and a portion of the proceeds from the sale of the Placement Units was placed in a trust account (the “Trust Account”), located in the United States and held as cash items or may be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us, until the earlier of: (i) the consummation of a Business Combination or (ii) the distribution of the funds in the Trust Account to our stockholders.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complete an initial business combination within fifteen (15) months from the closing of the Initial Public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Management Team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led by Shahal Khan, our Chairman and Chief Executive Officer, Isaac Chetrit, our President, Roman Livson, our Chief Financial Officer, Payel Farasat, our Chief Investment Officer and Christopher Schroeder, our Chief Marketing Officer.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Shahal M. Khan</w:t>
      </w:r>
      <w:r>
        <w:rPr>
          <w:rFonts w:ascii="Times New Roman;Times;Serif" w:hAnsi="Times New Roman;Times;Serif"/>
          <w:b w:val="false"/>
          <w:i w:val="false"/>
          <w:caps w:val="false"/>
          <w:smallCaps w:val="false"/>
          <w:sz w:val="20"/>
        </w:rPr>
        <w:t xml:space="preserve"> is our Chairman of the Board of Directors and Chief Executive Officer. Mr. Khan’s career as an investor, 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Isaac Chetrit</w:t>
      </w:r>
      <w:r>
        <w:rPr>
          <w:rFonts w:ascii="Times New Roman;Times;Serif" w:hAnsi="Times New Roman;Times;Serif"/>
          <w:b w:val="false"/>
          <w:i w:val="false"/>
          <w:caps w:val="false"/>
          <w:smallCaps w:val="false"/>
          <w:sz w:val="20"/>
        </w:rPr>
        <w:t xml:space="preserve"> is our President and one of our directors. Mr. Chetrit is a real estate veteran with a background in architecture and electrical engineering. 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Roman V. Livson</w:t>
      </w:r>
      <w:r>
        <w:rPr>
          <w:rFonts w:ascii="Times New Roman;Times;Serif" w:hAnsi="Times New Roman;Times;Serif"/>
          <w:b w:val="false"/>
          <w:i w:val="false"/>
          <w:caps w:val="false"/>
          <w:smallCaps w:val="false"/>
          <w:sz w:val="20"/>
        </w:rPr>
        <w:t xml:space="preserve"> is our Chief Financial Officer. Since February 2021, Mr. Livson has been the Chief Financial Officer of Burkhan World, a 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Payel Farasat</w:t>
      </w:r>
      <w:r>
        <w:rPr>
          <w:rFonts w:ascii="Times New Roman;Times;Serif" w:hAnsi="Times New Roman;Times;Serif"/>
          <w:b w:val="false"/>
          <w:i w:val="false"/>
          <w:caps w:val="false"/>
          <w:smallCaps w:val="false"/>
          <w:sz w:val="20"/>
        </w:rPr>
        <w:t xml:space="preserve"> is our Chief Investment Officer. Since December 2020, Ms. Farasat has been the Chief Investment Officer (CIO) of Burkhan World 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Christopher Schroeder</w:t>
      </w:r>
      <w:r>
        <w:rPr>
          <w:rFonts w:ascii="Times New Roman;Times;Serif" w:hAnsi="Times New Roman;Times;Serif"/>
          <w:b w:val="false"/>
          <w:i w:val="false"/>
          <w:caps w:val="false"/>
          <w:smallCaps w:val="false"/>
          <w:sz w:val="20"/>
        </w:rPr>
        <w:t xml:space="preserve"> is our Chief Marketing Officer. Over the last 30 years, Mr. Schroeder has also been an interactive media resort developer, 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Leon Golden</w:t>
      </w:r>
      <w:r>
        <w:rPr>
          <w:rFonts w:ascii="Times New Roman;Times;Serif" w:hAnsi="Times New Roman;Times;Serif"/>
          <w:b w:val="false"/>
          <w:i w:val="false"/>
          <w:caps w:val="false"/>
          <w:smallCaps w:val="false"/>
          <w:sz w:val="20"/>
        </w:rPr>
        <w:t xml:space="preserve"> serves as a member of our Board of Directors as of the date of this prospectus. Mr. Golden is a chartered public accountant and has 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Scott Young</w:t>
      </w:r>
      <w:r>
        <w:rPr>
          <w:rFonts w:ascii="Times New Roman;Times;Serif" w:hAnsi="Times New Roman;Times;Serif"/>
          <w:b w:val="false"/>
          <w:i w:val="false"/>
          <w:caps w:val="false"/>
          <w:smallCaps w:val="false"/>
          <w:sz w:val="20"/>
        </w:rPr>
        <w:t xml:space="preserve"> serves as a member of our Board of Directors as of the date of this prospectus. Since January 2010, Mr. Young has served as a Senior 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Joseph A. Porrello</w:t>
      </w:r>
      <w:r>
        <w:rPr>
          <w:rFonts w:ascii="Times New Roman;Times;Serif" w:hAnsi="Times New Roman;Times;Serif"/>
          <w:b w:val="false"/>
          <w:i w:val="false"/>
          <w:caps w:val="false"/>
          <w:smallCaps w:val="false"/>
          <w:sz w:val="20"/>
        </w:rPr>
        <w:t xml:space="preserve"> serves as a member of our Board of Directors as of the date of this prospectus. Mr. Porrello has been practicing law in South 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Advisors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His Highness Sheikh Ahmed Dalmook Al Maktoum</w:t>
      </w:r>
      <w:r>
        <w:rPr>
          <w:rFonts w:ascii="Times New Roman;Times;Serif" w:hAnsi="Times New Roman;Times;Serif"/>
          <w:b w:val="false"/>
          <w:i w:val="false"/>
          <w:caps w:val="false"/>
          <w:smallCaps w:val="false"/>
          <w:sz w:val="20"/>
        </w:rPr>
        <w:t xml:space="preserve"> is one of our advisors. HH Sheikh Maktoum is a member of the Ruling Royal Family of Dubai, 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ducation and agriculture projects operated throughout Africa, South Asia, Russia and the Middle East.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Mohammad Shaikh is one of our advisors. Mr. Shaikh is the Head of Blockchain Strategic Partnerships for Facebook, responsible for global 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Johnson is one of our advisors. Ms. Johnson has over five years of experience in real estate development and construction management ranging 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Orlando is one of our advisors. Mr. Orlando leverages decades of experience and contacts within industries including SPACs, finance, 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 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five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discussion of the general development of our business, see our final prospectus on Form 424B4, filed with the SEC on December 14, 2021.</w:t>
      </w:r>
    </w:p>
    <w:p>
      <w:pPr>
        <w:pStyle w:val="TextBody"/>
        <w:spacing w:before="0" w:after="0"/>
        <w:ind w:left="0" w:right="0" w:firstLine="480"/>
        <w:rPr>
          <w:caps w:val="false"/>
          <w:smallCaps w:val="false"/>
        </w:rPr>
      </w:pPr>
      <w:r>
        <w:rPr>
          <w:caps w:val="false"/>
          <w:smallCaps w:val="false"/>
        </w:rPr>
        <w:t> </w:t>
      </w:r>
    </w:p>
    <w:tbl>
      <w:tblPr>
        <w:tblW w:w="2350" w:type="dxa"/>
        <w:jc w:val="left"/>
        <w:tblInd w:w="0" w:type="dxa"/>
        <w:tblCellMar>
          <w:top w:w="0" w:type="dxa"/>
          <w:left w:w="0" w:type="dxa"/>
          <w:bottom w:w="0" w:type="dxa"/>
          <w:right w:w="0" w:type="dxa"/>
        </w:tblCellMar>
      </w:tblPr>
      <w:tblGrid>
        <w:gridCol w:w="890"/>
        <w:gridCol w:w="1460"/>
      </w:tblGrid>
      <w:tr>
        <w:trPr/>
        <w:tc>
          <w:tcPr>
            <w:tcW w:w="890" w:type="dxa"/>
            <w:tcBorders/>
            <w:shd w:fill="auto" w:val="clear"/>
            <w:vAlign w:val="center"/>
          </w:tcPr>
          <w:p>
            <w:pPr>
              <w:pStyle w:val="TableContents"/>
              <w:spacing w:before="0" w:after="283"/>
              <w:jc w:val="both"/>
              <w:rPr>
                <w:b/>
                <w:color w:val="010000"/>
                <w:sz w:val="20"/>
              </w:rPr>
            </w:pPr>
            <w:bookmarkStart w:id="4" w:name="b_001"/>
            <w:bookmarkEnd w:id="4"/>
            <w:r>
              <w:rPr>
                <w:b/>
                <w:color w:val="010000"/>
                <w:sz w:val="20"/>
              </w:rPr>
              <w:t>ITEM 1A.</w:t>
            </w:r>
          </w:p>
        </w:tc>
        <w:tc>
          <w:tcPr>
            <w:tcW w:w="1460" w:type="dxa"/>
            <w:tcBorders/>
            <w:shd w:fill="auto" w:val="clear"/>
            <w:vAlign w:val="center"/>
          </w:tcPr>
          <w:p>
            <w:pPr>
              <w:pStyle w:val="TableContents"/>
              <w:spacing w:before="0" w:after="283"/>
              <w:jc w:val="both"/>
              <w:rPr>
                <w:b/>
                <w:sz w:val="20"/>
              </w:rPr>
            </w:pPr>
            <w:r>
              <w:rPr>
                <w:b/>
                <w:sz w:val="20"/>
              </w:rPr>
              <w:t>RISK FACTORS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make disclosures under this Item.</w:t>
      </w:r>
    </w:p>
    <w:p>
      <w:pPr>
        <w:pStyle w:val="TextBody"/>
        <w:spacing w:before="0" w:after="0"/>
        <w:ind w:left="0" w:right="0" w:hanging="0"/>
        <w:jc w:val="both"/>
        <w:rPr>
          <w:caps w:val="false"/>
          <w:smallCaps w:val="false"/>
        </w:rPr>
      </w:pPr>
      <w:r>
        <w:rPr>
          <w:caps w:val="false"/>
          <w:smallCaps w:val="false"/>
        </w:rPr>
        <w:t> </w:t>
      </w:r>
    </w:p>
    <w:tbl>
      <w:tblPr>
        <w:tblW w:w="4120" w:type="dxa"/>
        <w:jc w:val="left"/>
        <w:tblInd w:w="0" w:type="dxa"/>
        <w:tblCellMar>
          <w:top w:w="0" w:type="dxa"/>
          <w:left w:w="0" w:type="dxa"/>
          <w:bottom w:w="0" w:type="dxa"/>
          <w:right w:w="0" w:type="dxa"/>
        </w:tblCellMar>
      </w:tblPr>
      <w:tblGrid>
        <w:gridCol w:w="890"/>
        <w:gridCol w:w="3230"/>
      </w:tblGrid>
      <w:tr>
        <w:trPr/>
        <w:tc>
          <w:tcPr>
            <w:tcW w:w="890" w:type="dxa"/>
            <w:tcBorders/>
            <w:shd w:fill="auto" w:val="clear"/>
            <w:vAlign w:val="center"/>
          </w:tcPr>
          <w:p>
            <w:pPr>
              <w:pStyle w:val="TableContents"/>
              <w:spacing w:before="0" w:after="283"/>
              <w:jc w:val="both"/>
              <w:rPr>
                <w:b/>
                <w:color w:val="010000"/>
                <w:sz w:val="20"/>
              </w:rPr>
            </w:pPr>
            <w:bookmarkStart w:id="5" w:name="b_002"/>
            <w:bookmarkEnd w:id="5"/>
            <w:r>
              <w:rPr>
                <w:b/>
                <w:color w:val="010000"/>
                <w:sz w:val="20"/>
              </w:rPr>
              <w:t>ITEM 1B.</w:t>
            </w:r>
          </w:p>
        </w:tc>
        <w:tc>
          <w:tcPr>
            <w:tcW w:w="3230" w:type="dxa"/>
            <w:tcBorders/>
            <w:shd w:fill="auto" w:val="clear"/>
            <w:vAlign w:val="center"/>
          </w:tcPr>
          <w:p>
            <w:pPr>
              <w:pStyle w:val="TableContents"/>
              <w:spacing w:before="0" w:after="283"/>
              <w:jc w:val="both"/>
              <w:rPr>
                <w:b/>
                <w:sz w:val="20"/>
              </w:rPr>
            </w:pPr>
            <w:r>
              <w:rPr>
                <w:b/>
                <w:sz w:val="20"/>
              </w:rPr>
              <w:t>UNRESOLVED STAFF COMMENTS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2035" w:type="dxa"/>
        <w:jc w:val="left"/>
        <w:tblInd w:w="0" w:type="dxa"/>
        <w:tblCellMar>
          <w:top w:w="0" w:type="dxa"/>
          <w:left w:w="0" w:type="dxa"/>
          <w:bottom w:w="0" w:type="dxa"/>
          <w:right w:w="0" w:type="dxa"/>
        </w:tblCellMar>
      </w:tblPr>
      <w:tblGrid>
        <w:gridCol w:w="755"/>
        <w:gridCol w:w="1280"/>
      </w:tblGrid>
      <w:tr>
        <w:trPr/>
        <w:tc>
          <w:tcPr>
            <w:tcW w:w="755" w:type="dxa"/>
            <w:tcBorders/>
            <w:shd w:fill="auto" w:val="clear"/>
            <w:vAlign w:val="center"/>
          </w:tcPr>
          <w:p>
            <w:pPr>
              <w:pStyle w:val="TableContents"/>
              <w:spacing w:before="0" w:after="283"/>
              <w:jc w:val="both"/>
              <w:rPr>
                <w:b/>
                <w:color w:val="010000"/>
                <w:sz w:val="20"/>
              </w:rPr>
            </w:pPr>
            <w:bookmarkStart w:id="6" w:name="b_003"/>
            <w:bookmarkEnd w:id="6"/>
            <w:r>
              <w:rPr>
                <w:b/>
                <w:color w:val="010000"/>
                <w:sz w:val="20"/>
              </w:rPr>
              <w:t>ITEM 2.</w:t>
            </w:r>
          </w:p>
        </w:tc>
        <w:tc>
          <w:tcPr>
            <w:tcW w:w="1280" w:type="dxa"/>
            <w:tcBorders/>
            <w:shd w:fill="auto" w:val="clear"/>
            <w:vAlign w:val="center"/>
          </w:tcPr>
          <w:p>
            <w:pPr>
              <w:pStyle w:val="TableContents"/>
              <w:spacing w:before="0" w:after="283"/>
              <w:jc w:val="both"/>
              <w:rPr>
                <w:b/>
                <w:sz w:val="20"/>
              </w:rPr>
            </w:pPr>
            <w:r>
              <w:rPr>
                <w:b/>
                <w:sz w:val="20"/>
              </w:rPr>
              <w:t>PROPERTIES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offices are located at 1300 Pennsylvania Ave NW, Suite 700, Washington, DC 20004, and our telephone number is (202) 600-5757.</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date our securities are first listed on Nasdaq, we have agreed to pay ARC Group Limited, our financial advisor a total of $10,000 per month for office space, utilities and secretarial and administrative support. We consider our current office space adequate for our current operations.</w:t>
      </w:r>
    </w:p>
    <w:p>
      <w:pPr>
        <w:pStyle w:val="TextBody"/>
        <w:spacing w:before="0" w:after="0"/>
        <w:ind w:left="0" w:right="0" w:hanging="0"/>
        <w:jc w:val="both"/>
        <w:rPr>
          <w:caps w:val="false"/>
          <w:smallCaps w:val="false"/>
        </w:rPr>
      </w:pPr>
      <w:r>
        <w:rPr>
          <w:caps w:val="false"/>
          <w:smallCaps w:val="false"/>
        </w:rPr>
        <w:t> </w:t>
      </w:r>
    </w:p>
    <w:tbl>
      <w:tblPr>
        <w:tblW w:w="2935" w:type="dxa"/>
        <w:jc w:val="left"/>
        <w:tblInd w:w="0" w:type="dxa"/>
        <w:tblCellMar>
          <w:top w:w="0" w:type="dxa"/>
          <w:left w:w="0" w:type="dxa"/>
          <w:bottom w:w="0" w:type="dxa"/>
          <w:right w:w="0" w:type="dxa"/>
        </w:tblCellMar>
      </w:tblPr>
      <w:tblGrid>
        <w:gridCol w:w="755"/>
        <w:gridCol w:w="2180"/>
      </w:tblGrid>
      <w:tr>
        <w:trPr/>
        <w:tc>
          <w:tcPr>
            <w:tcW w:w="755" w:type="dxa"/>
            <w:tcBorders/>
            <w:shd w:fill="auto" w:val="clear"/>
            <w:vAlign w:val="center"/>
          </w:tcPr>
          <w:p>
            <w:pPr>
              <w:pStyle w:val="TableContents"/>
              <w:spacing w:before="0" w:after="283"/>
              <w:jc w:val="both"/>
              <w:rPr>
                <w:b/>
                <w:color w:val="010000"/>
                <w:sz w:val="20"/>
              </w:rPr>
            </w:pPr>
            <w:bookmarkStart w:id="7" w:name="b_004"/>
            <w:bookmarkEnd w:id="7"/>
            <w:r>
              <w:rPr>
                <w:b/>
                <w:color w:val="010000"/>
                <w:sz w:val="20"/>
              </w:rPr>
              <w:t>ITEM 3.</w:t>
            </w:r>
          </w:p>
        </w:tc>
        <w:tc>
          <w:tcPr>
            <w:tcW w:w="2180" w:type="dxa"/>
            <w:tcBorders/>
            <w:shd w:fill="auto" w:val="clear"/>
            <w:vAlign w:val="center"/>
          </w:tcPr>
          <w:p>
            <w:pPr>
              <w:pStyle w:val="TableContents"/>
              <w:spacing w:before="0" w:after="283"/>
              <w:jc w:val="both"/>
              <w:rPr>
                <w:b/>
                <w:sz w:val="20"/>
              </w:rPr>
            </w:pPr>
            <w:r>
              <w:rPr>
                <w:b/>
                <w:sz w:val="20"/>
              </w:rPr>
              <w:t>LEGAL PROCEEDINGS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pStyle w:val="TextBody"/>
        <w:spacing w:before="0" w:after="0"/>
        <w:ind w:left="0" w:right="0" w:hanging="0"/>
        <w:jc w:val="both"/>
        <w:rPr>
          <w:caps w:val="false"/>
          <w:smallCaps w:val="false"/>
        </w:rPr>
      </w:pPr>
      <w:r>
        <w:rPr>
          <w:caps w:val="false"/>
          <w:smallCaps w:val="false"/>
        </w:rPr>
        <w:t> </w:t>
      </w:r>
    </w:p>
    <w:tbl>
      <w:tblPr>
        <w:tblW w:w="3520" w:type="dxa"/>
        <w:jc w:val="left"/>
        <w:tblInd w:w="0" w:type="dxa"/>
        <w:tblCellMar>
          <w:top w:w="0" w:type="dxa"/>
          <w:left w:w="0" w:type="dxa"/>
          <w:bottom w:w="0" w:type="dxa"/>
          <w:right w:w="0" w:type="dxa"/>
        </w:tblCellMar>
      </w:tblPr>
      <w:tblGrid>
        <w:gridCol w:w="755"/>
        <w:gridCol w:w="2765"/>
      </w:tblGrid>
      <w:tr>
        <w:trPr/>
        <w:tc>
          <w:tcPr>
            <w:tcW w:w="755" w:type="dxa"/>
            <w:tcBorders/>
            <w:shd w:fill="auto" w:val="clear"/>
            <w:vAlign w:val="center"/>
          </w:tcPr>
          <w:p>
            <w:pPr>
              <w:pStyle w:val="TableContents"/>
              <w:spacing w:before="0" w:after="283"/>
              <w:jc w:val="both"/>
              <w:rPr>
                <w:b/>
                <w:color w:val="010000"/>
                <w:sz w:val="20"/>
              </w:rPr>
            </w:pPr>
            <w:r>
              <w:rPr>
                <w:b/>
                <w:color w:val="010000"/>
                <w:sz w:val="20"/>
              </w:rPr>
              <w:t>ITEM 4.</w:t>
            </w:r>
          </w:p>
        </w:tc>
        <w:tc>
          <w:tcPr>
            <w:tcW w:w="2765" w:type="dxa"/>
            <w:tcBorders/>
            <w:shd w:fill="auto" w:val="clear"/>
            <w:vAlign w:val="center"/>
          </w:tcPr>
          <w:p>
            <w:pPr>
              <w:pStyle w:val="TableContents"/>
              <w:spacing w:before="0" w:after="283"/>
              <w:jc w:val="both"/>
              <w:rPr>
                <w:b/>
                <w:sz w:val="20"/>
              </w:rPr>
            </w:pPr>
            <w:bookmarkStart w:id="8" w:name="b_005"/>
            <w:bookmarkEnd w:id="8"/>
            <w:r>
              <w:rPr>
                <w:b/>
                <w:sz w:val="20"/>
              </w:rPr>
              <w:t>MINE SAFETY DISCLOSURES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color w:val="010000"/>
          <w:sz w:val="20"/>
        </w:rPr>
      </w:pPr>
      <w:bookmarkStart w:id="9" w:name="b_006"/>
      <w:bookmarkEnd w:id="9"/>
      <w:r>
        <w:rPr>
          <w:rFonts w:ascii="Times New Roman;Times;Serif" w:hAnsi="Times New Roman;Times;Serif"/>
          <w:b/>
          <w:i w:val="false"/>
          <w:caps/>
          <w:color w:val="010000"/>
          <w:sz w:val="20"/>
        </w:rPr>
        <w:t>part II</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680"/>
        <w:gridCol w:w="9450"/>
      </w:tblGrid>
      <w:tr>
        <w:trPr/>
        <w:tc>
          <w:tcPr>
            <w:tcW w:w="75"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b/>
                <w:color w:val="010000"/>
                <w:sz w:val="20"/>
              </w:rPr>
            </w:pPr>
            <w:r>
              <w:rPr>
                <w:b/>
                <w:color w:val="010000"/>
                <w:sz w:val="20"/>
              </w:rPr>
              <w:t>ITEM 5.</w:t>
            </w:r>
          </w:p>
        </w:tc>
        <w:tc>
          <w:tcPr>
            <w:tcW w:w="9450" w:type="dxa"/>
            <w:tcBorders/>
            <w:shd w:fill="auto" w:val="clear"/>
            <w:vAlign w:val="center"/>
          </w:tcPr>
          <w:p>
            <w:pPr>
              <w:pStyle w:val="TableContents"/>
              <w:spacing w:before="0" w:after="283"/>
              <w:jc w:val="both"/>
              <w:rPr>
                <w:b/>
                <w:sz w:val="20"/>
              </w:rPr>
            </w:pPr>
            <w:bookmarkStart w:id="10" w:name="b_007"/>
            <w:bookmarkEnd w:id="10"/>
            <w:r>
              <w:rPr>
                <w:b/>
                <w:sz w:val="20"/>
              </w:rPr>
              <w:t>MARKET FOR REGISTRANT’S COMMON EQUITY, RELATED STOCKHOLDER MATTERS AND ISSUER PURCHASES OF EQUITY SECURITIES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units began to trade on The Nasdaq Global Market, or Nasdaq, under the symbol “BRKHU” on or about December 13, 2021. The Class A common stock and redeemable warrants comprising the units began separate trading on January 31, 2022, under the symbols “BRKH” and “BRKHW,” respectively.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there were 28,750,000 of our shares of Class A common stock issued and outstanding held by approximately 5 stockholders of record, and there were 9,487,500 of our shares of Class B common stock issued and outstanding held by our Sponsor. The number of record holders was determined from the records of our transfer agent and does not include beneficial owners of shares of common stock whose shares are held in the names of various security brokers, dealers, and registered clearing agencies.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securities to report which have not been previously included in a Quarterly Report on Form 10-Q or a Current Report on 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 and Affiliated Purchasers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1960" w:type="dxa"/>
        <w:jc w:val="left"/>
        <w:tblInd w:w="0" w:type="dxa"/>
        <w:tblCellMar>
          <w:top w:w="0" w:type="dxa"/>
          <w:left w:w="0" w:type="dxa"/>
          <w:bottom w:w="0" w:type="dxa"/>
          <w:right w:w="0" w:type="dxa"/>
        </w:tblCellMar>
      </w:tblPr>
      <w:tblGrid>
        <w:gridCol w:w="755"/>
        <w:gridCol w:w="1205"/>
      </w:tblGrid>
      <w:tr>
        <w:trPr/>
        <w:tc>
          <w:tcPr>
            <w:tcW w:w="755" w:type="dxa"/>
            <w:tcBorders/>
            <w:shd w:fill="auto" w:val="clear"/>
            <w:vAlign w:val="center"/>
          </w:tcPr>
          <w:p>
            <w:pPr>
              <w:pStyle w:val="TableContents"/>
              <w:spacing w:before="0" w:after="283"/>
              <w:rPr>
                <w:b/>
                <w:color w:val="010000"/>
                <w:sz w:val="20"/>
              </w:rPr>
            </w:pPr>
            <w:bookmarkStart w:id="11" w:name="b_008"/>
            <w:bookmarkEnd w:id="11"/>
            <w:r>
              <w:rPr>
                <w:b/>
                <w:color w:val="010000"/>
                <w:sz w:val="20"/>
              </w:rPr>
              <w:t>ITEM 6.</w:t>
            </w:r>
          </w:p>
        </w:tc>
        <w:tc>
          <w:tcPr>
            <w:tcW w:w="1205" w:type="dxa"/>
            <w:tcBorders/>
            <w:shd w:fill="auto" w:val="clear"/>
            <w:vAlign w:val="center"/>
          </w:tcPr>
          <w:p>
            <w:pPr>
              <w:pStyle w:val="TableContents"/>
              <w:spacing w:before="0" w:after="283"/>
              <w:rPr>
                <w:b/>
                <w:sz w:val="20"/>
              </w:rPr>
            </w:pPr>
            <w:r>
              <w:rPr>
                <w:b/>
                <w:sz w:val="20"/>
              </w:rPr>
              <w:t>[RESERVED]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3"/>
        <w:gridCol w:w="9462"/>
      </w:tblGrid>
      <w:tr>
        <w:trPr/>
        <w:tc>
          <w:tcPr>
            <w:tcW w:w="743" w:type="dxa"/>
            <w:tcBorders/>
            <w:shd w:fill="auto" w:val="clear"/>
            <w:vAlign w:val="center"/>
          </w:tcPr>
          <w:p>
            <w:pPr>
              <w:pStyle w:val="TableContents"/>
              <w:spacing w:before="0" w:after="283"/>
              <w:rPr>
                <w:b/>
                <w:sz w:val="20"/>
              </w:rPr>
            </w:pPr>
            <w:bookmarkStart w:id="12" w:name="b_009"/>
            <w:bookmarkEnd w:id="12"/>
            <w:r>
              <w:rPr>
                <w:b/>
                <w:sz w:val="20"/>
              </w:rPr>
              <w:t>ITEM 7.</w:t>
            </w:r>
          </w:p>
        </w:tc>
        <w:tc>
          <w:tcPr>
            <w:tcW w:w="9462" w:type="dxa"/>
            <w:tcBorders/>
            <w:shd w:fill="auto" w:val="clear"/>
            <w:vAlign w:val="center"/>
          </w:tcPr>
          <w:p>
            <w:pPr>
              <w:pStyle w:val="TableContents"/>
              <w:spacing w:before="0" w:after="283"/>
              <w:jc w:val="both"/>
              <w:rPr>
                <w:b/>
                <w:sz w:val="20"/>
              </w:rPr>
            </w:pPr>
            <w:r>
              <w:rPr>
                <w:b/>
                <w:sz w:val="20"/>
              </w:rPr>
              <w:t>MANAGEMENT’S DISCUSSION AND ANALYSIS OF FINANCIAL CONDITION AND RESULTS OF OPERATIONS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these financial statements and related notes included elsewhere in this Annual Report on Form 10-K.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“Forward-Looking Statements” appearing elsewhere in this Annual Report on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only 15 months from the closing of the IPO (the “Combination Period”) to complete the initial Business Combination. If we are unable to complete the initial business combination within the Combination Period (and the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entire activity since inception up to December 31, 2021 was in preparation for our initial public offering. We will not generate any operating revenues until the closing and completion of our initial business combination, at the earliest.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March 2, 2021 through December 31, 2021, we had net loss of $65,892, which consisted of formation and operating costs of $66,791 and interest and dividend income of $899.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Capital Resources and Management's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approximately $1.5 million in its operating bank account, and working capital of approximately $1.2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IPO, our liquidity needs up to December 31, 2021 had been satisfied through a payment from our sponsor of $25,000 for the Founder Shares to cover certain offering costs and the loan under an unsecured promissory note from the Sponsor of $144,746. In addition, in order to finance transaction costs in connection with a business combination, our sponsor or an affiliate of our sponsor or certain of our officers and directors may, but are not obligated to, provide us Working Capital Loans. As of December 31, 2021, there were no amounts outstanding under any Working Capital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costs associated with our IPO totaled $16,919,619, </w:t>
      </w:r>
      <w:r>
        <w:rPr>
          <w:rFonts w:ascii="Times New Roman;Times;Serif" w:hAnsi="Times New Roman;Times;Serif"/>
          <w:b w:val="false"/>
          <w:i w:val="false"/>
          <w:caps w:val="false"/>
          <w:smallCaps w:val="false"/>
          <w:sz w:val="20"/>
          <w:highlight w:val="white"/>
        </w:rPr>
        <w:t>consisting of $2,875,000 of underwriting fees, $10,062,500 of deferred underwriting fees, $3,456,652 fair value of the Class A common stock issued to the underwriters and $525,467 of other offering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Sponsors agreed to loan the Company up to $300,000 to be used for a portion of the expenses of the IPO. These loans are non-interest bearing, unsecured and due at the earlier of December 31, 2021 or the closing of the IPO. As of December 31, 2021, the Company had borrowed $144,746 under the promissory note.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we will have sufficient working capital and borrowing capacity to meet its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financial statements in conformity with US GAAP requires management to make estimates and assumptions that affect the reported amounts of assets and liabilities and disclosure of contingent assets and liabilities at the date of these financial statements and the reported amounts of expenses during the reporting period. Actual results could differ from those estimates. We have identified the following as our 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Subject to Possible Redemption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December 31, 2021, 28,750,000 Class A common stock subject to possible redemption are presented at redemption value as temporary equity, outside of the stockholders’ equity section of our balance sheet.</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 associated with the Initial Public Offering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comply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We incurred offering costs amounting to $16,919,619 as a result of the IPO (consisting of $2,875,000 of underwriting fees, $10,062,500 of deferred underwriting fees, $3,456,652 fair value of the Class A common stock issued to the underwriters and $525,467 of other offering costs).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Common Stock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period from March 2, 2021 to December 31, 2021 because the warrants are contingently exercisable, and the contingencies have not yet been met and its inclusion would be anti-dilutive. As a result, diluted net loss per common stock is the same as basic net loss per common stock for the periods.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We are currently evaluating the impact of the ASU on its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does not believe that any other recently issued, but not yet effective, accounting standards if currently adopted would have a material effect on the accompanying financial statement.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tbl>
      <w:tblPr>
        <w:tblW w:w="7930" w:type="dxa"/>
        <w:jc w:val="left"/>
        <w:tblInd w:w="0" w:type="dxa"/>
        <w:tblCellMar>
          <w:top w:w="0" w:type="dxa"/>
          <w:left w:w="0" w:type="dxa"/>
          <w:bottom w:w="0" w:type="dxa"/>
          <w:right w:w="0" w:type="dxa"/>
        </w:tblCellMar>
      </w:tblPr>
      <w:tblGrid>
        <w:gridCol w:w="75"/>
        <w:gridCol w:w="875"/>
        <w:gridCol w:w="6980"/>
      </w:tblGrid>
      <w:tr>
        <w:trPr/>
        <w:tc>
          <w:tcPr>
            <w:tcW w:w="75"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b/>
                <w:sz w:val="20"/>
              </w:rPr>
            </w:pPr>
            <w:bookmarkStart w:id="13" w:name="b_010"/>
            <w:bookmarkEnd w:id="13"/>
            <w:r>
              <w:rPr>
                <w:b/>
                <w:sz w:val="20"/>
              </w:rPr>
              <w:t>ITEM 7A.</w:t>
            </w:r>
          </w:p>
        </w:tc>
        <w:tc>
          <w:tcPr>
            <w:tcW w:w="6980" w:type="dxa"/>
            <w:tcBorders/>
            <w:shd w:fill="auto" w:val="clear"/>
            <w:vAlign w:val="center"/>
          </w:tcPr>
          <w:p>
            <w:pPr>
              <w:pStyle w:val="TableContents"/>
              <w:spacing w:before="0" w:after="283"/>
              <w:jc w:val="both"/>
              <w:rPr>
                <w:b/>
                <w:sz w:val="20"/>
              </w:rPr>
            </w:pPr>
            <w:r>
              <w:rPr>
                <w:b/>
                <w:sz w:val="20"/>
              </w:rPr>
              <w:t>QUANTITATIVE AND QUALITATIVE DISCLOSURES ABOUT MARKET RISK</w:t>
            </w:r>
          </w:p>
        </w:tc>
      </w:tr>
    </w:tbl>
    <w:p>
      <w:pPr>
        <w:pStyle w:val="TextBody"/>
        <w:spacing w:before="0" w:after="0"/>
        <w:ind w:left="0" w:right="0" w:firstLine="308"/>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spacing w:before="0" w:after="0"/>
        <w:ind w:left="0" w:right="0" w:firstLine="720"/>
        <w:rPr>
          <w:caps w:val="false"/>
          <w:smallCaps w:val="false"/>
        </w:rPr>
      </w:pPr>
      <w:r>
        <w:rPr>
          <w:caps w:val="false"/>
          <w:smallCaps w:val="false"/>
        </w:rPr>
        <w:t> </w:t>
      </w:r>
    </w:p>
    <w:tbl>
      <w:tblPr>
        <w:tblW w:w="7735" w:type="dxa"/>
        <w:jc w:val="left"/>
        <w:tblInd w:w="0" w:type="dxa"/>
        <w:tblCellMar>
          <w:top w:w="0" w:type="dxa"/>
          <w:left w:w="0" w:type="dxa"/>
          <w:bottom w:w="0" w:type="dxa"/>
          <w:right w:w="0" w:type="dxa"/>
        </w:tblCellMar>
      </w:tblPr>
      <w:tblGrid>
        <w:gridCol w:w="75"/>
        <w:gridCol w:w="740"/>
        <w:gridCol w:w="6920"/>
      </w:tblGrid>
      <w:tr>
        <w:trPr/>
        <w:tc>
          <w:tcPr>
            <w:tcW w:w="75"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b/>
                <w:sz w:val="20"/>
              </w:rPr>
            </w:pPr>
            <w:bookmarkStart w:id="14" w:name="b_011"/>
            <w:bookmarkEnd w:id="14"/>
            <w:r>
              <w:rPr>
                <w:b/>
                <w:sz w:val="20"/>
              </w:rPr>
              <w:t>ITEM 8.</w:t>
            </w:r>
          </w:p>
        </w:tc>
        <w:tc>
          <w:tcPr>
            <w:tcW w:w="6920" w:type="dxa"/>
            <w:tcBorders/>
            <w:shd w:fill="auto" w:val="clear"/>
            <w:vAlign w:val="center"/>
          </w:tcPr>
          <w:p>
            <w:pPr>
              <w:pStyle w:val="TableContents"/>
              <w:spacing w:before="0" w:after="283"/>
              <w:jc w:val="both"/>
              <w:rPr>
                <w:b/>
                <w:sz w:val="20"/>
              </w:rPr>
            </w:pPr>
            <w:r>
              <w:rPr>
                <w:b/>
                <w:sz w:val="20"/>
              </w:rPr>
              <w:t>CONSOLIDATED FINANCIAL STATEMENTS AND SUPPLEMENTARY DATA</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appears following Item 15 of this Report and is included herein by reference.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723"/>
        <w:gridCol w:w="9407"/>
      </w:tblGrid>
      <w:tr>
        <w:trPr/>
        <w:tc>
          <w:tcPr>
            <w:tcW w:w="75"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rPr>
                <w:b/>
                <w:sz w:val="20"/>
              </w:rPr>
            </w:pPr>
            <w:bookmarkStart w:id="15" w:name="b_012"/>
            <w:bookmarkEnd w:id="15"/>
            <w:r>
              <w:rPr>
                <w:b/>
                <w:sz w:val="20"/>
              </w:rPr>
              <w:t>ITEM 9.</w:t>
            </w:r>
          </w:p>
        </w:tc>
        <w:tc>
          <w:tcPr>
            <w:tcW w:w="9407" w:type="dxa"/>
            <w:tcBorders/>
            <w:shd w:fill="auto" w:val="clear"/>
            <w:vAlign w:val="center"/>
          </w:tcPr>
          <w:p>
            <w:pPr>
              <w:pStyle w:val="TableContents"/>
              <w:spacing w:before="0" w:after="283"/>
              <w:jc w:val="both"/>
              <w:rPr>
                <w:b/>
                <w:sz w:val="20"/>
              </w:rPr>
            </w:pPr>
            <w:r>
              <w:rPr>
                <w:b/>
                <w:sz w:val="20"/>
              </w:rPr>
              <w:t>CHANGES IN AND DISAGREEMENTS WITH ACCOUNTANTS ON ACCOUNTING AND FINANCIAL DISCLOSURE</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75"/>
        <w:gridCol w:w="875"/>
        <w:gridCol w:w="2975"/>
      </w:tblGrid>
      <w:tr>
        <w:trPr/>
        <w:tc>
          <w:tcPr>
            <w:tcW w:w="75"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b/>
                <w:sz w:val="20"/>
              </w:rPr>
            </w:pPr>
            <w:bookmarkStart w:id="16" w:name="b_013"/>
            <w:bookmarkEnd w:id="16"/>
            <w:r>
              <w:rPr>
                <w:b/>
                <w:sz w:val="20"/>
              </w:rPr>
              <w:t>ITEM 9A.</w:t>
            </w:r>
          </w:p>
        </w:tc>
        <w:tc>
          <w:tcPr>
            <w:tcW w:w="2975" w:type="dxa"/>
            <w:tcBorders/>
            <w:shd w:fill="auto" w:val="clear"/>
            <w:vAlign w:val="center"/>
          </w:tcPr>
          <w:p>
            <w:pPr>
              <w:pStyle w:val="TableContents"/>
              <w:spacing w:before="0" w:after="283"/>
              <w:jc w:val="both"/>
              <w:rPr>
                <w:b/>
                <w:sz w:val="20"/>
              </w:rPr>
            </w:pPr>
            <w:r>
              <w:rPr>
                <w:b/>
                <w:sz w:val="20"/>
              </w:rPr>
              <w:t>CONTROLS AND PROCEDURES.</w:t>
            </w:r>
          </w:p>
        </w:tc>
      </w:tr>
    </w:tbl>
    <w:p>
      <w:pPr>
        <w:pStyle w:val="TextBody"/>
        <w:spacing w:before="0" w:after="0"/>
        <w:ind w:left="0" w:right="0" w:hanging="902"/>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2021, pursuant to Rule 13a-15(b) under the Exchange Act. Based upon that evaluation, our Certifying Officers concluded that, as of December 31, 2021, our disclosure controls and procedures were effective.</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Controls Over Financial Reporting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0" w:after="0"/>
        <w:ind w:left="0" w:right="0" w:hanging="0"/>
        <w:jc w:val="both"/>
        <w:rPr>
          <w:caps w:val="false"/>
          <w:smallCaps w:val="false"/>
        </w:rPr>
      </w:pPr>
      <w:r>
        <w:rPr>
          <w:caps w:val="false"/>
          <w:smallCaps w:val="false"/>
        </w:rPr>
        <w:t> </w:t>
      </w:r>
    </w:p>
    <w:tbl>
      <w:tblPr>
        <w:tblW w:w="3100" w:type="dxa"/>
        <w:jc w:val="left"/>
        <w:tblInd w:w="0" w:type="dxa"/>
        <w:tblCellMar>
          <w:top w:w="0" w:type="dxa"/>
          <w:left w:w="0" w:type="dxa"/>
          <w:bottom w:w="0" w:type="dxa"/>
          <w:right w:w="0" w:type="dxa"/>
        </w:tblCellMar>
      </w:tblPr>
      <w:tblGrid>
        <w:gridCol w:w="890"/>
        <w:gridCol w:w="2210"/>
      </w:tblGrid>
      <w:tr>
        <w:trPr/>
        <w:tc>
          <w:tcPr>
            <w:tcW w:w="890" w:type="dxa"/>
            <w:tcBorders/>
            <w:shd w:fill="auto" w:val="clear"/>
            <w:vAlign w:val="center"/>
          </w:tcPr>
          <w:p>
            <w:pPr>
              <w:pStyle w:val="TableContents"/>
              <w:spacing w:before="0" w:after="283"/>
              <w:rPr>
                <w:b/>
                <w:color w:val="010000"/>
                <w:sz w:val="20"/>
              </w:rPr>
            </w:pPr>
            <w:bookmarkStart w:id="17" w:name="b_014"/>
            <w:bookmarkEnd w:id="17"/>
            <w:r>
              <w:rPr>
                <w:b/>
                <w:color w:val="010000"/>
                <w:sz w:val="20"/>
              </w:rPr>
              <w:t>ITEM 9B.</w:t>
            </w:r>
          </w:p>
        </w:tc>
        <w:tc>
          <w:tcPr>
            <w:tcW w:w="2210" w:type="dxa"/>
            <w:tcBorders/>
            <w:shd w:fill="auto" w:val="clear"/>
            <w:vAlign w:val="center"/>
          </w:tcPr>
          <w:p>
            <w:pPr>
              <w:pStyle w:val="TableContents"/>
              <w:spacing w:before="0" w:after="283"/>
              <w:jc w:val="both"/>
              <w:rPr>
                <w:b/>
                <w:sz w:val="20"/>
              </w:rPr>
            </w:pPr>
            <w:r>
              <w:rPr>
                <w:b/>
                <w:sz w:val="20"/>
              </w:rPr>
              <w:t>OTHER INFORMATION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8815" w:type="dxa"/>
        <w:jc w:val="left"/>
        <w:tblInd w:w="0" w:type="dxa"/>
        <w:tblCellMar>
          <w:top w:w="0" w:type="dxa"/>
          <w:left w:w="0" w:type="dxa"/>
          <w:bottom w:w="0" w:type="dxa"/>
          <w:right w:w="0" w:type="dxa"/>
        </w:tblCellMar>
      </w:tblPr>
      <w:tblGrid>
        <w:gridCol w:w="890"/>
        <w:gridCol w:w="7925"/>
      </w:tblGrid>
      <w:tr>
        <w:trPr/>
        <w:tc>
          <w:tcPr>
            <w:tcW w:w="890" w:type="dxa"/>
            <w:tcBorders/>
            <w:shd w:fill="auto" w:val="clear"/>
            <w:vAlign w:val="center"/>
          </w:tcPr>
          <w:p>
            <w:pPr>
              <w:pStyle w:val="TableContents"/>
              <w:spacing w:before="0" w:after="283"/>
              <w:rPr>
                <w:b/>
                <w:color w:val="010000"/>
                <w:sz w:val="20"/>
              </w:rPr>
            </w:pPr>
            <w:bookmarkStart w:id="18" w:name="b_015"/>
            <w:bookmarkEnd w:id="18"/>
            <w:r>
              <w:rPr>
                <w:b/>
                <w:color w:val="010000"/>
                <w:sz w:val="20"/>
              </w:rPr>
              <w:t>ITEM 9C.</w:t>
            </w:r>
          </w:p>
        </w:tc>
        <w:tc>
          <w:tcPr>
            <w:tcW w:w="7925" w:type="dxa"/>
            <w:tcBorders/>
            <w:shd w:fill="auto" w:val="clear"/>
            <w:vAlign w:val="center"/>
          </w:tcPr>
          <w:p>
            <w:pPr>
              <w:pStyle w:val="TableContents"/>
              <w:spacing w:before="0" w:after="283"/>
              <w:jc w:val="both"/>
              <w:rPr>
                <w:b/>
                <w:sz w:val="20"/>
              </w:rPr>
            </w:pPr>
            <w:r>
              <w:rPr>
                <w:b/>
                <w:sz w:val="20"/>
              </w:rPr>
              <w:t>DISCLOSURE REGARDING FOREIGN JURISDICTIONS THAT PREVENT INSPECTIONS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color w:val="010000"/>
          <w:sz w:val="20"/>
        </w:rPr>
      </w:pPr>
      <w:bookmarkStart w:id="19" w:name="b_017"/>
      <w:bookmarkEnd w:id="19"/>
      <w:r>
        <w:rPr>
          <w:rFonts w:ascii="Times New Roman;Times;Serif" w:hAnsi="Times New Roman;Times;Serif"/>
          <w:b/>
          <w:i w:val="false"/>
          <w:caps/>
          <w:color w:val="010000"/>
          <w:sz w:val="20"/>
        </w:rPr>
        <w:t>part III</w:t>
      </w:r>
    </w:p>
    <w:p>
      <w:pPr>
        <w:pStyle w:val="TextBody"/>
        <w:spacing w:before="0" w:after="0"/>
        <w:ind w:left="0" w:right="0" w:hanging="0"/>
        <w:rPr>
          <w:caps w:val="false"/>
          <w:smallCaps w:val="false"/>
        </w:rPr>
      </w:pPr>
      <w:r>
        <w:rPr>
          <w:caps w:val="false"/>
          <w:smallCaps w:val="false"/>
        </w:rPr>
        <w:t> </w:t>
      </w:r>
    </w:p>
    <w:tbl>
      <w:tblPr>
        <w:tblW w:w="7450" w:type="dxa"/>
        <w:jc w:val="left"/>
        <w:tblInd w:w="0" w:type="dxa"/>
        <w:tblCellMar>
          <w:top w:w="0" w:type="dxa"/>
          <w:left w:w="0" w:type="dxa"/>
          <w:bottom w:w="0" w:type="dxa"/>
          <w:right w:w="0" w:type="dxa"/>
        </w:tblCellMar>
      </w:tblPr>
      <w:tblGrid>
        <w:gridCol w:w="860"/>
        <w:gridCol w:w="6590"/>
      </w:tblGrid>
      <w:tr>
        <w:trPr/>
        <w:tc>
          <w:tcPr>
            <w:tcW w:w="860" w:type="dxa"/>
            <w:tcBorders/>
            <w:shd w:fill="auto" w:val="clear"/>
            <w:vAlign w:val="center"/>
          </w:tcPr>
          <w:p>
            <w:pPr>
              <w:pStyle w:val="TableContents"/>
              <w:spacing w:before="0" w:after="283"/>
              <w:rPr>
                <w:b/>
                <w:color w:val="010000"/>
                <w:sz w:val="20"/>
              </w:rPr>
            </w:pPr>
            <w:bookmarkStart w:id="20" w:name="b_016"/>
            <w:bookmarkEnd w:id="20"/>
            <w:r>
              <w:rPr>
                <w:b/>
                <w:color w:val="010000"/>
                <w:sz w:val="20"/>
              </w:rPr>
              <w:t>ITEM 10.</w:t>
            </w:r>
          </w:p>
        </w:tc>
        <w:tc>
          <w:tcPr>
            <w:tcW w:w="6590" w:type="dxa"/>
            <w:tcBorders/>
            <w:shd w:fill="auto" w:val="clear"/>
            <w:vAlign w:val="center"/>
          </w:tcPr>
          <w:p>
            <w:pPr>
              <w:pStyle w:val="TableContents"/>
              <w:spacing w:before="0" w:after="283"/>
              <w:jc w:val="both"/>
              <w:rPr>
                <w:b/>
                <w:sz w:val="20"/>
              </w:rPr>
            </w:pPr>
            <w:r>
              <w:rPr>
                <w:b/>
                <w:sz w:val="20"/>
              </w:rPr>
              <w:t>DIRECTORS, EXECUTIVE OFFICERS AND CORPORATE GOVERNANCE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our directors and executive officers.</w:t>
      </w:r>
    </w:p>
    <w:p>
      <w:pPr>
        <w:pStyle w:val="TextBody"/>
        <w:spacing w:before="0" w:after="0"/>
        <w:ind w:left="0" w:right="0" w:hanging="0"/>
        <w:jc w:val="both"/>
        <w:rPr>
          <w:caps w:val="false"/>
          <w:smallCaps w:val="false"/>
        </w:rPr>
      </w:pPr>
      <w:r>
        <w:rPr>
          <w:caps w:val="false"/>
          <w:smallCaps w:val="false"/>
        </w:rPr>
        <w:t> </w:t>
      </w:r>
    </w:p>
    <w:tbl>
      <w:tblPr>
        <w:tblW w:w="7740" w:type="dxa"/>
        <w:jc w:val="left"/>
        <w:tblInd w:w="0" w:type="dxa"/>
        <w:tblCellMar>
          <w:top w:w="0" w:type="dxa"/>
          <w:left w:w="0" w:type="dxa"/>
          <w:bottom w:w="28" w:type="dxa"/>
          <w:right w:w="0" w:type="dxa"/>
        </w:tblCellMar>
      </w:tblPr>
      <w:tblGrid>
        <w:gridCol w:w="1850"/>
        <w:gridCol w:w="60"/>
        <w:gridCol w:w="60"/>
        <w:gridCol w:w="350"/>
        <w:gridCol w:w="60"/>
        <w:gridCol w:w="60"/>
        <w:gridCol w:w="60"/>
        <w:gridCol w:w="5165"/>
        <w:gridCol w:w="75"/>
      </w:tblGrid>
      <w:tr>
        <w:trPr/>
        <w:tc>
          <w:tcPr>
            <w:tcW w:w="1850" w:type="dxa"/>
            <w:tcBorders>
              <w:bottom w:val="single" w:sz="8" w:space="0" w:color="000000"/>
            </w:tcBorders>
            <w:shd w:fill="FFFFFF" w:val="clear"/>
            <w:vAlign w:val="center"/>
          </w:tcPr>
          <w:p>
            <w:pPr>
              <w:pStyle w:val="TableContents"/>
              <w:spacing w:before="0" w:after="283"/>
              <w:rPr>
                <w:b/>
                <w:sz w:val="20"/>
              </w:rPr>
            </w:pPr>
            <w:r>
              <w:rPr>
                <w:b/>
                <w:sz w:val="20"/>
              </w:rPr>
              <w:t>Name</w:t>
            </w:r>
          </w:p>
        </w:tc>
        <w:tc>
          <w:tcPr>
            <w:tcW w:w="60" w:type="dxa"/>
            <w:tcBorders/>
            <w:shd w:fill="FFFFFF" w:val="clear"/>
            <w:tcMar>
              <w:bottom w:w="0" w:type="dxa"/>
            </w:tcMar>
            <w:vAlign w:val="center"/>
          </w:tcPr>
          <w:p>
            <w:pPr>
              <w:pStyle w:val="TableContents"/>
              <w:spacing w:before="0" w:after="283"/>
              <w:rPr/>
            </w:pPr>
            <w:r>
              <w:rPr/>
              <w:t> </w:t>
            </w:r>
          </w:p>
        </w:tc>
        <w:tc>
          <w:tcPr>
            <w:tcW w:w="60" w:type="dxa"/>
            <w:tcBorders>
              <w:bottom w:val="single" w:sz="8" w:space="0" w:color="000000"/>
            </w:tcBorders>
            <w:shd w:fill="FFFFFF" w:val="clear"/>
            <w:vAlign w:val="center"/>
          </w:tcPr>
          <w:p>
            <w:pPr>
              <w:pStyle w:val="TableContents"/>
              <w:spacing w:before="0" w:after="283"/>
              <w:rPr/>
            </w:pPr>
            <w:r>
              <w:rPr/>
              <w:t> </w:t>
            </w:r>
          </w:p>
        </w:tc>
        <w:tc>
          <w:tcPr>
            <w:tcW w:w="350" w:type="dxa"/>
            <w:tcBorders>
              <w:bottom w:val="single" w:sz="8" w:space="0" w:color="000000"/>
            </w:tcBorders>
            <w:shd w:fill="FFFFFF" w:val="clear"/>
            <w:vAlign w:val="center"/>
          </w:tcPr>
          <w:p>
            <w:pPr>
              <w:pStyle w:val="TableContents"/>
              <w:spacing w:before="0" w:after="283"/>
              <w:jc w:val="center"/>
              <w:rPr>
                <w:b/>
                <w:sz w:val="20"/>
              </w:rPr>
            </w:pPr>
            <w:r>
              <w:rPr>
                <w:b/>
                <w:sz w:val="20"/>
              </w:rPr>
              <w:t>Age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bottom w:val="single" w:sz="8" w:space="0" w:color="000000"/>
            </w:tcBorders>
            <w:shd w:fill="FFFFFF" w:val="clear"/>
            <w:vAlign w:val="center"/>
          </w:tcPr>
          <w:p>
            <w:pPr>
              <w:pStyle w:val="TableContents"/>
              <w:spacing w:before="0" w:after="283"/>
              <w:ind w:left="0" w:right="0" w:hanging="1620"/>
              <w:rPr/>
            </w:pPr>
            <w:r>
              <w:rPr/>
              <w:t> </w:t>
            </w:r>
          </w:p>
        </w:tc>
        <w:tc>
          <w:tcPr>
            <w:tcW w:w="5165" w:type="dxa"/>
            <w:tcBorders>
              <w:bottom w:val="single" w:sz="8" w:space="0" w:color="000000"/>
            </w:tcBorders>
            <w:shd w:fill="FFFFFF" w:val="clear"/>
            <w:vAlign w:val="center"/>
          </w:tcPr>
          <w:p>
            <w:pPr>
              <w:pStyle w:val="TableContents"/>
              <w:spacing w:before="0" w:after="283"/>
              <w:jc w:val="center"/>
              <w:rPr>
                <w:b/>
                <w:sz w:val="20"/>
              </w:rPr>
            </w:pPr>
            <w:r>
              <w:rPr>
                <w:b/>
                <w:sz w:val="20"/>
              </w:rPr>
              <w:t>Position</w:t>
            </w:r>
          </w:p>
        </w:tc>
        <w:tc>
          <w:tcPr>
            <w:tcW w:w="75"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sz w:val="20"/>
              </w:rPr>
            </w:pPr>
            <w:r>
              <w:rPr>
                <w:sz w:val="20"/>
              </w:rPr>
              <w:t>Shahal Khan</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49</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5165" w:type="dxa"/>
            <w:tcBorders/>
            <w:shd w:fill="CCEEFF" w:val="clear"/>
            <w:tcMar>
              <w:bottom w:w="0" w:type="dxa"/>
            </w:tcMar>
            <w:vAlign w:val="center"/>
          </w:tcPr>
          <w:p>
            <w:pPr>
              <w:pStyle w:val="TableContents"/>
              <w:spacing w:before="0" w:after="283"/>
              <w:rPr>
                <w:sz w:val="20"/>
              </w:rPr>
            </w:pPr>
            <w:r>
              <w:rPr>
                <w:sz w:val="20"/>
              </w:rPr>
              <w:t>Chairman of the Board of Directors and Chief Executive Officer</w:t>
            </w:r>
          </w:p>
        </w:tc>
        <w:tc>
          <w:tcPr>
            <w:tcW w:w="75"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sz w:val="20"/>
              </w:rPr>
            </w:pPr>
            <w:r>
              <w:rPr>
                <w:sz w:val="20"/>
              </w:rPr>
              <w:t>Isaac Chetrit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59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5165" w:type="dxa"/>
            <w:tcBorders/>
            <w:shd w:fill="FFFFFF" w:val="clear"/>
            <w:tcMar>
              <w:bottom w:w="0" w:type="dxa"/>
            </w:tcMar>
            <w:vAlign w:val="center"/>
          </w:tcPr>
          <w:p>
            <w:pPr>
              <w:pStyle w:val="TableContents"/>
              <w:spacing w:before="0" w:after="283"/>
              <w:rPr>
                <w:sz w:val="20"/>
              </w:rPr>
            </w:pPr>
            <w:r>
              <w:rPr>
                <w:sz w:val="20"/>
              </w:rPr>
              <w:t>President, Director</w:t>
            </w:r>
          </w:p>
        </w:tc>
        <w:tc>
          <w:tcPr>
            <w:tcW w:w="75"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sz w:val="20"/>
              </w:rPr>
            </w:pPr>
            <w:r>
              <w:rPr>
                <w:sz w:val="20"/>
              </w:rPr>
              <w:t>Roman Livson</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5165" w:type="dxa"/>
            <w:tcBorders/>
            <w:shd w:fill="CCEEFF" w:val="clear"/>
            <w:tcMar>
              <w:bottom w:w="0" w:type="dxa"/>
            </w:tcMar>
            <w:vAlign w:val="center"/>
          </w:tcPr>
          <w:p>
            <w:pPr>
              <w:pStyle w:val="TableContents"/>
              <w:spacing w:before="0" w:after="283"/>
              <w:rPr>
                <w:sz w:val="20"/>
              </w:rPr>
            </w:pPr>
            <w:r>
              <w:rPr>
                <w:sz w:val="20"/>
              </w:rPr>
              <w:t>Chief Financial Officer</w:t>
            </w:r>
          </w:p>
        </w:tc>
        <w:tc>
          <w:tcPr>
            <w:tcW w:w="75"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sz w:val="20"/>
              </w:rPr>
            </w:pPr>
            <w:r>
              <w:rPr>
                <w:sz w:val="20"/>
              </w:rPr>
              <w:t>Payel Farasat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42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5165" w:type="dxa"/>
            <w:tcBorders/>
            <w:shd w:fill="FFFFFF" w:val="clear"/>
            <w:tcMar>
              <w:bottom w:w="0" w:type="dxa"/>
            </w:tcMar>
            <w:vAlign w:val="center"/>
          </w:tcPr>
          <w:p>
            <w:pPr>
              <w:pStyle w:val="TableContents"/>
              <w:spacing w:before="0" w:after="283"/>
              <w:rPr>
                <w:sz w:val="20"/>
              </w:rPr>
            </w:pPr>
            <w:r>
              <w:rPr>
                <w:sz w:val="20"/>
              </w:rPr>
              <w:t>Chief Investment Officer</w:t>
            </w:r>
          </w:p>
        </w:tc>
        <w:tc>
          <w:tcPr>
            <w:tcW w:w="75"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sz w:val="20"/>
              </w:rPr>
            </w:pPr>
            <w:r>
              <w:rPr>
                <w:sz w:val="20"/>
              </w:rPr>
              <w:t>Christopher Schroeder</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5165" w:type="dxa"/>
            <w:tcBorders/>
            <w:shd w:fill="CCEEFF" w:val="clear"/>
            <w:tcMar>
              <w:bottom w:w="0" w:type="dxa"/>
            </w:tcMar>
            <w:vAlign w:val="center"/>
          </w:tcPr>
          <w:p>
            <w:pPr>
              <w:pStyle w:val="TableContents"/>
              <w:spacing w:before="0" w:after="283"/>
              <w:rPr>
                <w:sz w:val="20"/>
              </w:rPr>
            </w:pPr>
            <w:r>
              <w:rPr>
                <w:sz w:val="20"/>
              </w:rPr>
              <w:t>Chief Marketing Officer</w:t>
            </w:r>
          </w:p>
        </w:tc>
        <w:tc>
          <w:tcPr>
            <w:tcW w:w="75"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sz w:val="20"/>
              </w:rPr>
            </w:pPr>
            <w:r>
              <w:rPr>
                <w:sz w:val="20"/>
              </w:rPr>
              <w:t>Leon Golden</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59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5165" w:type="dxa"/>
            <w:tcBorders/>
            <w:shd w:fill="FFFFFF" w:val="clear"/>
            <w:tcMar>
              <w:bottom w:w="0" w:type="dxa"/>
            </w:tcMar>
            <w:vAlign w:val="center"/>
          </w:tcPr>
          <w:p>
            <w:pPr>
              <w:pStyle w:val="TableContents"/>
              <w:spacing w:before="0" w:after="283"/>
              <w:rPr>
                <w:sz w:val="20"/>
              </w:rPr>
            </w:pPr>
            <w:r>
              <w:rPr>
                <w:sz w:val="20"/>
              </w:rPr>
              <w:t>Director</w:t>
            </w:r>
          </w:p>
        </w:tc>
        <w:tc>
          <w:tcPr>
            <w:tcW w:w="75" w:type="dxa"/>
            <w:tcBorders/>
            <w:shd w:fill="FFFFFF" w:val="clear"/>
            <w:tcMar>
              <w:bottom w:w="0" w:type="dxa"/>
            </w:tcMar>
            <w:vAlign w:val="center"/>
          </w:tcPr>
          <w:p>
            <w:pPr>
              <w:pStyle w:val="TableContents"/>
              <w:spacing w:before="0" w:after="283"/>
              <w:rPr/>
            </w:pPr>
            <w:r>
              <w:rPr/>
              <w:t> </w:t>
            </w:r>
          </w:p>
        </w:tc>
      </w:tr>
      <w:tr>
        <w:trPr/>
        <w:tc>
          <w:tcPr>
            <w:tcW w:w="1850" w:type="dxa"/>
            <w:tcBorders/>
            <w:shd w:fill="CCEEFF" w:val="clear"/>
            <w:tcMar>
              <w:bottom w:w="0" w:type="dxa"/>
            </w:tcMar>
            <w:vAlign w:val="center"/>
          </w:tcPr>
          <w:p>
            <w:pPr>
              <w:pStyle w:val="TableContents"/>
              <w:spacing w:before="0" w:after="283"/>
              <w:rPr>
                <w:sz w:val="20"/>
              </w:rPr>
            </w:pPr>
            <w:r>
              <w:rPr>
                <w:sz w:val="20"/>
              </w:rPr>
              <w:t xml:space="preserve">Scott Young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63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5165" w:type="dxa"/>
            <w:tcBorders/>
            <w:shd w:fill="CCEEFF" w:val="clear"/>
            <w:tcMar>
              <w:bottom w:w="0" w:type="dxa"/>
            </w:tcMar>
            <w:vAlign w:val="center"/>
          </w:tcPr>
          <w:p>
            <w:pPr>
              <w:pStyle w:val="TableContents"/>
              <w:spacing w:before="0" w:after="283"/>
              <w:rPr>
                <w:sz w:val="20"/>
              </w:rPr>
            </w:pPr>
            <w:r>
              <w:rPr>
                <w:sz w:val="20"/>
              </w:rPr>
              <w:t xml:space="preserve">Director </w:t>
            </w:r>
          </w:p>
        </w:tc>
        <w:tc>
          <w:tcPr>
            <w:tcW w:w="75" w:type="dxa"/>
            <w:tcBorders/>
            <w:shd w:fill="CCEEFF" w:val="clear"/>
            <w:tcMar>
              <w:bottom w:w="0" w:type="dxa"/>
            </w:tcMar>
            <w:vAlign w:val="center"/>
          </w:tcPr>
          <w:p>
            <w:pPr>
              <w:pStyle w:val="TableContents"/>
              <w:spacing w:before="0" w:after="283"/>
              <w:rPr/>
            </w:pPr>
            <w:r>
              <w:rPr/>
              <w:t> </w:t>
            </w:r>
          </w:p>
        </w:tc>
      </w:tr>
      <w:tr>
        <w:trPr/>
        <w:tc>
          <w:tcPr>
            <w:tcW w:w="1850" w:type="dxa"/>
            <w:tcBorders/>
            <w:shd w:fill="FFFFFF" w:val="clear"/>
            <w:tcMar>
              <w:bottom w:w="0" w:type="dxa"/>
            </w:tcMar>
            <w:vAlign w:val="center"/>
          </w:tcPr>
          <w:p>
            <w:pPr>
              <w:pStyle w:val="TableContents"/>
              <w:spacing w:before="0" w:after="283"/>
              <w:rPr>
                <w:sz w:val="20"/>
              </w:rPr>
            </w:pPr>
            <w:r>
              <w:rPr>
                <w:sz w:val="20"/>
              </w:rPr>
              <w:t>Joseph A. Porrello</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sz w:val="20"/>
              </w:rPr>
            </w:pPr>
            <w:r>
              <w:rPr>
                <w:sz w:val="20"/>
              </w:rPr>
              <w:t>50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5165" w:type="dxa"/>
            <w:tcBorders/>
            <w:shd w:fill="FFFFFF" w:val="clear"/>
            <w:tcMar>
              <w:bottom w:w="0" w:type="dxa"/>
            </w:tcMar>
            <w:vAlign w:val="center"/>
          </w:tcPr>
          <w:p>
            <w:pPr>
              <w:pStyle w:val="TableContents"/>
              <w:spacing w:before="0" w:after="283"/>
              <w:rPr>
                <w:sz w:val="20"/>
              </w:rPr>
            </w:pPr>
            <w:r>
              <w:rPr>
                <w:sz w:val="20"/>
              </w:rPr>
              <w:t xml:space="preserve">Director </w:t>
            </w:r>
          </w:p>
        </w:tc>
        <w:tc>
          <w:tcPr>
            <w:tcW w:w="75"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Shahal M. Khan</w:t>
      </w:r>
      <w:r>
        <w:rPr>
          <w:rFonts w:ascii="Times New Roman;Times;Serif" w:hAnsi="Times New Roman;Times;Serif"/>
          <w:b w:val="false"/>
          <w:i w:val="false"/>
          <w:caps w:val="false"/>
          <w:smallCaps w:val="false"/>
          <w:sz w:val="20"/>
        </w:rPr>
        <w:t xml:space="preserve"> is our Chairman of the Board of Directors and Chief Executive Officer. Mr. Khan’s career as an investor, 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Isaac Chetrit</w:t>
      </w:r>
      <w:r>
        <w:rPr>
          <w:rFonts w:ascii="Times New Roman;Times;Serif" w:hAnsi="Times New Roman;Times;Serif"/>
          <w:b w:val="false"/>
          <w:i w:val="false"/>
          <w:caps w:val="false"/>
          <w:smallCaps w:val="false"/>
          <w:sz w:val="20"/>
        </w:rPr>
        <w:t xml:space="preserve"> is our President and one of our directors. Mr. Chetrit is a real estate veteran with a background in architecture and electrical engineering. 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Roman V. Livson</w:t>
      </w:r>
      <w:r>
        <w:rPr>
          <w:rFonts w:ascii="Times New Roman;Times;Serif" w:hAnsi="Times New Roman;Times;Serif"/>
          <w:b w:val="false"/>
          <w:i w:val="false"/>
          <w:caps w:val="false"/>
          <w:smallCaps w:val="false"/>
          <w:sz w:val="20"/>
        </w:rPr>
        <w:t xml:space="preserve"> is our Chief Financial Officer. Since February 2021, Mr. Livson has been the Chief Financial Officer of Burkhan World, a 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Payel Farasat</w:t>
      </w:r>
      <w:r>
        <w:rPr>
          <w:rFonts w:ascii="Times New Roman;Times;Serif" w:hAnsi="Times New Roman;Times;Serif"/>
          <w:b w:val="false"/>
          <w:i w:val="false"/>
          <w:caps w:val="false"/>
          <w:smallCaps w:val="false"/>
          <w:sz w:val="20"/>
        </w:rPr>
        <w:t xml:space="preserve"> is our Chief Investment Officer. Since December 2020, Ms. Farasat has been the Chief Investment Officer (CIO) of Burkhan World 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Christopher Schroeder</w:t>
      </w:r>
      <w:r>
        <w:rPr>
          <w:rFonts w:ascii="Times New Roman;Times;Serif" w:hAnsi="Times New Roman;Times;Serif"/>
          <w:b w:val="false"/>
          <w:i w:val="false"/>
          <w:caps w:val="false"/>
          <w:smallCaps w:val="false"/>
          <w:sz w:val="20"/>
        </w:rPr>
        <w:t xml:space="preserve"> is our Chief Marketing Officer. Over the last 30 years, Mr. Schroeder has also been an interactive media resort developer, 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Leon Golden</w:t>
      </w:r>
      <w:r>
        <w:rPr>
          <w:rFonts w:ascii="Times New Roman;Times;Serif" w:hAnsi="Times New Roman;Times;Serif"/>
          <w:b w:val="false"/>
          <w:i w:val="false"/>
          <w:caps w:val="false"/>
          <w:smallCaps w:val="false"/>
          <w:sz w:val="20"/>
        </w:rPr>
        <w:t xml:space="preserve"> serves as a member of our Board of Directors as of the date of this prospectus. Mr. Golden is a chartered public accountant and has 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Scott Young</w:t>
      </w:r>
      <w:r>
        <w:rPr>
          <w:rFonts w:ascii="Times New Roman;Times;Serif" w:hAnsi="Times New Roman;Times;Serif"/>
          <w:b w:val="false"/>
          <w:i w:val="false"/>
          <w:caps w:val="false"/>
          <w:smallCaps w:val="false"/>
          <w:sz w:val="20"/>
        </w:rPr>
        <w:t xml:space="preserve"> serves as a member of our Board of Directors as of the date of this prospectus. Since January 2010, Mr. Young has served as a Senior 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Joseph A. Porrello</w:t>
      </w:r>
      <w:r>
        <w:rPr>
          <w:rFonts w:ascii="Times New Roman;Times;Serif" w:hAnsi="Times New Roman;Times;Serif"/>
          <w:b w:val="false"/>
          <w:i w:val="false"/>
          <w:caps w:val="false"/>
          <w:smallCaps w:val="false"/>
          <w:sz w:val="20"/>
        </w:rPr>
        <w:t xml:space="preserve"> serves as a member of our Board of Directors as of the date of this prospectus. Mr. Porrello has been practicing law in South 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Terms of Office of Officers and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In accordance with Nasdaq corporate governance requirements, we are not required to hold an annual meeting until one year after our first fiscal year end following our listing on Nasdaq. Our board is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Joseph Porrello and Isaac Chetrit, will expire at our first annual meeting of stockholders. The term of office of the second class of directors, consisting of Shahal Khan, Scott Young and Leon Golden will expire at the second annual meeting of stockholders.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Scott Young, Joseph Porrello and Leon Golden and are “independent directors” as defined in the Nasdaq listing standards and applicable SEC rules. Our independent directors will have regularly scheduled meetings at which only independent directors are present.</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 Golden, Scott Young and Joseph Porrello serve as members of our audit committee, and Leon Golden chairs the audit committee. Under the Nasdaq listing standards and applicable SEC rules, we are required to have at least three members of the audit committee, all of whom must be independent. Each of Leon Golden, Scott Young and Josph Porrello meet the independent director standard under Nasdaq listing standards and under Rule 10-A-3(b)(1) of the Exchange Act. </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duties, which are specified in our Audit Committee Charter, include, but are not limited to:</w:t>
      </w:r>
    </w:p>
    <w:p>
      <w:pPr>
        <w:pStyle w:val="TextBody"/>
        <w:spacing w:before="0" w:after="0"/>
        <w:ind w:left="0" w:right="0" w:firstLine="48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the appointment, compensation, retention, replacement, and oversight of the work of the independent registered public accounting firm engaged by us;</w:t>
              <w:tab/>
              <w:t xml:space="preserve"> </w:t>
              <w:tab/>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pre-approving all audit and permitted non-audit services to be provided by the independent registered public accounting firm engaged by us, and establishing pre-approval policies and procedures;</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setting clear hiring policies for employees or former employees of the independent registered public accounting firm, including but not limited to, as required by applicable laws and regulations;</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136"/>
        <w:gridCol w:w="10028"/>
      </w:tblGrid>
      <w:tr>
        <w:trPr/>
        <w:tc>
          <w:tcPr>
            <w:tcW w:w="4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jc w:val="both"/>
              <w:rPr>
                <w:rFonts w:ascii="Symbol" w:hAnsi="Symbol"/>
              </w:rPr>
            </w:pPr>
            <w:r>
              <w:rPr>
                <w:rFonts w:ascii="Symbol" w:hAnsi="Symbol"/>
              </w:rPr>
              <w:t>·</w:t>
            </w:r>
          </w:p>
        </w:tc>
        <w:tc>
          <w:tcPr>
            <w:tcW w:w="10028" w:type="dxa"/>
            <w:tcBorders/>
            <w:shd w:fill="auto" w:val="clear"/>
            <w:vAlign w:val="center"/>
          </w:tcPr>
          <w:p>
            <w:pPr>
              <w:pStyle w:val="TableContents"/>
              <w:spacing w:before="0" w:after="283"/>
              <w:jc w:val="both"/>
              <w:rPr/>
            </w:pPr>
            <w:r>
              <w:rPr/>
              <w:t>setting clear policies for audit partner rotation in compliance with applicable laws and regulations;</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discussing and, as appropriate, reviewing with management and the independent registered public accounting firm our financial statements and annual and quarterly reports, discussing with the independent registered public accounting firm any other matters required to be discussed by accounting and auditing standards, and recommending to the Board whether the audited financial statements should be included in our annual report;</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independent registered public accounting firm and any steps taken to deal with such issues and (iii) all relationships between the independent registered public accounting firm and us to assess the independent registered public accounting firm’s independence;</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reviewing the adequacy and effectiveness of our internal control policies and procedures on a regular basis;</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reviewing and approving any related party transaction required to be disclosed pursuant to Item 404 of Regulation S-K promulgated by the SEC prior to us entering into such transaction; and</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both"/>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tc>
      </w:tr>
    </w:tbl>
    <w:p>
      <w:pPr>
        <w:pStyle w:val="TextBody"/>
        <w:spacing w:before="0" w:after="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Experts on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rules, the audit committee will at all times be composed exclusively of “independent directors” who are able to read and understand fundamental financial statements, including a company’s balance sheet, income statement and cash flow statement.</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audit committee is financially literate and our board of directors has determined that Mr. Golden qualifies as an “audit committee financial expert” as defined in applicable SEC rules, which generally is any person who has past employment experience in finance or accounting, requisite professional certification in accounting, or other comparable experience or background that results in the individual’s financial sophistication.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Leon Golden and Scott Young each of whom is an independent director under the Nasdaq listing standards. Mr. Young is the Chairperson of the compensation committee. The compensation committee’s duties, which are specified in our Compensation Committee Charter, include, but are not limited to:</w:t>
      </w:r>
    </w:p>
    <w:p>
      <w:pPr>
        <w:pStyle w:val="TextBody"/>
        <w:spacing w:before="0" w:after="0"/>
        <w:ind w:left="0" w:right="0" w:firstLine="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tc>
      </w:tr>
    </w:tbl>
    <w:p>
      <w:pPr>
        <w:pStyle w:val="TextBody"/>
        <w:spacing w:before="0" w:after="0"/>
        <w:ind w:left="0" w:right="0" w:hanging="0"/>
        <w:jc w:val="both"/>
        <w:rPr>
          <w:caps w:val="false"/>
          <w:smallCaps w:val="false"/>
        </w:rPr>
      </w:pPr>
      <w:r>
        <w:rPr>
          <w:caps w:val="false"/>
          <w:smallCaps w:val="false"/>
        </w:rPr>
        <w:t> </w:t>
      </w:r>
    </w:p>
    <w:tbl>
      <w:tblPr>
        <w:tblW w:w="9100" w:type="dxa"/>
        <w:jc w:val="left"/>
        <w:tblInd w:w="0" w:type="dxa"/>
        <w:tblCellMar>
          <w:top w:w="0" w:type="dxa"/>
          <w:left w:w="0" w:type="dxa"/>
          <w:bottom w:w="0" w:type="dxa"/>
          <w:right w:w="0" w:type="dxa"/>
        </w:tblCellMar>
      </w:tblPr>
      <w:tblGrid>
        <w:gridCol w:w="75"/>
        <w:gridCol w:w="95"/>
        <w:gridCol w:w="8930"/>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8930" w:type="dxa"/>
            <w:tcBorders/>
            <w:shd w:fill="auto" w:val="clear"/>
            <w:vAlign w:val="center"/>
          </w:tcPr>
          <w:p>
            <w:pPr>
              <w:pStyle w:val="TableContents"/>
              <w:spacing w:before="0" w:after="283"/>
              <w:jc w:val="both"/>
              <w:rPr>
                <w:sz w:val="20"/>
              </w:rPr>
            </w:pPr>
            <w:r>
              <w:rPr>
                <w:sz w:val="20"/>
              </w:rPr>
              <w:t>reviewing and approving on an annual basis the compensation, if any is paid by us, of all of our other officers;</w:t>
            </w:r>
          </w:p>
        </w:tc>
      </w:tr>
    </w:tbl>
    <w:p>
      <w:pPr>
        <w:pStyle w:val="TextBody"/>
        <w:spacing w:before="0" w:after="0"/>
        <w:ind w:left="0" w:right="0" w:hanging="0"/>
        <w:jc w:val="both"/>
        <w:rPr>
          <w:caps w:val="false"/>
          <w:smallCaps w:val="false"/>
        </w:rPr>
      </w:pPr>
      <w:r>
        <w:rPr>
          <w:caps w:val="false"/>
          <w:smallCaps w:val="false"/>
        </w:rPr>
        <w:t> </w:t>
      </w:r>
    </w:p>
    <w:tbl>
      <w:tblPr>
        <w:tblW w:w="6475" w:type="dxa"/>
        <w:jc w:val="left"/>
        <w:tblInd w:w="0" w:type="dxa"/>
        <w:tblCellMar>
          <w:top w:w="0" w:type="dxa"/>
          <w:left w:w="0" w:type="dxa"/>
          <w:bottom w:w="0" w:type="dxa"/>
          <w:right w:w="0" w:type="dxa"/>
        </w:tblCellMar>
      </w:tblPr>
      <w:tblGrid>
        <w:gridCol w:w="75"/>
        <w:gridCol w:w="95"/>
        <w:gridCol w:w="6305"/>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6305" w:type="dxa"/>
            <w:tcBorders/>
            <w:shd w:fill="auto" w:val="clear"/>
            <w:vAlign w:val="center"/>
          </w:tcPr>
          <w:p>
            <w:pPr>
              <w:pStyle w:val="TableContents"/>
              <w:spacing w:before="0" w:after="283"/>
              <w:jc w:val="both"/>
              <w:rPr>
                <w:sz w:val="20"/>
              </w:rPr>
            </w:pPr>
            <w:r>
              <w:rPr>
                <w:sz w:val="20"/>
              </w:rPr>
              <w:t>reviewing on an annual basis our executive compensation policies and plans;</w:t>
            </w:r>
          </w:p>
        </w:tc>
      </w:tr>
    </w:tbl>
    <w:p>
      <w:pPr>
        <w:pStyle w:val="TextBody"/>
        <w:spacing w:before="0" w:after="0"/>
        <w:ind w:left="0" w:right="0" w:hanging="0"/>
        <w:jc w:val="both"/>
        <w:rPr>
          <w:caps w:val="false"/>
          <w:smallCaps w:val="false"/>
        </w:rPr>
      </w:pPr>
      <w:r>
        <w:rPr>
          <w:caps w:val="false"/>
          <w:smallCaps w:val="false"/>
        </w:rPr>
        <w:t> </w:t>
      </w:r>
    </w:p>
    <w:tbl>
      <w:tblPr>
        <w:tblW w:w="7930" w:type="dxa"/>
        <w:jc w:val="left"/>
        <w:tblInd w:w="0" w:type="dxa"/>
        <w:tblCellMar>
          <w:top w:w="0" w:type="dxa"/>
          <w:left w:w="0" w:type="dxa"/>
          <w:bottom w:w="0" w:type="dxa"/>
          <w:right w:w="0" w:type="dxa"/>
        </w:tblCellMar>
      </w:tblPr>
      <w:tblGrid>
        <w:gridCol w:w="75"/>
        <w:gridCol w:w="95"/>
        <w:gridCol w:w="7760"/>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7760" w:type="dxa"/>
            <w:tcBorders/>
            <w:shd w:fill="auto" w:val="clear"/>
            <w:vAlign w:val="center"/>
          </w:tcPr>
          <w:p>
            <w:pPr>
              <w:pStyle w:val="TableContents"/>
              <w:spacing w:before="0" w:after="283"/>
              <w:jc w:val="both"/>
              <w:rPr>
                <w:sz w:val="20"/>
              </w:rPr>
            </w:pPr>
            <w:r>
              <w:rPr>
                <w:sz w:val="20"/>
              </w:rPr>
              <w:t>implementing and administering our incentive compensation equity-based remuneration plans;</w:t>
            </w:r>
          </w:p>
        </w:tc>
      </w:tr>
    </w:tbl>
    <w:p>
      <w:pPr>
        <w:pStyle w:val="TextBody"/>
        <w:spacing w:before="0" w:after="0"/>
        <w:ind w:left="0" w:right="0" w:hanging="0"/>
        <w:jc w:val="both"/>
        <w:rPr>
          <w:caps w:val="false"/>
          <w:smallCaps w:val="false"/>
        </w:rPr>
      </w:pPr>
      <w:r>
        <w:rPr>
          <w:caps w:val="false"/>
          <w:smallCaps w:val="false"/>
        </w:rPr>
        <w:t> </w:t>
      </w:r>
    </w:p>
    <w:tbl>
      <w:tblPr>
        <w:tblW w:w="8695" w:type="dxa"/>
        <w:jc w:val="left"/>
        <w:tblInd w:w="0" w:type="dxa"/>
        <w:tblCellMar>
          <w:top w:w="0" w:type="dxa"/>
          <w:left w:w="0" w:type="dxa"/>
          <w:bottom w:w="0" w:type="dxa"/>
          <w:right w:w="0" w:type="dxa"/>
        </w:tblCellMar>
      </w:tblPr>
      <w:tblGrid>
        <w:gridCol w:w="75"/>
        <w:gridCol w:w="95"/>
        <w:gridCol w:w="8525"/>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8525" w:type="dxa"/>
            <w:tcBorders/>
            <w:shd w:fill="auto" w:val="clear"/>
            <w:vAlign w:val="center"/>
          </w:tcPr>
          <w:p>
            <w:pPr>
              <w:pStyle w:val="TableContents"/>
              <w:spacing w:before="0" w:after="283"/>
              <w:jc w:val="both"/>
              <w:rPr>
                <w:sz w:val="20"/>
              </w:rPr>
            </w:pPr>
            <w:r>
              <w:rPr>
                <w:sz w:val="20"/>
              </w:rPr>
              <w:t>assisting management in complying with our proxy statement and annual report disclosure requirements;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95"/>
        <w:gridCol w:w="10035"/>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10035" w:type="dxa"/>
            <w:tcBorders/>
            <w:shd w:fill="auto" w:val="clear"/>
            <w:vAlign w:val="center"/>
          </w:tcPr>
          <w:p>
            <w:pPr>
              <w:pStyle w:val="TableContents"/>
              <w:spacing w:before="0" w:after="283"/>
              <w:jc w:val="both"/>
              <w:rPr>
                <w:sz w:val="20"/>
              </w:rPr>
            </w:pPr>
            <w:r>
              <w:rPr>
                <w:sz w:val="20"/>
              </w:rPr>
              <w:t>approving all special perquisites, special cash payments and other special compensation and benefit arrangements for our officers and employees;</w:t>
            </w:r>
          </w:p>
        </w:tc>
      </w:tr>
    </w:tbl>
    <w:p>
      <w:pPr>
        <w:pStyle w:val="TextBody"/>
        <w:spacing w:before="0" w:after="0"/>
        <w:ind w:left="0" w:right="0" w:hanging="0"/>
        <w:jc w:val="both"/>
        <w:rPr>
          <w:caps w:val="false"/>
          <w:smallCaps w:val="false"/>
        </w:rPr>
      </w:pPr>
      <w:r>
        <w:rPr>
          <w:caps w:val="false"/>
          <w:smallCaps w:val="false"/>
        </w:rPr>
        <w:t> </w:t>
      </w:r>
    </w:p>
    <w:tbl>
      <w:tblPr>
        <w:tblW w:w="9010" w:type="dxa"/>
        <w:jc w:val="left"/>
        <w:tblInd w:w="0" w:type="dxa"/>
        <w:tblCellMar>
          <w:top w:w="0" w:type="dxa"/>
          <w:left w:w="0" w:type="dxa"/>
          <w:bottom w:w="0" w:type="dxa"/>
          <w:right w:w="0" w:type="dxa"/>
        </w:tblCellMar>
      </w:tblPr>
      <w:tblGrid>
        <w:gridCol w:w="75"/>
        <w:gridCol w:w="95"/>
        <w:gridCol w:w="8840"/>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8840" w:type="dxa"/>
            <w:tcBorders/>
            <w:shd w:fill="auto" w:val="clear"/>
            <w:vAlign w:val="center"/>
          </w:tcPr>
          <w:p>
            <w:pPr>
              <w:pStyle w:val="TableContents"/>
              <w:spacing w:before="0" w:after="283"/>
              <w:jc w:val="both"/>
              <w:rPr>
                <w:sz w:val="20"/>
              </w:rPr>
            </w:pPr>
            <w:r>
              <w:rPr>
                <w:sz w:val="20"/>
              </w:rPr>
              <w:t>if required, producing a report on executive compensation to be included in our annual proxy statement; and</w:t>
            </w:r>
          </w:p>
        </w:tc>
      </w:tr>
    </w:tbl>
    <w:p>
      <w:pPr>
        <w:pStyle w:val="TextBody"/>
        <w:spacing w:before="0" w:after="0"/>
        <w:ind w:left="0" w:right="0" w:hanging="0"/>
        <w:jc w:val="both"/>
        <w:rPr>
          <w:caps w:val="false"/>
          <w:smallCaps w:val="false"/>
        </w:rPr>
      </w:pPr>
      <w:r>
        <w:rPr>
          <w:caps w:val="false"/>
          <w:smallCaps w:val="false"/>
        </w:rPr>
        <w:t> </w:t>
      </w:r>
    </w:p>
    <w:tbl>
      <w:tblPr>
        <w:tblW w:w="8215" w:type="dxa"/>
        <w:jc w:val="left"/>
        <w:tblInd w:w="0" w:type="dxa"/>
        <w:tblCellMar>
          <w:top w:w="0" w:type="dxa"/>
          <w:left w:w="0" w:type="dxa"/>
          <w:bottom w:w="0" w:type="dxa"/>
          <w:right w:w="0" w:type="dxa"/>
        </w:tblCellMar>
      </w:tblPr>
      <w:tblGrid>
        <w:gridCol w:w="75"/>
        <w:gridCol w:w="95"/>
        <w:gridCol w:w="8045"/>
      </w:tblGrid>
      <w:tr>
        <w:trPr/>
        <w:tc>
          <w:tcPr>
            <w:tcW w:w="75" w:type="dxa"/>
            <w:tcBorders/>
            <w:shd w:fill="auto" w:val="clear"/>
            <w:vAlign w:val="center"/>
          </w:tcPr>
          <w:p>
            <w:pPr>
              <w:pStyle w:val="TableContents"/>
              <w:spacing w:before="0" w:after="283"/>
              <w:jc w:val="both"/>
              <w:rPr/>
            </w:pPr>
            <w:r>
              <w:rPr/>
              <w:t> </w:t>
            </w:r>
          </w:p>
        </w:tc>
        <w:tc>
          <w:tcPr>
            <w:tcW w:w="95" w:type="dxa"/>
            <w:tcBorders/>
            <w:shd w:fill="auto" w:val="clear"/>
            <w:vAlign w:val="center"/>
          </w:tcPr>
          <w:p>
            <w:pPr>
              <w:pStyle w:val="TableContents"/>
              <w:spacing w:before="0" w:after="283"/>
              <w:jc w:val="both"/>
              <w:rPr>
                <w:rFonts w:ascii="Symbol" w:hAnsi="Symbol"/>
                <w:sz w:val="20"/>
              </w:rPr>
            </w:pPr>
            <w:r>
              <w:rPr>
                <w:rFonts w:ascii="Symbol" w:hAnsi="Symbol"/>
                <w:sz w:val="20"/>
              </w:rPr>
              <w:t>·</w:t>
            </w:r>
          </w:p>
        </w:tc>
        <w:tc>
          <w:tcPr>
            <w:tcW w:w="8045" w:type="dxa"/>
            <w:tcBorders/>
            <w:shd w:fill="auto" w:val="clear"/>
            <w:vAlign w:val="center"/>
          </w:tcPr>
          <w:p>
            <w:pPr>
              <w:pStyle w:val="TableContents"/>
              <w:spacing w:before="0" w:after="283"/>
              <w:jc w:val="both"/>
              <w:rPr>
                <w:sz w:val="20"/>
              </w:rPr>
            </w:pPr>
            <w:r>
              <w:rPr>
                <w:sz w:val="20"/>
              </w:rPr>
              <w:t>reviewing, evaluating and recommending changes, if appropriate, to the remuneration for directors.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as indicated above, other than the payment to our financial advisor of $10,000 per month, for up to 15 months, for office space, utilities and secretarial and administrative support,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entered into in connection with such initial business combination.</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Leon Golden, Scott Young and Joseph Porrello. In accordance with Rule 5605 of the Nasdaq rules, all such directors are independent. As there is no standing nominating committee, we do not have a nominating committee charter in place.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applicable to our directors, officers and employees. We have filed copies of our Code of Ethics and our audit and compensation committee charters as exhibits to the registration statement of which this prospectus is a part. You can review these documents by accessing our public filings at the SEC’s web site at www.sec.gov. In addition, a copy of the Code of Ethics will be provided without charge upon request from us. In addition, a copy of our Code of Ethics will be provided without charge upon request from us. We intend to disclose any amendments to or waivers of certain provisions of our Code of Ethics in a Current Report on Form 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pStyle w:val="TextBody"/>
        <w:spacing w:before="0" w:after="0"/>
        <w:ind w:left="0" w:right="0" w:hanging="0"/>
        <w:jc w:val="both"/>
        <w:rPr>
          <w:caps w:val="false"/>
          <w:smallCaps w:val="false"/>
        </w:rPr>
      </w:pPr>
      <w:r>
        <w:rPr>
          <w:caps w:val="false"/>
          <w:smallCaps w:val="false"/>
        </w:rPr>
        <w:t> </w:t>
      </w:r>
    </w:p>
    <w:tbl>
      <w:tblPr>
        <w:tblW w:w="3685" w:type="dxa"/>
        <w:jc w:val="left"/>
        <w:tblInd w:w="0" w:type="dxa"/>
        <w:tblCellMar>
          <w:top w:w="0" w:type="dxa"/>
          <w:left w:w="0" w:type="dxa"/>
          <w:bottom w:w="0" w:type="dxa"/>
          <w:right w:w="0" w:type="dxa"/>
        </w:tblCellMar>
      </w:tblPr>
      <w:tblGrid>
        <w:gridCol w:w="860"/>
        <w:gridCol w:w="2825"/>
      </w:tblGrid>
      <w:tr>
        <w:trPr/>
        <w:tc>
          <w:tcPr>
            <w:tcW w:w="860" w:type="dxa"/>
            <w:tcBorders/>
            <w:shd w:fill="auto" w:val="clear"/>
            <w:vAlign w:val="center"/>
          </w:tcPr>
          <w:p>
            <w:pPr>
              <w:pStyle w:val="TableContents"/>
              <w:spacing w:before="0" w:after="283"/>
              <w:jc w:val="both"/>
              <w:rPr>
                <w:b/>
                <w:color w:val="010000"/>
                <w:sz w:val="20"/>
              </w:rPr>
            </w:pPr>
            <w:bookmarkStart w:id="21" w:name="C_001"/>
            <w:bookmarkEnd w:id="21"/>
            <w:r>
              <w:rPr>
                <w:b/>
                <w:color w:val="010000"/>
                <w:sz w:val="20"/>
              </w:rPr>
              <w:t>ITEM 11.</w:t>
            </w:r>
          </w:p>
        </w:tc>
        <w:tc>
          <w:tcPr>
            <w:tcW w:w="2825" w:type="dxa"/>
            <w:tcBorders/>
            <w:shd w:fill="auto" w:val="clear"/>
            <w:vAlign w:val="center"/>
          </w:tcPr>
          <w:p>
            <w:pPr>
              <w:pStyle w:val="TableContents"/>
              <w:spacing w:before="0" w:after="283"/>
              <w:jc w:val="both"/>
              <w:rPr>
                <w:b/>
                <w:sz w:val="20"/>
              </w:rPr>
            </w:pPr>
            <w:r>
              <w:rPr>
                <w:b/>
                <w:sz w:val="20"/>
              </w:rPr>
              <w:t>EXECUTIVE COMPENSATION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employment agreements with our executive officers and have not made any agreements to provide benefits upon termination of employment.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executive officer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officers currently serves, or in the past year has served, as a member of the compensation committee of any entity that has one or more officers serving on our board of directors.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777"/>
        <w:gridCol w:w="9353"/>
      </w:tblGrid>
      <w:tr>
        <w:trPr/>
        <w:tc>
          <w:tcPr>
            <w:tcW w:w="75" w:type="dxa"/>
            <w:tcBorders/>
            <w:shd w:fill="auto" w:val="clear"/>
            <w:vAlign w:val="center"/>
          </w:tcPr>
          <w:p>
            <w:pPr>
              <w:pStyle w:val="TableContents"/>
              <w:spacing w:before="0" w:after="283"/>
              <w:jc w:val="both"/>
              <w:rPr/>
            </w:pPr>
            <w:r>
              <w:rPr/>
              <w:t> </w:t>
            </w:r>
          </w:p>
        </w:tc>
        <w:tc>
          <w:tcPr>
            <w:tcW w:w="777" w:type="dxa"/>
            <w:tcBorders/>
            <w:shd w:fill="auto" w:val="clear"/>
            <w:vAlign w:val="center"/>
          </w:tcPr>
          <w:p>
            <w:pPr>
              <w:pStyle w:val="TableContents"/>
              <w:spacing w:before="0" w:after="283"/>
              <w:jc w:val="both"/>
              <w:rPr>
                <w:b/>
                <w:color w:val="010000"/>
                <w:sz w:val="20"/>
              </w:rPr>
            </w:pPr>
            <w:bookmarkStart w:id="22" w:name="C_002"/>
            <w:bookmarkEnd w:id="22"/>
            <w:r>
              <w:rPr>
                <w:b/>
                <w:color w:val="010000"/>
                <w:sz w:val="20"/>
              </w:rPr>
              <w:t>ITEM 12.</w:t>
            </w:r>
          </w:p>
        </w:tc>
        <w:tc>
          <w:tcPr>
            <w:tcW w:w="9353" w:type="dxa"/>
            <w:tcBorders/>
            <w:shd w:fill="auto" w:val="clear"/>
            <w:vAlign w:val="center"/>
          </w:tcPr>
          <w:p>
            <w:pPr>
              <w:pStyle w:val="TableContents"/>
              <w:spacing w:before="0" w:after="283"/>
              <w:jc w:val="both"/>
              <w:rPr>
                <w:b/>
                <w:sz w:val="20"/>
              </w:rPr>
            </w:pPr>
            <w:r>
              <w:rPr>
                <w:b/>
                <w:sz w:val="20"/>
              </w:rPr>
              <w:t>SECURITY OWNERSHIP OF CERTAIN BENEFICIAL OWNERS AND MANAGEMENT AND RELATED STOCKHOLDER MATTERS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March 31, 2022 the number of shares of Class A common stock and Class B common stock beneficially owned by (i) each person who is known by us to be the beneficial owner of more than five percent of our issued and outstanding shares of Class A common stock and Class B common stock (ii) each of our officers and directors; and (iii) all of our officers and directors as a group. As of March 31, 2022, we had 898,250 shares of Class A common stock and 9,487,500 shares of Class B common stock, issued and outstanding. The Class B common stock are convertible into shares of Class A common stock on a one-for-one basis, subject to adjustment.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March 31, 2022.</w:t>
      </w:r>
    </w:p>
    <w:p>
      <w:pPr>
        <w:pStyle w:val="TextBody"/>
        <w:spacing w:before="0" w:after="0"/>
        <w:ind w:left="0" w:right="0" w:firstLine="480"/>
        <w:jc w:val="both"/>
        <w:rPr>
          <w:caps w:val="false"/>
          <w:smallCaps w:val="false"/>
        </w:rPr>
      </w:pPr>
      <w:r>
        <w:rPr>
          <w:caps w:val="false"/>
          <w:smallCaps w:val="false"/>
        </w:rPr>
        <w:t> </w:t>
      </w:r>
    </w:p>
    <w:tbl>
      <w:tblPr>
        <w:tblW w:w="6139" w:type="dxa"/>
        <w:jc w:val="left"/>
        <w:tblInd w:w="0" w:type="dxa"/>
        <w:tblCellMar>
          <w:top w:w="0" w:type="dxa"/>
          <w:left w:w="0" w:type="dxa"/>
          <w:bottom w:w="28" w:type="dxa"/>
          <w:right w:w="0" w:type="dxa"/>
        </w:tblCellMar>
      </w:tblPr>
      <w:tblGrid>
        <w:gridCol w:w="3545"/>
        <w:gridCol w:w="60"/>
        <w:gridCol w:w="61"/>
        <w:gridCol w:w="979"/>
        <w:gridCol w:w="60"/>
        <w:gridCol w:w="60"/>
        <w:gridCol w:w="242"/>
        <w:gridCol w:w="932"/>
        <w:gridCol w:w="200"/>
      </w:tblGrid>
      <w:tr>
        <w:trPr/>
        <w:tc>
          <w:tcPr>
            <w:tcW w:w="3545" w:type="dxa"/>
            <w:tcBorders>
              <w:bottom w:val="single" w:sz="8" w:space="0" w:color="000000"/>
            </w:tcBorders>
            <w:shd w:fill="auto" w:val="clear"/>
            <w:vAlign w:val="center"/>
          </w:tcPr>
          <w:p>
            <w:pPr>
              <w:pStyle w:val="TableContents"/>
              <w:spacing w:before="0" w:after="283"/>
              <w:jc w:val="both"/>
              <w:rPr>
                <w:b/>
                <w:color w:val="231F20"/>
                <w:sz w:val="20"/>
              </w:rPr>
            </w:pPr>
            <w:r>
              <w:rPr>
                <w:b/>
                <w:color w:val="231F20"/>
                <w:sz w:val="20"/>
              </w:rPr>
              <w:t>Name and Address of Beneficial Owner</w:t>
            </w:r>
            <w:r>
              <w:rPr>
                <w:b/>
                <w:color w:val="231F20"/>
                <w:position w:val="7"/>
                <w:sz w:val="16"/>
                <w:sz w:val="20"/>
              </w:rPr>
              <w:t>(1)</w:t>
            </w:r>
          </w:p>
        </w:tc>
        <w:tc>
          <w:tcPr>
            <w:tcW w:w="60" w:type="dxa"/>
            <w:tcBorders/>
            <w:shd w:fill="auto" w:val="clear"/>
            <w:tcMar>
              <w:bottom w:w="0" w:type="dxa"/>
            </w:tcMar>
            <w:vAlign w:val="center"/>
          </w:tcPr>
          <w:p>
            <w:pPr>
              <w:pStyle w:val="TableContents"/>
              <w:spacing w:before="0" w:after="283"/>
              <w:jc w:val="both"/>
              <w:rPr>
                <w:color w:val="231F20"/>
              </w:rPr>
            </w:pPr>
            <w:r>
              <w:rPr>
                <w:color w:val="231F20"/>
              </w:rPr>
              <w:t> </w:t>
            </w:r>
          </w:p>
        </w:tc>
        <w:tc>
          <w:tcPr>
            <w:tcW w:w="1040" w:type="dxa"/>
            <w:gridSpan w:val="2"/>
            <w:tcBorders>
              <w:bottom w:val="single" w:sz="8" w:space="0" w:color="000000"/>
            </w:tcBorders>
            <w:shd w:fill="auto" w:val="clear"/>
            <w:vAlign w:val="center"/>
          </w:tcPr>
          <w:p>
            <w:pPr>
              <w:pStyle w:val="TableContents"/>
              <w:spacing w:before="0" w:after="283"/>
              <w:jc w:val="center"/>
              <w:rPr>
                <w:b/>
                <w:color w:val="231F20"/>
                <w:sz w:val="20"/>
              </w:rPr>
            </w:pPr>
            <w:r>
              <w:rPr>
                <w:b/>
                <w:color w:val="231F20"/>
                <w:sz w:val="20"/>
              </w:rPr>
              <w:t>Number of</w:t>
              <w:br/>
              <w:t>Shares</w:t>
              <w:br/>
              <w:t>Beneficially</w:t>
              <w:br/>
              <w:t>Owned</w:t>
            </w:r>
          </w:p>
        </w:tc>
        <w:tc>
          <w:tcPr>
            <w:tcW w:w="60" w:type="dxa"/>
            <w:tcBorders/>
            <w:shd w:fill="auto" w:val="clear"/>
            <w:tcMar>
              <w:bottom w:w="0" w:type="dxa"/>
            </w:tcMar>
            <w:vAlign w:val="center"/>
          </w:tcPr>
          <w:p>
            <w:pPr>
              <w:pStyle w:val="TableContents"/>
              <w:spacing w:before="0" w:after="283"/>
              <w:jc w:val="both"/>
              <w:rPr>
                <w:color w:val="231F20"/>
              </w:rPr>
            </w:pPr>
            <w:r>
              <w:rPr>
                <w:color w:val="231F20"/>
              </w:rPr>
              <w:t> </w:t>
            </w:r>
          </w:p>
        </w:tc>
        <w:tc>
          <w:tcPr>
            <w:tcW w:w="60" w:type="dxa"/>
            <w:tcBorders/>
            <w:shd w:fill="auto" w:val="clear"/>
            <w:tcMar>
              <w:bottom w:w="0" w:type="dxa"/>
            </w:tcMar>
            <w:vAlign w:val="center"/>
          </w:tcPr>
          <w:p>
            <w:pPr>
              <w:pStyle w:val="TableContents"/>
              <w:spacing w:before="0" w:after="283"/>
              <w:jc w:val="both"/>
              <w:rPr>
                <w:color w:val="231F20"/>
              </w:rPr>
            </w:pPr>
            <w:r>
              <w:rPr>
                <w:color w:val="231F20"/>
              </w:rPr>
              <w:t> </w:t>
            </w:r>
          </w:p>
        </w:tc>
        <w:tc>
          <w:tcPr>
            <w:tcW w:w="1174" w:type="dxa"/>
            <w:gridSpan w:val="2"/>
            <w:tcBorders>
              <w:bottom w:val="single" w:sz="8" w:space="0" w:color="000000"/>
            </w:tcBorders>
            <w:shd w:fill="auto" w:val="clear"/>
            <w:vAlign w:val="center"/>
          </w:tcPr>
          <w:p>
            <w:pPr>
              <w:pStyle w:val="TableContents"/>
              <w:spacing w:before="0" w:after="283"/>
              <w:jc w:val="center"/>
              <w:rPr>
                <w:b/>
                <w:color w:val="231F20"/>
                <w:sz w:val="20"/>
              </w:rPr>
            </w:pPr>
            <w:r>
              <w:rPr>
                <w:b/>
                <w:color w:val="231F20"/>
                <w:sz w:val="20"/>
              </w:rPr>
              <w:t>Percentage of</w:t>
              <w:br/>
              <w:t>Outstanding</w:t>
              <w:br/>
              <w:t>Shares</w:t>
            </w:r>
          </w:p>
        </w:tc>
        <w:tc>
          <w:tcPr>
            <w:tcW w:w="200" w:type="dxa"/>
            <w:tcBorders/>
            <w:shd w:fill="auto" w:val="clear"/>
            <w:tcMar>
              <w:bottom w:w="0" w:type="dxa"/>
            </w:tcMar>
            <w:vAlign w:val="center"/>
          </w:tcPr>
          <w:p>
            <w:pPr>
              <w:pStyle w:val="TableContents"/>
              <w:spacing w:before="0" w:after="283"/>
              <w:ind w:left="0" w:right="0" w:hanging="200"/>
              <w:jc w:val="both"/>
              <w:rPr>
                <w:color w:val="231F20"/>
              </w:rPr>
            </w:pPr>
            <w:r>
              <w:rPr>
                <w:color w:val="231F20"/>
              </w:rPr>
              <w:t> </w:t>
            </w:r>
          </w:p>
        </w:tc>
      </w:tr>
      <w:tr>
        <w:trPr/>
        <w:tc>
          <w:tcPr>
            <w:tcW w:w="3545" w:type="dxa"/>
            <w:tcBorders/>
            <w:shd w:fill="CCEEFF" w:val="clear"/>
            <w:tcMar>
              <w:bottom w:w="0" w:type="dxa"/>
            </w:tcMar>
            <w:vAlign w:val="center"/>
          </w:tcPr>
          <w:p>
            <w:pPr>
              <w:pStyle w:val="TableContents"/>
              <w:spacing w:before="0" w:after="283"/>
              <w:jc w:val="both"/>
              <w:rPr>
                <w:sz w:val="20"/>
              </w:rPr>
            </w:pPr>
            <w:r>
              <w:rPr>
                <w:sz w:val="20"/>
              </w:rPr>
              <w:t xml:space="preserve">Shahal Khan </w:t>
            </w:r>
            <w:r>
              <w:rPr>
                <w:position w:val="7"/>
                <w:sz w:val="16"/>
                <w:sz w:val="20"/>
              </w:rPr>
              <w:t>(2)</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1"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79" w:type="dxa"/>
            <w:tcBorders/>
            <w:shd w:fill="CCEEFF" w:val="clear"/>
            <w:tcMar>
              <w:bottom w:w="0" w:type="dxa"/>
            </w:tcMar>
            <w:vAlign w:val="center"/>
          </w:tcPr>
          <w:p>
            <w:pPr>
              <w:pStyle w:val="TableContents"/>
              <w:spacing w:before="0" w:after="283"/>
              <w:jc w:val="right"/>
              <w:rPr>
                <w:color w:val="231F20"/>
                <w:sz w:val="20"/>
              </w:rPr>
            </w:pPr>
            <w:r>
              <w:rPr>
                <w:color w:val="231F20"/>
                <w:sz w:val="20"/>
              </w:rPr>
              <w:t>10,385,750</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242"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32" w:type="dxa"/>
            <w:tcBorders/>
            <w:shd w:fill="CCEEFF" w:val="clear"/>
            <w:tcMar>
              <w:bottom w:w="0" w:type="dxa"/>
            </w:tcMar>
            <w:vAlign w:val="center"/>
          </w:tcPr>
          <w:p>
            <w:pPr>
              <w:pStyle w:val="TableContents"/>
              <w:spacing w:before="0" w:after="283"/>
              <w:jc w:val="right"/>
              <w:rPr>
                <w:color w:val="231F20"/>
                <w:sz w:val="20"/>
              </w:rPr>
            </w:pPr>
            <w:r>
              <w:rPr>
                <w:color w:val="231F20"/>
                <w:sz w:val="20"/>
              </w:rPr>
              <w:t>26</w:t>
            </w:r>
          </w:p>
        </w:tc>
        <w:tc>
          <w:tcPr>
            <w:tcW w:w="200" w:type="dxa"/>
            <w:tcBorders/>
            <w:shd w:fill="CCEEFF" w:val="clear"/>
            <w:tcMar>
              <w:bottom w:w="0" w:type="dxa"/>
            </w:tcMar>
            <w:vAlign w:val="center"/>
          </w:tcPr>
          <w:p>
            <w:pPr>
              <w:pStyle w:val="TableContents"/>
              <w:spacing w:before="0" w:after="283"/>
              <w:ind w:left="0" w:right="0" w:hanging="200"/>
              <w:jc w:val="both"/>
              <w:rPr>
                <w:color w:val="231F20"/>
                <w:sz w:val="20"/>
              </w:rPr>
            </w:pPr>
            <w:r>
              <w:rPr>
                <w:color w:val="231F20"/>
                <w:sz w:val="20"/>
              </w:rPr>
              <w:t>%</w:t>
            </w:r>
          </w:p>
        </w:tc>
      </w:tr>
      <w:tr>
        <w:trPr/>
        <w:tc>
          <w:tcPr>
            <w:tcW w:w="3545" w:type="dxa"/>
            <w:tcBorders/>
            <w:shd w:fill="FFFFFF" w:val="clear"/>
            <w:tcMar>
              <w:bottom w:w="0" w:type="dxa"/>
            </w:tcMar>
            <w:vAlign w:val="center"/>
          </w:tcPr>
          <w:p>
            <w:pPr>
              <w:pStyle w:val="TableContents"/>
              <w:spacing w:before="0" w:after="283"/>
              <w:jc w:val="both"/>
              <w:rPr>
                <w:color w:val="231F20"/>
                <w:sz w:val="20"/>
              </w:rPr>
            </w:pPr>
            <w:r>
              <w:rPr>
                <w:color w:val="231F20"/>
                <w:sz w:val="20"/>
              </w:rPr>
              <w:t xml:space="preserve">Roman Livson </w:t>
            </w:r>
            <w:r>
              <w:rPr>
                <w:color w:val="231F20"/>
                <w:position w:val="7"/>
                <w:sz w:val="16"/>
                <w:sz w:val="20"/>
              </w:rPr>
              <w:t>(2)</w:t>
            </w:r>
          </w:p>
        </w:tc>
        <w:tc>
          <w:tcPr>
            <w:tcW w:w="60"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61"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979" w:type="dxa"/>
            <w:tcBorders/>
            <w:shd w:fill="FFFFFF" w:val="clear"/>
            <w:tcMar>
              <w:bottom w:w="0" w:type="dxa"/>
            </w:tcMar>
            <w:vAlign w:val="center"/>
          </w:tcPr>
          <w:p>
            <w:pPr>
              <w:pStyle w:val="TableContents"/>
              <w:spacing w:before="0" w:after="283"/>
              <w:jc w:val="right"/>
              <w:rPr>
                <w:color w:val="231F20"/>
                <w:sz w:val="20"/>
              </w:rPr>
            </w:pPr>
            <w:r>
              <w:rPr>
                <w:color w:val="231F20"/>
                <w:sz w:val="20"/>
              </w:rPr>
              <w:t>10,385,750</w:t>
            </w:r>
          </w:p>
        </w:tc>
        <w:tc>
          <w:tcPr>
            <w:tcW w:w="60"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60"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242"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932" w:type="dxa"/>
            <w:tcBorders/>
            <w:shd w:fill="FFFFFF" w:val="clear"/>
            <w:tcMar>
              <w:bottom w:w="0" w:type="dxa"/>
            </w:tcMar>
            <w:vAlign w:val="center"/>
          </w:tcPr>
          <w:p>
            <w:pPr>
              <w:pStyle w:val="TableContents"/>
              <w:spacing w:before="0" w:after="283"/>
              <w:jc w:val="right"/>
              <w:rPr>
                <w:color w:val="231F20"/>
                <w:sz w:val="20"/>
              </w:rPr>
            </w:pPr>
            <w:r>
              <w:rPr>
                <w:color w:val="231F20"/>
                <w:sz w:val="20"/>
              </w:rPr>
              <w:t>26</w:t>
            </w:r>
          </w:p>
        </w:tc>
        <w:tc>
          <w:tcPr>
            <w:tcW w:w="200" w:type="dxa"/>
            <w:tcBorders/>
            <w:shd w:fill="FFFFFF" w:val="clear"/>
            <w:tcMar>
              <w:bottom w:w="0" w:type="dxa"/>
            </w:tcMar>
            <w:vAlign w:val="center"/>
          </w:tcPr>
          <w:p>
            <w:pPr>
              <w:pStyle w:val="TableContents"/>
              <w:spacing w:before="0" w:after="283"/>
              <w:ind w:left="0" w:right="0" w:hanging="200"/>
              <w:jc w:val="both"/>
              <w:rPr>
                <w:color w:val="231F20"/>
                <w:sz w:val="20"/>
              </w:rPr>
            </w:pPr>
            <w:r>
              <w:rPr>
                <w:color w:val="231F20"/>
                <w:sz w:val="20"/>
              </w:rPr>
              <w:t>%</w:t>
            </w:r>
          </w:p>
        </w:tc>
      </w:tr>
      <w:tr>
        <w:trPr/>
        <w:tc>
          <w:tcPr>
            <w:tcW w:w="3545" w:type="dxa"/>
            <w:tcBorders/>
            <w:shd w:fill="CCEEFF" w:val="clear"/>
            <w:tcMar>
              <w:bottom w:w="0" w:type="dxa"/>
            </w:tcMar>
            <w:vAlign w:val="center"/>
          </w:tcPr>
          <w:p>
            <w:pPr>
              <w:pStyle w:val="TableContents"/>
              <w:spacing w:before="0" w:after="283"/>
              <w:jc w:val="both"/>
              <w:rPr>
                <w:color w:val="231F20"/>
                <w:sz w:val="20"/>
              </w:rPr>
            </w:pPr>
            <w:r>
              <w:rPr>
                <w:color w:val="231F20"/>
                <w:sz w:val="20"/>
              </w:rPr>
              <w:t>Patrick Orlando</w:t>
            </w:r>
            <w:r>
              <w:rPr>
                <w:color w:val="231F20"/>
                <w:position w:val="7"/>
                <w:sz w:val="16"/>
                <w:sz w:val="20"/>
              </w:rPr>
              <w:t>(1)(2)</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1"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79" w:type="dxa"/>
            <w:tcBorders/>
            <w:shd w:fill="CCEEFF" w:val="clear"/>
            <w:tcMar>
              <w:bottom w:w="0" w:type="dxa"/>
            </w:tcMar>
            <w:vAlign w:val="center"/>
          </w:tcPr>
          <w:p>
            <w:pPr>
              <w:pStyle w:val="TableContents"/>
              <w:spacing w:before="0" w:after="283"/>
              <w:jc w:val="right"/>
              <w:rPr>
                <w:color w:val="231F20"/>
                <w:sz w:val="20"/>
              </w:rPr>
            </w:pPr>
            <w:r>
              <w:rPr>
                <w:color w:val="231F20"/>
                <w:sz w:val="20"/>
              </w:rPr>
              <w:t>10,385,750</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242"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32" w:type="dxa"/>
            <w:tcBorders/>
            <w:shd w:fill="CCEEFF" w:val="clear"/>
            <w:tcMar>
              <w:bottom w:w="0" w:type="dxa"/>
            </w:tcMar>
            <w:vAlign w:val="center"/>
          </w:tcPr>
          <w:p>
            <w:pPr>
              <w:pStyle w:val="TableContents"/>
              <w:spacing w:before="0" w:after="283"/>
              <w:jc w:val="right"/>
              <w:rPr>
                <w:color w:val="231F20"/>
                <w:sz w:val="20"/>
              </w:rPr>
            </w:pPr>
            <w:r>
              <w:rPr>
                <w:color w:val="231F20"/>
                <w:sz w:val="20"/>
              </w:rPr>
              <w:t>26</w:t>
            </w:r>
          </w:p>
        </w:tc>
        <w:tc>
          <w:tcPr>
            <w:tcW w:w="200" w:type="dxa"/>
            <w:tcBorders/>
            <w:shd w:fill="CCEEFF" w:val="clear"/>
            <w:tcMar>
              <w:bottom w:w="0" w:type="dxa"/>
            </w:tcMar>
            <w:vAlign w:val="center"/>
          </w:tcPr>
          <w:p>
            <w:pPr>
              <w:pStyle w:val="TableContents"/>
              <w:spacing w:before="0" w:after="283"/>
              <w:ind w:left="0" w:right="0" w:hanging="200"/>
              <w:jc w:val="both"/>
              <w:rPr>
                <w:color w:val="231F20"/>
                <w:sz w:val="20"/>
              </w:rPr>
            </w:pPr>
            <w:r>
              <w:rPr>
                <w:color w:val="231F20"/>
                <w:sz w:val="20"/>
              </w:rPr>
              <w:t>%</w:t>
            </w:r>
          </w:p>
        </w:tc>
      </w:tr>
      <w:tr>
        <w:trPr/>
        <w:tc>
          <w:tcPr>
            <w:tcW w:w="3545" w:type="dxa"/>
            <w:tcBorders/>
            <w:shd w:fill="FFFFFF" w:val="clear"/>
            <w:tcMar>
              <w:bottom w:w="0" w:type="dxa"/>
            </w:tcMar>
            <w:vAlign w:val="center"/>
          </w:tcPr>
          <w:p>
            <w:pPr>
              <w:pStyle w:val="TableContents"/>
              <w:spacing w:before="0" w:after="283"/>
              <w:jc w:val="both"/>
              <w:rPr>
                <w:color w:val="231F20"/>
                <w:sz w:val="20"/>
              </w:rPr>
            </w:pPr>
            <w:r>
              <w:rPr>
                <w:color w:val="231F20"/>
                <w:sz w:val="20"/>
              </w:rPr>
              <w:t xml:space="preserve">Isaac Chetrit </w:t>
            </w:r>
            <w:r>
              <w:rPr>
                <w:color w:val="231F20"/>
                <w:position w:val="7"/>
                <w:sz w:val="16"/>
                <w:sz w:val="20"/>
              </w:rPr>
              <w:t>(4)</w:t>
            </w:r>
          </w:p>
        </w:tc>
        <w:tc>
          <w:tcPr>
            <w:tcW w:w="60" w:type="dxa"/>
            <w:tcBorders/>
            <w:shd w:fill="FFFFFF" w:val="clear"/>
            <w:tcMar>
              <w:bottom w:w="0" w:type="dxa"/>
            </w:tcMar>
            <w:vAlign w:val="center"/>
          </w:tcPr>
          <w:p>
            <w:pPr>
              <w:pStyle w:val="TableContents"/>
              <w:spacing w:before="0" w:after="283"/>
              <w:jc w:val="both"/>
              <w:rPr/>
            </w:pPr>
            <w:r>
              <w:rPr/>
              <w:t> </w:t>
            </w:r>
          </w:p>
        </w:tc>
        <w:tc>
          <w:tcPr>
            <w:tcW w:w="61" w:type="dxa"/>
            <w:tcBorders/>
            <w:shd w:fill="FFFFFF" w:val="clear"/>
            <w:tcMar>
              <w:bottom w:w="0" w:type="dxa"/>
            </w:tcMar>
            <w:vAlign w:val="center"/>
          </w:tcPr>
          <w:p>
            <w:pPr>
              <w:pStyle w:val="TableContents"/>
              <w:spacing w:before="0" w:after="283"/>
              <w:jc w:val="both"/>
              <w:rPr/>
            </w:pPr>
            <w:r>
              <w:rPr/>
              <w:t> </w:t>
            </w:r>
          </w:p>
        </w:tc>
        <w:tc>
          <w:tcPr>
            <w:tcW w:w="979"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242"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932" w:type="dxa"/>
            <w:tcBorders/>
            <w:shd w:fill="FFFFFF" w:val="clear"/>
            <w:tcMar>
              <w:bottom w:w="0" w:type="dxa"/>
            </w:tcMar>
            <w:vAlign w:val="center"/>
          </w:tcPr>
          <w:p>
            <w:pPr>
              <w:pStyle w:val="TableContents"/>
              <w:spacing w:before="0" w:after="283"/>
              <w:jc w:val="right"/>
              <w:rPr>
                <w:color w:val="231F20"/>
                <w:sz w:val="20"/>
              </w:rPr>
            </w:pPr>
            <w:r>
              <w:rPr>
                <w:color w:val="231F20"/>
                <w:sz w:val="20"/>
              </w:rPr>
              <w:t>*</w:t>
            </w:r>
          </w:p>
        </w:tc>
        <w:tc>
          <w:tcPr>
            <w:tcW w:w="200" w:type="dxa"/>
            <w:tcBorders/>
            <w:shd w:fill="FFFFFF" w:val="clear"/>
            <w:tcMar>
              <w:bottom w:w="0" w:type="dxa"/>
            </w:tcMar>
            <w:vAlign w:val="center"/>
          </w:tcPr>
          <w:p>
            <w:pPr>
              <w:pStyle w:val="TableContents"/>
              <w:spacing w:before="0" w:after="283"/>
              <w:ind w:left="0" w:right="0" w:hanging="200"/>
              <w:jc w:val="both"/>
              <w:rPr>
                <w:color w:val="231F20"/>
              </w:rPr>
            </w:pPr>
            <w:r>
              <w:rPr>
                <w:color w:val="231F20"/>
              </w:rPr>
              <w:t> </w:t>
            </w:r>
          </w:p>
        </w:tc>
      </w:tr>
      <w:tr>
        <w:trPr/>
        <w:tc>
          <w:tcPr>
            <w:tcW w:w="3545" w:type="dxa"/>
            <w:tcBorders/>
            <w:shd w:fill="CCEEFF" w:val="clear"/>
            <w:tcMar>
              <w:bottom w:w="0" w:type="dxa"/>
            </w:tcMar>
            <w:vAlign w:val="center"/>
          </w:tcPr>
          <w:p>
            <w:pPr>
              <w:pStyle w:val="TableContents"/>
              <w:spacing w:before="0" w:after="283"/>
              <w:jc w:val="both"/>
              <w:rPr>
                <w:color w:val="231F20"/>
                <w:sz w:val="20"/>
              </w:rPr>
            </w:pPr>
            <w:r>
              <w:rPr>
                <w:color w:val="231F20"/>
                <w:sz w:val="20"/>
              </w:rPr>
              <w:t xml:space="preserve">Payel Farasat </w:t>
            </w:r>
            <w:r>
              <w:rPr>
                <w:color w:val="231F20"/>
                <w:position w:val="7"/>
                <w:sz w:val="16"/>
                <w:sz w:val="20"/>
              </w:rPr>
              <w:t>(4)</w:t>
            </w:r>
          </w:p>
        </w:tc>
        <w:tc>
          <w:tcPr>
            <w:tcW w:w="60" w:type="dxa"/>
            <w:tcBorders/>
            <w:shd w:fill="CCEEFF" w:val="clear"/>
            <w:tcMar>
              <w:bottom w:w="0" w:type="dxa"/>
            </w:tcMar>
            <w:vAlign w:val="center"/>
          </w:tcPr>
          <w:p>
            <w:pPr>
              <w:pStyle w:val="TableContents"/>
              <w:spacing w:before="0" w:after="283"/>
              <w:jc w:val="both"/>
              <w:rPr/>
            </w:pPr>
            <w:r>
              <w:rPr/>
              <w:t> </w:t>
            </w:r>
          </w:p>
        </w:tc>
        <w:tc>
          <w:tcPr>
            <w:tcW w:w="61" w:type="dxa"/>
            <w:tcBorders/>
            <w:shd w:fill="CCEEFF" w:val="clear"/>
            <w:tcMar>
              <w:bottom w:w="0" w:type="dxa"/>
            </w:tcMar>
            <w:vAlign w:val="center"/>
          </w:tcPr>
          <w:p>
            <w:pPr>
              <w:pStyle w:val="TableContents"/>
              <w:spacing w:before="0" w:after="283"/>
              <w:jc w:val="both"/>
              <w:rPr/>
            </w:pPr>
            <w:r>
              <w:rPr/>
              <w:t> </w:t>
            </w:r>
          </w:p>
        </w:tc>
        <w:tc>
          <w:tcPr>
            <w:tcW w:w="979" w:type="dxa"/>
            <w:tcBorders/>
            <w:shd w:fill="CCEEFF" w:val="clear"/>
            <w:tcMar>
              <w:bottom w:w="0" w:type="dxa"/>
            </w:tcM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both"/>
              <w:rPr/>
            </w:pPr>
            <w:r>
              <w:rPr/>
              <w:t> </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242"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32" w:type="dxa"/>
            <w:tcBorders/>
            <w:shd w:fill="CCEEFF" w:val="clear"/>
            <w:tcMar>
              <w:bottom w:w="0" w:type="dxa"/>
            </w:tcMar>
            <w:vAlign w:val="center"/>
          </w:tcPr>
          <w:p>
            <w:pPr>
              <w:pStyle w:val="TableContents"/>
              <w:spacing w:before="0" w:after="283"/>
              <w:jc w:val="right"/>
              <w:rPr>
                <w:color w:val="231F20"/>
                <w:sz w:val="20"/>
              </w:rPr>
            </w:pPr>
            <w:r>
              <w:rPr>
                <w:color w:val="231F20"/>
                <w:sz w:val="20"/>
              </w:rPr>
              <w:t>*</w:t>
            </w:r>
          </w:p>
        </w:tc>
        <w:tc>
          <w:tcPr>
            <w:tcW w:w="200" w:type="dxa"/>
            <w:tcBorders/>
            <w:shd w:fill="CCEEFF" w:val="clear"/>
            <w:tcMar>
              <w:bottom w:w="0" w:type="dxa"/>
            </w:tcMar>
            <w:vAlign w:val="center"/>
          </w:tcPr>
          <w:p>
            <w:pPr>
              <w:pStyle w:val="TableContents"/>
              <w:spacing w:before="0" w:after="283"/>
              <w:ind w:left="0" w:right="0" w:hanging="200"/>
              <w:jc w:val="both"/>
              <w:rPr>
                <w:color w:val="231F20"/>
              </w:rPr>
            </w:pPr>
            <w:r>
              <w:rPr>
                <w:color w:val="231F20"/>
              </w:rPr>
              <w:t> </w:t>
            </w:r>
          </w:p>
        </w:tc>
      </w:tr>
      <w:tr>
        <w:trPr/>
        <w:tc>
          <w:tcPr>
            <w:tcW w:w="3545" w:type="dxa"/>
            <w:tcBorders/>
            <w:shd w:fill="FFFFFF" w:val="clear"/>
            <w:tcMar>
              <w:bottom w:w="0" w:type="dxa"/>
            </w:tcMar>
            <w:vAlign w:val="center"/>
          </w:tcPr>
          <w:p>
            <w:pPr>
              <w:pStyle w:val="TableContents"/>
              <w:spacing w:before="0" w:after="283"/>
              <w:jc w:val="both"/>
              <w:rPr>
                <w:color w:val="231F20"/>
                <w:sz w:val="20"/>
              </w:rPr>
            </w:pPr>
            <w:r>
              <w:rPr>
                <w:color w:val="231F20"/>
                <w:sz w:val="20"/>
              </w:rPr>
              <w:t xml:space="preserve">Christopher Schroeder </w:t>
            </w:r>
            <w:r>
              <w:rPr>
                <w:color w:val="231F20"/>
                <w:position w:val="7"/>
                <w:sz w:val="16"/>
                <w:sz w:val="20"/>
              </w:rPr>
              <w:t>(4)</w:t>
            </w:r>
          </w:p>
        </w:tc>
        <w:tc>
          <w:tcPr>
            <w:tcW w:w="60" w:type="dxa"/>
            <w:tcBorders/>
            <w:shd w:fill="FFFFFF" w:val="clear"/>
            <w:tcMar>
              <w:bottom w:w="0" w:type="dxa"/>
            </w:tcMar>
            <w:vAlign w:val="center"/>
          </w:tcPr>
          <w:p>
            <w:pPr>
              <w:pStyle w:val="TableContents"/>
              <w:spacing w:before="0" w:after="283"/>
              <w:jc w:val="both"/>
              <w:rPr/>
            </w:pPr>
            <w:r>
              <w:rPr/>
              <w:t> </w:t>
            </w:r>
          </w:p>
        </w:tc>
        <w:tc>
          <w:tcPr>
            <w:tcW w:w="61" w:type="dxa"/>
            <w:tcBorders/>
            <w:shd w:fill="FFFFFF" w:val="clear"/>
            <w:tcMar>
              <w:bottom w:w="0" w:type="dxa"/>
            </w:tcMar>
            <w:vAlign w:val="center"/>
          </w:tcPr>
          <w:p>
            <w:pPr>
              <w:pStyle w:val="TableContents"/>
              <w:spacing w:before="0" w:after="283"/>
              <w:jc w:val="both"/>
              <w:rPr/>
            </w:pPr>
            <w:r>
              <w:rPr/>
              <w:t> </w:t>
            </w:r>
          </w:p>
        </w:tc>
        <w:tc>
          <w:tcPr>
            <w:tcW w:w="979"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242" w:type="dxa"/>
            <w:tcBorders/>
            <w:shd w:fill="FFFFFF" w:val="clear"/>
            <w:tcMar>
              <w:bottom w:w="0" w:type="dxa"/>
            </w:tcMar>
            <w:vAlign w:val="center"/>
          </w:tcPr>
          <w:p>
            <w:pPr>
              <w:pStyle w:val="TableContents"/>
              <w:spacing w:before="0" w:after="283"/>
              <w:jc w:val="both"/>
              <w:rPr>
                <w:color w:val="231F20"/>
              </w:rPr>
            </w:pPr>
            <w:r>
              <w:rPr>
                <w:color w:val="231F20"/>
              </w:rPr>
              <w:t> </w:t>
            </w:r>
          </w:p>
        </w:tc>
        <w:tc>
          <w:tcPr>
            <w:tcW w:w="932" w:type="dxa"/>
            <w:tcBorders/>
            <w:shd w:fill="FFFFFF" w:val="clear"/>
            <w:tcMar>
              <w:bottom w:w="0" w:type="dxa"/>
            </w:tcMar>
            <w:vAlign w:val="center"/>
          </w:tcPr>
          <w:p>
            <w:pPr>
              <w:pStyle w:val="TableContents"/>
              <w:spacing w:before="0" w:after="283"/>
              <w:jc w:val="right"/>
              <w:rPr>
                <w:color w:val="231F20"/>
                <w:sz w:val="20"/>
              </w:rPr>
            </w:pPr>
            <w:r>
              <w:rPr>
                <w:color w:val="231F20"/>
                <w:sz w:val="20"/>
              </w:rPr>
              <w:t>*</w:t>
            </w:r>
          </w:p>
        </w:tc>
        <w:tc>
          <w:tcPr>
            <w:tcW w:w="200" w:type="dxa"/>
            <w:tcBorders/>
            <w:shd w:fill="FFFFFF" w:val="clear"/>
            <w:tcMar>
              <w:bottom w:w="0" w:type="dxa"/>
            </w:tcMar>
            <w:vAlign w:val="center"/>
          </w:tcPr>
          <w:p>
            <w:pPr>
              <w:pStyle w:val="TableContents"/>
              <w:spacing w:before="0" w:after="283"/>
              <w:ind w:left="0" w:right="0" w:hanging="200"/>
              <w:jc w:val="both"/>
              <w:rPr>
                <w:color w:val="231F20"/>
              </w:rPr>
            </w:pPr>
            <w:r>
              <w:rPr>
                <w:color w:val="231F20"/>
              </w:rPr>
              <w:t> </w:t>
            </w:r>
          </w:p>
        </w:tc>
      </w:tr>
      <w:tr>
        <w:trPr/>
        <w:tc>
          <w:tcPr>
            <w:tcW w:w="3545" w:type="dxa"/>
            <w:tcBorders/>
            <w:shd w:fill="CCEEFF" w:val="clear"/>
            <w:tcMar>
              <w:bottom w:w="0" w:type="dxa"/>
            </w:tcMar>
            <w:vAlign w:val="center"/>
          </w:tcPr>
          <w:p>
            <w:pPr>
              <w:pStyle w:val="TableContents"/>
              <w:spacing w:before="0" w:after="283"/>
              <w:jc w:val="both"/>
              <w:rPr>
                <w:i/>
                <w:color w:val="231F20"/>
                <w:sz w:val="20"/>
              </w:rPr>
            </w:pPr>
            <w:r>
              <w:rPr>
                <w:i/>
                <w:color w:val="231F20"/>
                <w:sz w:val="20"/>
              </w:rPr>
              <w:t>All officers and directors as a group</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1"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79" w:type="dxa"/>
            <w:tcBorders/>
            <w:shd w:fill="CCEEFF" w:val="clear"/>
            <w:tcMar>
              <w:bottom w:w="0" w:type="dxa"/>
            </w:tcMar>
            <w:vAlign w:val="center"/>
          </w:tcPr>
          <w:p>
            <w:pPr>
              <w:pStyle w:val="TableContents"/>
              <w:spacing w:before="0" w:after="283"/>
              <w:jc w:val="right"/>
              <w:rPr>
                <w:color w:val="231F20"/>
                <w:sz w:val="20"/>
              </w:rPr>
            </w:pPr>
            <w:r>
              <w:rPr>
                <w:color w:val="231F20"/>
                <w:sz w:val="20"/>
              </w:rPr>
              <w:t>10,385,750</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242"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32" w:type="dxa"/>
            <w:tcBorders/>
            <w:shd w:fill="CCEEFF" w:val="clear"/>
            <w:tcMar>
              <w:bottom w:w="0" w:type="dxa"/>
            </w:tcMar>
            <w:vAlign w:val="center"/>
          </w:tcPr>
          <w:p>
            <w:pPr>
              <w:pStyle w:val="TableContents"/>
              <w:spacing w:before="0" w:after="283"/>
              <w:jc w:val="right"/>
              <w:rPr>
                <w:color w:val="231F20"/>
                <w:sz w:val="20"/>
              </w:rPr>
            </w:pPr>
            <w:r>
              <w:rPr>
                <w:color w:val="231F20"/>
                <w:sz w:val="20"/>
              </w:rPr>
              <w:t>26</w:t>
            </w:r>
          </w:p>
        </w:tc>
        <w:tc>
          <w:tcPr>
            <w:tcW w:w="200" w:type="dxa"/>
            <w:tcBorders/>
            <w:shd w:fill="CCEEFF" w:val="clear"/>
            <w:tcMar>
              <w:bottom w:w="0" w:type="dxa"/>
            </w:tcMar>
            <w:vAlign w:val="center"/>
          </w:tcPr>
          <w:p>
            <w:pPr>
              <w:pStyle w:val="TableContents"/>
              <w:spacing w:before="0" w:after="283"/>
              <w:jc w:val="both"/>
              <w:rPr>
                <w:color w:val="231F20"/>
                <w:sz w:val="20"/>
              </w:rPr>
            </w:pPr>
            <w:r>
              <w:rPr>
                <w:color w:val="231F20"/>
                <w:sz w:val="20"/>
              </w:rPr>
              <w:t>%</w:t>
            </w:r>
          </w:p>
        </w:tc>
      </w:tr>
      <w:tr>
        <w:trPr/>
        <w:tc>
          <w:tcPr>
            <w:tcW w:w="3545" w:type="dxa"/>
            <w:tcBorders/>
            <w:shd w:fill="FFFFFF" w:val="clear"/>
            <w:tcMar>
              <w:bottom w:w="0" w:type="dxa"/>
            </w:tcMar>
            <w:vAlign w:val="center"/>
          </w:tcPr>
          <w:p>
            <w:pPr>
              <w:pStyle w:val="TableContents"/>
              <w:spacing w:before="0" w:after="283"/>
              <w:jc w:val="both"/>
              <w:rPr>
                <w:i/>
                <w:sz w:val="20"/>
              </w:rPr>
            </w:pPr>
            <w:r>
              <w:rPr>
                <w:i/>
                <w:sz w:val="20"/>
              </w:rPr>
              <w:t>(5 individuals)</w:t>
            </w:r>
          </w:p>
        </w:tc>
        <w:tc>
          <w:tcPr>
            <w:tcW w:w="60" w:type="dxa"/>
            <w:tcBorders/>
            <w:shd w:fill="FFFFFF" w:val="clear"/>
            <w:tcMar>
              <w:bottom w:w="0" w:type="dxa"/>
            </w:tcMar>
            <w:vAlign w:val="center"/>
          </w:tcPr>
          <w:p>
            <w:pPr>
              <w:pStyle w:val="TableContents"/>
              <w:spacing w:before="0" w:after="283"/>
              <w:jc w:val="both"/>
              <w:rPr/>
            </w:pPr>
            <w:r>
              <w:rPr/>
              <w:t> </w:t>
            </w:r>
          </w:p>
        </w:tc>
        <w:tc>
          <w:tcPr>
            <w:tcW w:w="61" w:type="dxa"/>
            <w:tcBorders/>
            <w:shd w:fill="FFFFFF" w:val="clear"/>
            <w:tcMar>
              <w:bottom w:w="0" w:type="dxa"/>
            </w:tcMar>
            <w:vAlign w:val="center"/>
          </w:tcPr>
          <w:p>
            <w:pPr>
              <w:pStyle w:val="TableContents"/>
              <w:spacing w:before="0" w:after="283"/>
              <w:jc w:val="both"/>
              <w:rPr/>
            </w:pPr>
            <w:r>
              <w:rPr/>
              <w:t> </w:t>
            </w:r>
          </w:p>
        </w:tc>
        <w:tc>
          <w:tcPr>
            <w:tcW w:w="979"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jc w:val="both"/>
              <w:rPr/>
            </w:pPr>
            <w:r>
              <w:rPr/>
              <w:t> </w:t>
            </w:r>
          </w:p>
        </w:tc>
        <w:tc>
          <w:tcPr>
            <w:tcW w:w="242" w:type="dxa"/>
            <w:tcBorders/>
            <w:shd w:fill="FFFFFF" w:val="clear"/>
            <w:tcMar>
              <w:bottom w:w="0" w:type="dxa"/>
            </w:tcMar>
            <w:vAlign w:val="center"/>
          </w:tcPr>
          <w:p>
            <w:pPr>
              <w:pStyle w:val="TableContents"/>
              <w:spacing w:before="0" w:after="283"/>
              <w:jc w:val="both"/>
              <w:rPr/>
            </w:pPr>
            <w:r>
              <w:rPr/>
              <w:t> </w:t>
            </w:r>
          </w:p>
        </w:tc>
        <w:tc>
          <w:tcPr>
            <w:tcW w:w="932" w:type="dxa"/>
            <w:tcBorders/>
            <w:shd w:fill="FFFFFF" w:val="clear"/>
            <w:tcMar>
              <w:bottom w:w="0" w:type="dxa"/>
            </w:tcMar>
            <w:vAlign w:val="center"/>
          </w:tcPr>
          <w:p>
            <w:pPr>
              <w:pStyle w:val="TableContents"/>
              <w:spacing w:before="0" w:after="283"/>
              <w:jc w:val="right"/>
              <w:rPr/>
            </w:pPr>
            <w:r>
              <w:rPr/>
              <w:t> </w:t>
            </w:r>
          </w:p>
        </w:tc>
        <w:tc>
          <w:tcPr>
            <w:tcW w:w="200" w:type="dxa"/>
            <w:tcBorders/>
            <w:shd w:fill="FFFFFF" w:val="clear"/>
            <w:tcMar>
              <w:bottom w:w="0" w:type="dxa"/>
            </w:tcMar>
            <w:vAlign w:val="center"/>
          </w:tcPr>
          <w:p>
            <w:pPr>
              <w:pStyle w:val="TableContents"/>
              <w:spacing w:before="0" w:after="283"/>
              <w:jc w:val="both"/>
              <w:rPr/>
            </w:pPr>
            <w:r>
              <w:rPr/>
              <w:t> </w:t>
            </w:r>
          </w:p>
        </w:tc>
      </w:tr>
      <w:tr>
        <w:trPr/>
        <w:tc>
          <w:tcPr>
            <w:tcW w:w="3545" w:type="dxa"/>
            <w:tcBorders/>
            <w:shd w:fill="CCEEFF" w:val="clear"/>
            <w:tcMar>
              <w:bottom w:w="0" w:type="dxa"/>
            </w:tcMar>
            <w:vAlign w:val="center"/>
          </w:tcPr>
          <w:p>
            <w:pPr>
              <w:pStyle w:val="TableContents"/>
              <w:spacing w:before="0" w:after="283"/>
              <w:jc w:val="both"/>
              <w:rPr>
                <w:sz w:val="20"/>
              </w:rPr>
            </w:pPr>
            <w:r>
              <w:rPr>
                <w:sz w:val="20"/>
              </w:rPr>
              <w:t>BurTech LP LLC</w:t>
            </w:r>
            <w:r>
              <w:rPr>
                <w:position w:val="7"/>
                <w:sz w:val="16"/>
                <w:sz w:val="20"/>
              </w:rPr>
              <w:t>(2)</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1"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79" w:type="dxa"/>
            <w:tcBorders/>
            <w:shd w:fill="CCEEFF" w:val="clear"/>
            <w:tcMar>
              <w:bottom w:w="0" w:type="dxa"/>
            </w:tcMar>
            <w:vAlign w:val="center"/>
          </w:tcPr>
          <w:p>
            <w:pPr>
              <w:pStyle w:val="TableContents"/>
              <w:spacing w:before="0" w:after="283"/>
              <w:jc w:val="right"/>
              <w:rPr>
                <w:color w:val="231F20"/>
                <w:sz w:val="20"/>
              </w:rPr>
            </w:pPr>
            <w:r>
              <w:rPr>
                <w:color w:val="231F20"/>
                <w:sz w:val="20"/>
              </w:rPr>
              <w:t>10,385,750</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60"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242" w:type="dxa"/>
            <w:tcBorders/>
            <w:shd w:fill="CCEEFF" w:val="clear"/>
            <w:tcMar>
              <w:bottom w:w="0" w:type="dxa"/>
            </w:tcMar>
            <w:vAlign w:val="center"/>
          </w:tcPr>
          <w:p>
            <w:pPr>
              <w:pStyle w:val="TableContents"/>
              <w:spacing w:before="0" w:after="283"/>
              <w:jc w:val="both"/>
              <w:rPr>
                <w:color w:val="231F20"/>
              </w:rPr>
            </w:pPr>
            <w:r>
              <w:rPr>
                <w:color w:val="231F20"/>
              </w:rPr>
              <w:t> </w:t>
            </w:r>
          </w:p>
        </w:tc>
        <w:tc>
          <w:tcPr>
            <w:tcW w:w="932" w:type="dxa"/>
            <w:tcBorders/>
            <w:shd w:fill="CCEEFF" w:val="clear"/>
            <w:tcMar>
              <w:bottom w:w="0" w:type="dxa"/>
            </w:tcMar>
            <w:vAlign w:val="center"/>
          </w:tcPr>
          <w:p>
            <w:pPr>
              <w:pStyle w:val="TableContents"/>
              <w:spacing w:before="0" w:after="283"/>
              <w:jc w:val="right"/>
              <w:rPr>
                <w:color w:val="231F20"/>
                <w:sz w:val="20"/>
              </w:rPr>
            </w:pPr>
            <w:r>
              <w:rPr>
                <w:color w:val="231F20"/>
                <w:sz w:val="20"/>
              </w:rPr>
              <w:t>26</w:t>
            </w:r>
          </w:p>
        </w:tc>
        <w:tc>
          <w:tcPr>
            <w:tcW w:w="200" w:type="dxa"/>
            <w:tcBorders/>
            <w:shd w:fill="CCEEFF" w:val="clear"/>
            <w:tcMar>
              <w:bottom w:w="0" w:type="dxa"/>
            </w:tcMar>
            <w:vAlign w:val="center"/>
          </w:tcPr>
          <w:p>
            <w:pPr>
              <w:pStyle w:val="TableContents"/>
              <w:spacing w:before="0" w:after="283"/>
              <w:jc w:val="both"/>
              <w:rPr>
                <w:color w:val="231F20"/>
                <w:sz w:val="20"/>
              </w:rPr>
            </w:pPr>
            <w:r>
              <w:rPr>
                <w:color w:val="231F20"/>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60" w:after="60"/>
        <w:ind w:left="0" w:right="0" w:hanging="0"/>
        <w:jc w:val="both"/>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231F20"/>
          <w:sz w:val="20"/>
        </w:rPr>
        <w:t>Less than one percent.</w:t>
      </w:r>
    </w:p>
    <w:p>
      <w:pPr>
        <w:pStyle w:val="TextBody"/>
        <w:spacing w:before="0" w:after="0"/>
        <w:ind w:left="480" w:right="0" w:hanging="4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both"/>
              <w:rPr>
                <w:color w:val="231F20"/>
                <w:sz w:val="20"/>
              </w:rPr>
            </w:pPr>
            <w:r>
              <w:rPr>
                <w:color w:val="231F20"/>
                <w:sz w:val="20"/>
              </w:rPr>
              <w:t>(1)</w:t>
            </w:r>
          </w:p>
        </w:tc>
        <w:tc>
          <w:tcPr>
            <w:tcW w:w="9964" w:type="dxa"/>
            <w:tcBorders/>
            <w:shd w:fill="auto" w:val="clear"/>
            <w:vAlign w:val="center"/>
          </w:tcPr>
          <w:p>
            <w:pPr>
              <w:pStyle w:val="TableContents"/>
              <w:spacing w:before="0" w:after="283"/>
              <w:jc w:val="both"/>
              <w:rPr>
                <w:color w:val="231F20"/>
                <w:sz w:val="20"/>
              </w:rPr>
            </w:pPr>
            <w:r>
              <w:rPr>
                <w:color w:val="231F20"/>
                <w:sz w:val="20"/>
              </w:rPr>
              <w:t>Unless otherwise noted, the business address of each of these individuals is c/o BurTech Acquisition Corp., 1300 Pennsylvania Ave NW, Suite 700, Washington, DC 20004..</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both"/>
              <w:rPr>
                <w:color w:val="231F20"/>
                <w:sz w:val="20"/>
              </w:rPr>
            </w:pPr>
            <w:r>
              <w:rPr>
                <w:color w:val="231F20"/>
                <w:sz w:val="20"/>
              </w:rPr>
              <w:t>(2)</w:t>
            </w:r>
          </w:p>
        </w:tc>
        <w:tc>
          <w:tcPr>
            <w:tcW w:w="9990" w:type="dxa"/>
            <w:tcBorders/>
            <w:shd w:fill="auto" w:val="clear"/>
            <w:vAlign w:val="center"/>
          </w:tcPr>
          <w:p>
            <w:pPr>
              <w:pStyle w:val="TableContents"/>
              <w:spacing w:before="0" w:after="283"/>
              <w:jc w:val="both"/>
              <w:rPr>
                <w:sz w:val="20"/>
              </w:rPr>
            </w:pPr>
            <w:r>
              <w:rPr>
                <w:sz w:val="20"/>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283"/>
              <w:rPr>
                <w:color w:val="231F20"/>
                <w:sz w:val="20"/>
              </w:rPr>
            </w:pPr>
            <w:r>
              <w:rPr>
                <w:color w:val="231F20"/>
                <w:sz w:val="20"/>
              </w:rPr>
              <w:t>(3)</w:t>
            </w:r>
          </w:p>
        </w:tc>
        <w:tc>
          <w:tcPr>
            <w:tcW w:w="9981" w:type="dxa"/>
            <w:tcBorders/>
            <w:shd w:fill="auto" w:val="clear"/>
            <w:vAlign w:val="center"/>
          </w:tcPr>
          <w:p>
            <w:pPr>
              <w:pStyle w:val="TableContents"/>
              <w:spacing w:before="0" w:after="283"/>
              <w:rPr>
                <w:color w:val="231F20"/>
                <w:sz w:val="20"/>
              </w:rPr>
            </w:pPr>
            <w:r>
              <w:rPr>
                <w:color w:val="231F20"/>
                <w:sz w:val="20"/>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tc>
      </w:tr>
    </w:tbl>
    <w:p>
      <w:pPr>
        <w:pStyle w:val="TextBody"/>
        <w:spacing w:before="0" w:after="0"/>
        <w:ind w:left="0" w:right="0" w:hanging="0"/>
        <w:rPr>
          <w:caps w:val="false"/>
          <w:smallCaps w:val="false"/>
        </w:rPr>
      </w:pPr>
      <w:r>
        <w:rPr>
          <w:caps w:val="false"/>
          <w:smallCaps w:val="false"/>
        </w:rPr>
        <w:t> </w:t>
      </w:r>
    </w:p>
    <w:tbl>
      <w:tblPr>
        <w:tblW w:w="9580" w:type="dxa"/>
        <w:jc w:val="left"/>
        <w:tblInd w:w="0" w:type="dxa"/>
        <w:tblCellMar>
          <w:top w:w="0" w:type="dxa"/>
          <w:left w:w="0" w:type="dxa"/>
          <w:bottom w:w="0" w:type="dxa"/>
          <w:right w:w="0" w:type="dxa"/>
        </w:tblCellMar>
      </w:tblPr>
      <w:tblGrid>
        <w:gridCol w:w="860"/>
        <w:gridCol w:w="8720"/>
      </w:tblGrid>
      <w:tr>
        <w:trPr/>
        <w:tc>
          <w:tcPr>
            <w:tcW w:w="860" w:type="dxa"/>
            <w:tcBorders/>
            <w:shd w:fill="auto" w:val="clear"/>
            <w:vAlign w:val="center"/>
          </w:tcPr>
          <w:p>
            <w:pPr>
              <w:pStyle w:val="TableContents"/>
              <w:spacing w:before="0" w:after="283"/>
              <w:rPr>
                <w:b/>
                <w:color w:val="010000"/>
                <w:sz w:val="20"/>
              </w:rPr>
            </w:pPr>
            <w:bookmarkStart w:id="23" w:name="C_003"/>
            <w:bookmarkEnd w:id="23"/>
            <w:r>
              <w:rPr>
                <w:b/>
                <w:color w:val="010000"/>
                <w:sz w:val="20"/>
              </w:rPr>
              <w:t>ITEM 13.</w:t>
            </w:r>
          </w:p>
        </w:tc>
        <w:tc>
          <w:tcPr>
            <w:tcW w:w="8720" w:type="dxa"/>
            <w:tcBorders/>
            <w:shd w:fill="auto" w:val="clear"/>
            <w:vAlign w:val="center"/>
          </w:tcPr>
          <w:p>
            <w:pPr>
              <w:pStyle w:val="TableContents"/>
              <w:spacing w:before="0" w:after="283"/>
              <w:rPr>
                <w:b/>
                <w:sz w:val="20"/>
              </w:rPr>
            </w:pPr>
            <w:r>
              <w:rPr>
                <w:b/>
                <w:sz w:val="20"/>
              </w:rPr>
              <w:t>CERTAIN RELATIONSHIPS AND RELATED TRANSACTIONS, AND DIRECTOR INDEPENDENCE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issued to the representative or its designees, the placement units and securities underlying the placement units and assuming the initial stockholders do not purchase units in this offering). As of December 31, 2021, the Sponsor owned 9,487,500 shares of Class B common stock and 898,250 shares of Class A Common Stock. As the underwriters’ over-allotment option has been exercised in full, none of the Class B shares of Common Stock held by the Sponsor are subject to forfeiture.</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 Related Party</w:t>
      </w:r>
    </w:p>
    <w:p>
      <w:pPr>
        <w:pStyle w:val="TextBody"/>
        <w:spacing w:before="0" w:after="0"/>
        <w:ind w:left="0" w:right="0" w:firstLine="30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the Sponsor issued to us an unsecured promissory note, pursuant to which we may borrow up to an aggregate principal amount of $300,000, to be used for payment of costs related to the Initial Public Offering. The note is non-interest bearing and payable on the earlier of the consummation of the Initial Public Offering or the date on which we determine not to proceed with the Initial Public Offering. These amounts were paid out of the proceeds that had been allocated for the payment of offering expenses of the Initial Public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spacing w:before="0" w:after="0"/>
        <w:ind w:left="0" w:right="0" w:firstLine="30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 Business Combination, the Sponsor or an affiliate of the Sponsor, or our officers and directors may, but are not obligated to, loan us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Placement Units at a price of $10.00 per Unit. In the event that a Business Combination does not close, we may use a portion of proceeds held outside the Trust Account to repay the Working Capital Loans, but no proceeds held in the Trust Account would be used to repay the Working Capital Loans. As of December 31, 2021, there was no amount outstanding under any Working Capital Loan.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Arrangement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advisor has agreed, commencing from the date that our securities are first listed on NASDAQ through the earlier of our consummation of a Business Combination and its liquidation, to make available to us certain general and administrative services, including office space, utilities and administrative services, as we may require from time to time. We have agreed to pay the financial advisor $10,000 per month for these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payment to our financial advisor of $10,000 per month, for up to 15 months, for office space, utilities and secretarial and administrative support,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 of Ethics, which we adopted on December 15, 2021,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audit committee, pursuant to a written charter that we adopted on December 15, 2021,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adopted on December 13, 2021, is filed as an exhibit to the registration statement of which this prospectus is a part. We also require each of our directors and executive officers to complete a directors’ and officers’ questionnaire that elicits information about related party transactions.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procedures are intended to determine whether any such related party transaction impairs the independence of a director or presents a conflict of interest on the part of a director, employee or officer.</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our public offering held in the trust account prior to the completion of our initial business combination:</w:t>
      </w:r>
    </w:p>
    <w:p>
      <w:pPr>
        <w:pStyle w:val="TextBody"/>
        <w:spacing w:before="0" w:after="0"/>
        <w:ind w:left="0" w:right="0" w:firstLine="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Repayment of up to an aggregate of $300,000 in loans made to us by our Sponsor to cover offering-related and organizational expenses;</w:t>
            </w:r>
          </w:p>
        </w:tc>
      </w:tr>
    </w:tbl>
    <w:p>
      <w:pPr>
        <w:pStyle w:val="TextBody"/>
        <w:spacing w:before="0" w:after="0"/>
        <w:ind w:left="0" w:right="0" w:firstLine="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Payment to our financial advisor of $10,000 per month, for up to 15 months, for office space, utilities and secretarial and administrative support;</w:t>
            </w:r>
          </w:p>
        </w:tc>
      </w:tr>
    </w:tbl>
    <w:p>
      <w:pPr>
        <w:pStyle w:val="TextBody"/>
        <w:rPr/>
      </w:pPr>
      <w:r>
        <w:rPr/>
        <w:t> </w:t>
      </w:r>
    </w:p>
    <w:p>
      <w:pPr>
        <w:pStyle w:val="TextBody"/>
        <w:spacing w:before="0" w:after="0"/>
        <w:ind w:left="0" w:right="0" w:firstLine="48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firstLine="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Reimbursement for any out-of-pocket expenses related to identifying, investigating and completing an initial business combination;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Repayment of non-interest bearing loans which may be made by our Sponsor or an affiliate of our Sponsor or certain of our officers and directors to finance transaction costs in connection with an intended initial business combination, the terms of which (other than as described above) have not been determined nor have any written agreements been executed with respect thereto. Up to $1,500,000 of such loans may be convertible into units, at a price of $10.00 per unit at the option of the lender, upon consummation of our initial business combination. The units would be identical to the placement units.</w:t>
            </w:r>
          </w:p>
        </w:tc>
      </w:tr>
    </w:tbl>
    <w:p>
      <w:pPr>
        <w:pStyle w:val="TextBody"/>
        <w:spacing w:before="0" w:after="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review on a quarterly basis all payments that were made to our Sponsor, officers, directors or our or their affiliates.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standards require that a majority of our board of directors be independent. For a description of the director independence, see “— </w:t>
      </w:r>
      <w:r>
        <w:rPr>
          <w:rFonts w:ascii="Times New Roman;Times;Serif" w:hAnsi="Times New Roman;Times;Serif"/>
          <w:b w:val="false"/>
          <w:i/>
          <w:caps w:val="false"/>
          <w:smallCaps w:val="false"/>
          <w:sz w:val="20"/>
        </w:rPr>
        <w:t>Part III, Item 10 - Directors, Executive Officers and Corporate Governance”</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5470" w:type="dxa"/>
        <w:jc w:val="left"/>
        <w:tblInd w:w="0" w:type="dxa"/>
        <w:tblCellMar>
          <w:top w:w="0" w:type="dxa"/>
          <w:left w:w="0" w:type="dxa"/>
          <w:bottom w:w="0" w:type="dxa"/>
          <w:right w:w="0" w:type="dxa"/>
        </w:tblCellMar>
      </w:tblPr>
      <w:tblGrid>
        <w:gridCol w:w="75"/>
        <w:gridCol w:w="845"/>
        <w:gridCol w:w="4550"/>
      </w:tblGrid>
      <w:tr>
        <w:trPr/>
        <w:tc>
          <w:tcPr>
            <w:tcW w:w="75" w:type="dxa"/>
            <w:tcBorders/>
            <w:shd w:fill="auto" w:val="clear"/>
            <w:vAlign w:val="center"/>
          </w:tcPr>
          <w:p>
            <w:pPr>
              <w:pStyle w:val="TableContents"/>
              <w:spacing w:before="0" w:after="283"/>
              <w:rPr/>
            </w:pPr>
            <w:bookmarkStart w:id="24" w:name="C_004"/>
            <w:bookmarkEnd w:id="24"/>
            <w:r>
              <w:rPr/>
              <w:t> </w:t>
            </w:r>
          </w:p>
        </w:tc>
        <w:tc>
          <w:tcPr>
            <w:tcW w:w="845" w:type="dxa"/>
            <w:tcBorders/>
            <w:shd w:fill="auto" w:val="clear"/>
            <w:vAlign w:val="center"/>
          </w:tcPr>
          <w:p>
            <w:pPr>
              <w:pStyle w:val="TableContents"/>
              <w:spacing w:before="0" w:after="283"/>
              <w:rPr>
                <w:b/>
                <w:sz w:val="20"/>
              </w:rPr>
            </w:pPr>
            <w:r>
              <w:rPr>
                <w:b/>
                <w:sz w:val="20"/>
              </w:rPr>
              <w:t>ITEM 14</w:t>
            </w:r>
            <w:r>
              <w:rPr>
                <w:b/>
                <w:i/>
                <w:sz w:val="20"/>
              </w:rPr>
              <w:t>.</w:t>
            </w:r>
          </w:p>
        </w:tc>
        <w:tc>
          <w:tcPr>
            <w:tcW w:w="4550" w:type="dxa"/>
            <w:tcBorders/>
            <w:shd w:fill="auto" w:val="clear"/>
            <w:vAlign w:val="center"/>
          </w:tcPr>
          <w:p>
            <w:pPr>
              <w:pStyle w:val="TableContents"/>
              <w:spacing w:before="0" w:after="283"/>
              <w:jc w:val="both"/>
              <w:rPr>
                <w:b/>
                <w:sz w:val="20"/>
              </w:rPr>
            </w:pPr>
            <w:r>
              <w:rPr>
                <w:b/>
                <w:sz w:val="20"/>
              </w:rPr>
              <w:t>PRINCIPAL ACCOUNTANT FEES AND SERVICES.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fees paid or to be paid to Marcum, LLP, or Marcum, for services rendered.</w:t>
      </w:r>
    </w:p>
    <w:p>
      <w:pPr>
        <w:pStyle w:val="TextBody"/>
        <w:spacing w:before="0" w:after="0"/>
        <w:ind w:left="0" w:right="0" w:firstLine="36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Audit fees consist of fees for professional services rendered for the audit of our year-end financial statements and services that are normally provided by Marcum in connection with regulatory filings. The aggregate fees of Marcum for professional services rendered for the audit of our annual financial statements, review of the financial information included in our Forms 8-K for the respective periods and other required filings with the SEC for the period from March 2, 2021 (date of inception) to December 31, 2021 totaled approximately $66,014.72. The above amounts include interim procedures and audit fees, as well as attendance at audit committee meetings.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During the period from March 2, 2021 to December 31, 2021, we did not pay Marcum any audit-related fees. </w:t>
      </w:r>
    </w:p>
    <w:p>
      <w:pPr>
        <w:pStyle w:val="TextBody"/>
        <w:spacing w:before="0" w:after="0"/>
        <w:ind w:left="0" w:right="0" w:firstLine="36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We did not pay Marcum for tax return services, planning and tax advice for the period March 2, 2021 to December 31, 2021.</w:t>
      </w:r>
    </w:p>
    <w:p>
      <w:pPr>
        <w:pStyle w:val="TextBody"/>
        <w:spacing w:before="0" w:after="0"/>
        <w:ind w:left="0" w:right="0" w:firstLine="360"/>
        <w:rPr>
          <w:caps w:val="false"/>
          <w:smallCaps w:val="false"/>
        </w:rPr>
      </w:pPr>
      <w:r>
        <w:rPr>
          <w:caps w:val="false"/>
          <w:smallCaps w:val="false"/>
        </w:rPr>
        <w:t> </w:t>
      </w:r>
    </w:p>
    <w:p>
      <w:pPr>
        <w:pStyle w:val="TextBody"/>
        <w:shd w:fill="FFFFFF" w:val="clear"/>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Fees</w:t>
      </w:r>
      <w:r>
        <w:rPr>
          <w:rFonts w:ascii="Times New Roman;Times;Serif" w:hAnsi="Times New Roman;Times;Serif"/>
          <w:b w:val="false"/>
          <w:i w:val="false"/>
          <w:caps w:val="false"/>
          <w:smallCaps w:val="false"/>
          <w:sz w:val="20"/>
        </w:rPr>
        <w:t>. We did not pay Marcum for any other services for the period from March 2, 2021 to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spacing w:before="0" w:after="0"/>
        <w:ind w:left="0" w:right="0" w:firstLine="36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color w:val="010000"/>
          <w:sz w:val="20"/>
        </w:rPr>
      </w:pPr>
      <w:bookmarkStart w:id="25" w:name="C_005"/>
      <w:bookmarkEnd w:id="25"/>
      <w:r>
        <w:rPr>
          <w:rFonts w:ascii="Times New Roman;Times;Serif" w:hAnsi="Times New Roman;Times;Serif"/>
          <w:b/>
          <w:i w:val="false"/>
          <w:caps/>
          <w:color w:val="010000"/>
          <w:sz w:val="20"/>
        </w:rPr>
        <w:t>part IV</w:t>
      </w:r>
    </w:p>
    <w:p>
      <w:pPr>
        <w:pStyle w:val="TextBody"/>
        <w:spacing w:before="0" w:after="0"/>
        <w:ind w:left="0" w:right="0" w:hanging="0"/>
        <w:jc w:val="both"/>
        <w:rPr>
          <w:caps w:val="false"/>
          <w:smallCaps w:val="false"/>
        </w:rPr>
      </w:pPr>
      <w:r>
        <w:rPr>
          <w:caps w:val="false"/>
          <w:smallCaps w:val="false"/>
        </w:rPr>
        <w:t> </w:t>
      </w:r>
    </w:p>
    <w:tbl>
      <w:tblPr>
        <w:tblW w:w="7570" w:type="dxa"/>
        <w:jc w:val="left"/>
        <w:tblInd w:w="0" w:type="dxa"/>
        <w:tblCellMar>
          <w:top w:w="0" w:type="dxa"/>
          <w:left w:w="0" w:type="dxa"/>
          <w:bottom w:w="0" w:type="dxa"/>
          <w:right w:w="0" w:type="dxa"/>
        </w:tblCellMar>
      </w:tblPr>
      <w:tblGrid>
        <w:gridCol w:w="75"/>
        <w:gridCol w:w="845"/>
        <w:gridCol w:w="6650"/>
      </w:tblGrid>
      <w:tr>
        <w:trPr/>
        <w:tc>
          <w:tcPr>
            <w:tcW w:w="75" w:type="dxa"/>
            <w:tcBorders/>
            <w:shd w:fill="auto" w:val="clear"/>
            <w:vAlign w:val="center"/>
          </w:tcPr>
          <w:p>
            <w:pPr>
              <w:pStyle w:val="TableContents"/>
              <w:spacing w:before="0" w:after="283"/>
              <w:rPr/>
            </w:pPr>
            <w:bookmarkStart w:id="26" w:name="C_006"/>
            <w:bookmarkEnd w:id="26"/>
            <w:r>
              <w:rPr/>
              <w:t> </w:t>
            </w:r>
          </w:p>
        </w:tc>
        <w:tc>
          <w:tcPr>
            <w:tcW w:w="845" w:type="dxa"/>
            <w:tcBorders/>
            <w:shd w:fill="auto" w:val="clear"/>
            <w:vAlign w:val="center"/>
          </w:tcPr>
          <w:p>
            <w:pPr>
              <w:pStyle w:val="TableContents"/>
              <w:spacing w:before="0" w:after="283"/>
              <w:rPr>
                <w:b/>
                <w:sz w:val="20"/>
              </w:rPr>
            </w:pPr>
            <w:r>
              <w:rPr>
                <w:b/>
                <w:sz w:val="20"/>
              </w:rPr>
              <w:t>ITEM 15</w:t>
            </w:r>
            <w:r>
              <w:rPr>
                <w:b/>
                <w:i/>
                <w:sz w:val="20"/>
              </w:rPr>
              <w:t>.</w:t>
            </w:r>
          </w:p>
        </w:tc>
        <w:tc>
          <w:tcPr>
            <w:tcW w:w="6650" w:type="dxa"/>
            <w:tcBorders/>
            <w:shd w:fill="auto" w:val="clear"/>
            <w:vAlign w:val="center"/>
          </w:tcPr>
          <w:p>
            <w:pPr>
              <w:pStyle w:val="TableContents"/>
              <w:spacing w:before="0" w:after="283"/>
              <w:jc w:val="both"/>
              <w:rPr>
                <w:b/>
                <w:sz w:val="20"/>
              </w:rPr>
            </w:pPr>
            <w:r>
              <w:rPr>
                <w:b/>
                <w:sz w:val="20"/>
              </w:rPr>
              <w:t>EXHIBITS AND CONSOLIDATED FINANCIAL STATEMENT SCHEDULES</w:t>
            </w:r>
          </w:p>
        </w:tc>
      </w:tr>
    </w:tbl>
    <w:p>
      <w:pPr>
        <w:pStyle w:val="TextBody"/>
        <w:spacing w:before="0" w:after="0"/>
        <w:ind w:left="0" w:right="0" w:hanging="0"/>
        <w:jc w:val="both"/>
        <w:rPr>
          <w:caps w:val="false"/>
          <w:smallCaps w:val="false"/>
        </w:rPr>
      </w:pPr>
      <w:r>
        <w:rPr>
          <w:caps w:val="false"/>
          <w:smallCaps w:val="false"/>
        </w:rPr>
        <w:t> </w:t>
      </w:r>
    </w:p>
    <w:tbl>
      <w:tblPr>
        <w:tblW w:w="5230" w:type="dxa"/>
        <w:jc w:val="left"/>
        <w:tblInd w:w="0" w:type="dxa"/>
        <w:tblCellMar>
          <w:top w:w="0" w:type="dxa"/>
          <w:left w:w="0" w:type="dxa"/>
          <w:bottom w:w="0" w:type="dxa"/>
          <w:right w:w="0" w:type="dxa"/>
        </w:tblCellMar>
      </w:tblPr>
      <w:tblGrid>
        <w:gridCol w:w="75"/>
        <w:gridCol w:w="230"/>
        <w:gridCol w:w="49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sz w:val="20"/>
              </w:rPr>
            </w:pPr>
            <w:r>
              <w:rPr>
                <w:sz w:val="20"/>
              </w:rPr>
              <w:t>(a)</w:t>
            </w:r>
          </w:p>
        </w:tc>
        <w:tc>
          <w:tcPr>
            <w:tcW w:w="4925" w:type="dxa"/>
            <w:tcBorders/>
            <w:shd w:fill="auto" w:val="clear"/>
            <w:vAlign w:val="center"/>
          </w:tcPr>
          <w:p>
            <w:pPr>
              <w:pStyle w:val="TableContents"/>
              <w:spacing w:before="0" w:after="283"/>
              <w:rPr>
                <w:sz w:val="20"/>
              </w:rPr>
            </w:pPr>
            <w:r>
              <w:rPr>
                <w:sz w:val="20"/>
              </w:rPr>
              <w:t>The following documents are filed as part of this Form 10-K:</w:t>
            </w:r>
          </w:p>
        </w:tc>
      </w:tr>
    </w:tbl>
    <w:p>
      <w:pPr>
        <w:pStyle w:val="TextBody"/>
        <w:spacing w:before="0" w:after="0"/>
        <w:ind w:left="0" w:right="0" w:hanging="0"/>
        <w:rPr>
          <w:caps w:val="false"/>
          <w:smallCaps w:val="false"/>
          <w:color w:val="FFFFFF"/>
        </w:rPr>
      </w:pPr>
      <w:r>
        <w:rPr>
          <w:caps w:val="false"/>
          <w:smallCaps w:val="false"/>
          <w:color w:val="FFFFFF"/>
        </w:rPr>
        <w:t> </w:t>
      </w:r>
    </w:p>
    <w:tbl>
      <w:tblPr>
        <w:tblW w:w="3250" w:type="dxa"/>
        <w:jc w:val="left"/>
        <w:tblInd w:w="0" w:type="dxa"/>
        <w:tblCellMar>
          <w:top w:w="0" w:type="dxa"/>
          <w:left w:w="0" w:type="dxa"/>
          <w:bottom w:w="0" w:type="dxa"/>
          <w:right w:w="0" w:type="dxa"/>
        </w:tblCellMar>
      </w:tblPr>
      <w:tblGrid>
        <w:gridCol w:w="75"/>
        <w:gridCol w:w="245"/>
        <w:gridCol w:w="293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sz w:val="20"/>
              </w:rPr>
            </w:pPr>
            <w:r>
              <w:rPr>
                <w:sz w:val="20"/>
              </w:rPr>
              <w:t>(1)</w:t>
            </w:r>
          </w:p>
        </w:tc>
        <w:tc>
          <w:tcPr>
            <w:tcW w:w="2930" w:type="dxa"/>
            <w:tcBorders/>
            <w:shd w:fill="auto" w:val="clear"/>
            <w:vAlign w:val="center"/>
          </w:tcPr>
          <w:p>
            <w:pPr>
              <w:pStyle w:val="TableContents"/>
              <w:spacing w:before="0" w:after="283"/>
              <w:rPr>
                <w:sz w:val="20"/>
              </w:rPr>
            </w:pPr>
            <w:r>
              <w:rPr>
                <w:sz w:val="20"/>
              </w:rPr>
              <w:t>Consolidated Financial Statements:</w:t>
            </w:r>
          </w:p>
        </w:tc>
      </w:tr>
    </w:tbl>
    <w:p>
      <w:pPr>
        <w:pStyle w:val="TextBody"/>
        <w:spacing w:before="0" w:after="0"/>
        <w:ind w:left="0" w:right="0" w:hanging="0"/>
        <w:rPr>
          <w:caps w:val="false"/>
          <w:smallCaps w:val="false"/>
          <w:color w:val="FFFFFF"/>
        </w:rPr>
      </w:pPr>
      <w:r>
        <w:rPr>
          <w:caps w:val="false"/>
          <w:smallCaps w:val="false"/>
          <w:color w:val="FFFFFF"/>
        </w:rPr>
        <w:t> </w:t>
      </w:r>
    </w:p>
    <w:tbl>
      <w:tblPr>
        <w:tblW w:w="5200" w:type="dxa"/>
        <w:jc w:val="left"/>
        <w:tblInd w:w="0" w:type="dxa"/>
        <w:tblCellMar>
          <w:top w:w="0" w:type="dxa"/>
          <w:left w:w="0" w:type="dxa"/>
          <w:bottom w:w="0" w:type="dxa"/>
          <w:right w:w="0" w:type="dxa"/>
        </w:tblCellMar>
      </w:tblPr>
      <w:tblGrid>
        <w:gridCol w:w="4775"/>
        <w:gridCol w:w="425"/>
      </w:tblGrid>
      <w:tr>
        <w:trPr/>
        <w:tc>
          <w:tcPr>
            <w:tcW w:w="4775"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sz w:val="20"/>
              </w:rPr>
            </w:pPr>
            <w:r>
              <w:rPr>
                <w:sz w:val="20"/>
              </w:rPr>
              <w:t>Page</w:t>
            </w:r>
          </w:p>
        </w:tc>
      </w:tr>
      <w:tr>
        <w:trPr/>
        <w:tc>
          <w:tcPr>
            <w:tcW w:w="4775" w:type="dxa"/>
            <w:tcBorders/>
            <w:shd w:fill="CCEEFF" w:val="clear"/>
            <w:vAlign w:val="center"/>
          </w:tcPr>
          <w:p>
            <w:pPr>
              <w:pStyle w:val="TableContents"/>
              <w:spacing w:before="0" w:after="283"/>
              <w:rPr/>
            </w:pPr>
            <w:hyperlink w:anchor="sn_001">
              <w:r>
                <w:rPr>
                  <w:rStyle w:val="InternetLink"/>
                  <w:sz w:val="20"/>
                </w:rPr>
                <w:t>Report of Independent Registered Public Accounting Firm</w:t>
              </w:r>
            </w:hyperlink>
          </w:p>
        </w:tc>
        <w:tc>
          <w:tcPr>
            <w:tcW w:w="425" w:type="dxa"/>
            <w:tcBorders/>
            <w:shd w:fill="CCEEFF" w:val="clear"/>
            <w:vAlign w:val="center"/>
          </w:tcPr>
          <w:p>
            <w:pPr>
              <w:pStyle w:val="TableContents"/>
              <w:spacing w:before="0" w:after="283"/>
              <w:jc w:val="center"/>
              <w:rPr/>
            </w:pPr>
            <w:hyperlink w:anchor="sn_001">
              <w:r>
                <w:rPr>
                  <w:rStyle w:val="InternetLink"/>
                  <w:sz w:val="20"/>
                </w:rPr>
                <w:t>F-2</w:t>
              </w:r>
            </w:hyperlink>
          </w:p>
        </w:tc>
      </w:tr>
      <w:tr>
        <w:trPr/>
        <w:tc>
          <w:tcPr>
            <w:tcW w:w="4775" w:type="dxa"/>
            <w:tcBorders/>
            <w:shd w:fill="FFFFFF" w:val="clear"/>
            <w:vAlign w:val="center"/>
          </w:tcPr>
          <w:p>
            <w:pPr>
              <w:pStyle w:val="TableContents"/>
              <w:spacing w:before="0" w:after="283"/>
              <w:rPr/>
            </w:pPr>
            <w:hyperlink w:anchor="sn_002">
              <w:r>
                <w:rPr>
                  <w:rStyle w:val="InternetLink"/>
                  <w:sz w:val="20"/>
                </w:rPr>
                <w:t>Balance Sheet</w:t>
              </w:r>
            </w:hyperlink>
          </w:p>
        </w:tc>
        <w:tc>
          <w:tcPr>
            <w:tcW w:w="425" w:type="dxa"/>
            <w:tcBorders/>
            <w:shd w:fill="FFFFFF" w:val="clear"/>
            <w:vAlign w:val="center"/>
          </w:tcPr>
          <w:p>
            <w:pPr>
              <w:pStyle w:val="TableContents"/>
              <w:spacing w:before="0" w:after="283"/>
              <w:jc w:val="center"/>
              <w:rPr/>
            </w:pPr>
            <w:hyperlink w:anchor="sn_002">
              <w:r>
                <w:rPr>
                  <w:rStyle w:val="InternetLink"/>
                  <w:sz w:val="20"/>
                </w:rPr>
                <w:t>F-3</w:t>
              </w:r>
            </w:hyperlink>
          </w:p>
        </w:tc>
      </w:tr>
      <w:tr>
        <w:trPr/>
        <w:tc>
          <w:tcPr>
            <w:tcW w:w="4775" w:type="dxa"/>
            <w:tcBorders/>
            <w:shd w:fill="CCEEFF" w:val="clear"/>
            <w:vAlign w:val="center"/>
          </w:tcPr>
          <w:p>
            <w:pPr>
              <w:pStyle w:val="TableContents"/>
              <w:spacing w:before="0" w:after="283"/>
              <w:rPr/>
            </w:pPr>
            <w:hyperlink w:anchor="sn_003">
              <w:r>
                <w:rPr>
                  <w:rStyle w:val="InternetLink"/>
                  <w:sz w:val="20"/>
                </w:rPr>
                <w:t>Statement of Operations</w:t>
              </w:r>
            </w:hyperlink>
          </w:p>
        </w:tc>
        <w:tc>
          <w:tcPr>
            <w:tcW w:w="425" w:type="dxa"/>
            <w:tcBorders/>
            <w:shd w:fill="CCEEFF" w:val="clear"/>
            <w:vAlign w:val="center"/>
          </w:tcPr>
          <w:p>
            <w:pPr>
              <w:pStyle w:val="TableContents"/>
              <w:spacing w:before="0" w:after="283"/>
              <w:jc w:val="center"/>
              <w:rPr/>
            </w:pPr>
            <w:hyperlink w:anchor="sn_003">
              <w:r>
                <w:rPr>
                  <w:rStyle w:val="InternetLink"/>
                  <w:sz w:val="20"/>
                </w:rPr>
                <w:t>F-4</w:t>
              </w:r>
            </w:hyperlink>
          </w:p>
        </w:tc>
      </w:tr>
      <w:tr>
        <w:trPr/>
        <w:tc>
          <w:tcPr>
            <w:tcW w:w="4775" w:type="dxa"/>
            <w:tcBorders/>
            <w:shd w:fill="FFFFFF" w:val="clear"/>
            <w:vAlign w:val="center"/>
          </w:tcPr>
          <w:p>
            <w:pPr>
              <w:pStyle w:val="TableContents"/>
              <w:spacing w:before="0" w:after="283"/>
              <w:rPr/>
            </w:pPr>
            <w:hyperlink w:anchor="sn_004">
              <w:r>
                <w:rPr>
                  <w:rStyle w:val="InternetLink"/>
                  <w:sz w:val="20"/>
                </w:rPr>
                <w:t>Statement of Changes in Stockholders’ Deficit</w:t>
              </w:r>
            </w:hyperlink>
          </w:p>
        </w:tc>
        <w:tc>
          <w:tcPr>
            <w:tcW w:w="425" w:type="dxa"/>
            <w:tcBorders/>
            <w:shd w:fill="FFFFFF" w:val="clear"/>
            <w:vAlign w:val="center"/>
          </w:tcPr>
          <w:p>
            <w:pPr>
              <w:pStyle w:val="TableContents"/>
              <w:spacing w:before="0" w:after="283"/>
              <w:jc w:val="center"/>
              <w:rPr/>
            </w:pPr>
            <w:hyperlink w:anchor="sn_004">
              <w:r>
                <w:rPr>
                  <w:rStyle w:val="InternetLink"/>
                  <w:sz w:val="20"/>
                </w:rPr>
                <w:t>F-5</w:t>
              </w:r>
            </w:hyperlink>
          </w:p>
        </w:tc>
      </w:tr>
      <w:tr>
        <w:trPr/>
        <w:tc>
          <w:tcPr>
            <w:tcW w:w="4775" w:type="dxa"/>
            <w:tcBorders/>
            <w:shd w:fill="CCEEFF" w:val="clear"/>
            <w:vAlign w:val="center"/>
          </w:tcPr>
          <w:p>
            <w:pPr>
              <w:pStyle w:val="TableContents"/>
              <w:spacing w:before="0" w:after="283"/>
              <w:rPr/>
            </w:pPr>
            <w:hyperlink w:anchor="sn_005">
              <w:r>
                <w:rPr>
                  <w:rStyle w:val="InternetLink"/>
                  <w:sz w:val="20"/>
                </w:rPr>
                <w:t>Statement of Cash Flows</w:t>
              </w:r>
            </w:hyperlink>
          </w:p>
        </w:tc>
        <w:tc>
          <w:tcPr>
            <w:tcW w:w="425" w:type="dxa"/>
            <w:tcBorders/>
            <w:shd w:fill="CCEEFF" w:val="clear"/>
            <w:vAlign w:val="center"/>
          </w:tcPr>
          <w:p>
            <w:pPr>
              <w:pStyle w:val="TableContents"/>
              <w:spacing w:before="0" w:after="283"/>
              <w:jc w:val="center"/>
              <w:rPr/>
            </w:pPr>
            <w:hyperlink w:anchor="sn_005">
              <w:r>
                <w:rPr>
                  <w:rStyle w:val="InternetLink"/>
                  <w:sz w:val="20"/>
                </w:rPr>
                <w:t>F-6</w:t>
              </w:r>
            </w:hyperlink>
          </w:p>
        </w:tc>
      </w:tr>
      <w:tr>
        <w:trPr/>
        <w:tc>
          <w:tcPr>
            <w:tcW w:w="4775" w:type="dxa"/>
            <w:tcBorders/>
            <w:shd w:fill="FFFFFF" w:val="clear"/>
            <w:vAlign w:val="center"/>
          </w:tcPr>
          <w:p>
            <w:pPr>
              <w:pStyle w:val="TableContents"/>
              <w:spacing w:before="0" w:after="283"/>
              <w:rPr/>
            </w:pPr>
            <w:hyperlink w:anchor="sn_006">
              <w:r>
                <w:rPr>
                  <w:rStyle w:val="InternetLink"/>
                  <w:sz w:val="20"/>
                </w:rPr>
                <w:t>Notes to Financial Statements</w:t>
              </w:r>
            </w:hyperlink>
          </w:p>
        </w:tc>
        <w:tc>
          <w:tcPr>
            <w:tcW w:w="425" w:type="dxa"/>
            <w:tcBorders/>
            <w:shd w:fill="FFFFFF" w:val="clear"/>
            <w:vAlign w:val="center"/>
          </w:tcPr>
          <w:p>
            <w:pPr>
              <w:pStyle w:val="TableContents"/>
              <w:spacing w:before="0" w:after="283"/>
              <w:jc w:val="center"/>
              <w:rPr/>
            </w:pPr>
            <w:hyperlink w:anchor="sn_006">
              <w:r>
                <w:rPr>
                  <w:rStyle w:val="InternetLink"/>
                  <w:sz w:val="20"/>
                </w:rPr>
                <w:t>F-7</w:t>
              </w:r>
            </w:hyperlink>
          </w:p>
        </w:tc>
      </w:tr>
    </w:tbl>
    <w:p>
      <w:pPr>
        <w:pStyle w:val="TextBody"/>
        <w:spacing w:before="0" w:after="0"/>
        <w:ind w:left="0" w:right="0" w:hanging="0"/>
        <w:rPr>
          <w:caps w:val="false"/>
          <w:smallCaps w:val="false"/>
        </w:rPr>
      </w:pPr>
      <w:r>
        <w:rPr>
          <w:caps w:val="false"/>
          <w:smallCaps w:val="false"/>
        </w:rPr>
        <w:t> </w:t>
      </w:r>
    </w:p>
    <w:tbl>
      <w:tblPr>
        <w:tblW w:w="4045" w:type="dxa"/>
        <w:jc w:val="left"/>
        <w:tblInd w:w="0" w:type="dxa"/>
        <w:tblCellMar>
          <w:top w:w="0" w:type="dxa"/>
          <w:left w:w="0" w:type="dxa"/>
          <w:bottom w:w="0" w:type="dxa"/>
          <w:right w:w="0" w:type="dxa"/>
        </w:tblCellMar>
      </w:tblPr>
      <w:tblGrid>
        <w:gridCol w:w="75"/>
        <w:gridCol w:w="245"/>
        <w:gridCol w:w="372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sz w:val="20"/>
              </w:rPr>
            </w:pPr>
            <w:r>
              <w:rPr>
                <w:sz w:val="20"/>
              </w:rPr>
              <w:t>(2)</w:t>
            </w:r>
          </w:p>
        </w:tc>
        <w:tc>
          <w:tcPr>
            <w:tcW w:w="3725" w:type="dxa"/>
            <w:tcBorders/>
            <w:shd w:fill="auto" w:val="clear"/>
            <w:vAlign w:val="center"/>
          </w:tcPr>
          <w:p>
            <w:pPr>
              <w:pStyle w:val="TableContents"/>
              <w:spacing w:before="0" w:after="283"/>
              <w:rPr>
                <w:sz w:val="20"/>
              </w:rPr>
            </w:pPr>
            <w:r>
              <w:rPr>
                <w:sz w:val="20"/>
              </w:rPr>
              <w:t>Consolidated Financial Statement Schedules:</w:t>
            </w:r>
          </w:p>
        </w:tc>
      </w:tr>
    </w:tbl>
    <w:p>
      <w:pPr>
        <w:pStyle w:val="TextBody"/>
        <w:spacing w:before="0" w:after="0"/>
        <w:ind w:left="0" w:right="0" w:hanging="0"/>
        <w:rPr>
          <w:caps w:val="false"/>
          <w:smallCaps w:val="false"/>
          <w:color w:val="FFFFFF"/>
        </w:rPr>
      </w:pPr>
      <w:r>
        <w:rPr>
          <w:caps w:val="false"/>
          <w:smallCaps w:val="false"/>
          <w:color w:val="FFFFFF"/>
        </w:rPr>
        <w:t> </w:t>
      </w:r>
    </w:p>
    <w:p>
      <w:pPr>
        <w:pStyle w:val="TextBody"/>
        <w:spacing w:before="0" w:after="0"/>
        <w:ind w:left="0" w:right="0" w:firstLine="10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tbl>
      <w:tblPr>
        <w:tblW w:w="1045" w:type="dxa"/>
        <w:jc w:val="left"/>
        <w:tblInd w:w="0" w:type="dxa"/>
        <w:tblCellMar>
          <w:top w:w="0" w:type="dxa"/>
          <w:left w:w="0" w:type="dxa"/>
          <w:bottom w:w="0" w:type="dxa"/>
          <w:right w:w="0" w:type="dxa"/>
        </w:tblCellMar>
      </w:tblPr>
      <w:tblGrid>
        <w:gridCol w:w="75"/>
        <w:gridCol w:w="245"/>
        <w:gridCol w:w="72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sz w:val="20"/>
              </w:rPr>
            </w:pPr>
            <w:r>
              <w:rPr>
                <w:sz w:val="20"/>
              </w:rPr>
              <w:t>(3)</w:t>
            </w:r>
          </w:p>
        </w:tc>
        <w:tc>
          <w:tcPr>
            <w:tcW w:w="725" w:type="dxa"/>
            <w:tcBorders/>
            <w:shd w:fill="auto" w:val="clear"/>
            <w:vAlign w:val="center"/>
          </w:tcPr>
          <w:p>
            <w:pPr>
              <w:pStyle w:val="TableContents"/>
              <w:spacing w:before="0" w:after="283"/>
              <w:rPr>
                <w:sz w:val="20"/>
              </w:rPr>
            </w:pPr>
            <w:r>
              <w:rPr>
                <w:sz w:val="20"/>
              </w:rPr>
              <w:t>Exhibits</w:t>
            </w:r>
          </w:p>
        </w:tc>
      </w:tr>
    </w:tbl>
    <w:p>
      <w:pPr>
        <w:pStyle w:val="TextBody"/>
        <w:spacing w:before="0" w:after="0"/>
        <w:ind w:left="0" w:right="0" w:hanging="0"/>
        <w:rPr>
          <w:caps w:val="false"/>
          <w:smallCaps w:val="false"/>
          <w:color w:val="FFFFFF"/>
        </w:rPr>
      </w:pPr>
      <w:r>
        <w:rPr>
          <w:caps w:val="false"/>
          <w:smallCaps w:val="false"/>
          <w:color w:val="FFFFFF"/>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report. Exhibits which are incorporated herein by reference can be obtained from the SEC’s website at sec.gov.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020" w:type="dxa"/>
        <w:jc w:val="left"/>
        <w:tblInd w:w="0" w:type="dxa"/>
        <w:tblCellMar>
          <w:top w:w="0" w:type="dxa"/>
          <w:left w:w="0" w:type="dxa"/>
          <w:bottom w:w="28" w:type="dxa"/>
          <w:right w:w="0" w:type="dxa"/>
        </w:tblCellMar>
      </w:tblPr>
      <w:tblGrid>
        <w:gridCol w:w="980"/>
        <w:gridCol w:w="60"/>
        <w:gridCol w:w="980"/>
      </w:tblGrid>
      <w:tr>
        <w:trPr/>
        <w:tc>
          <w:tcPr>
            <w:tcW w:w="980" w:type="dxa"/>
            <w:tcBorders>
              <w:bottom w:val="single" w:sz="8" w:space="0" w:color="000000"/>
            </w:tcBorders>
            <w:shd w:fill="auto" w:val="clear"/>
            <w:vAlign w:val="center"/>
          </w:tcPr>
          <w:p>
            <w:pPr>
              <w:pStyle w:val="TableContents"/>
              <w:spacing w:before="0" w:after="283"/>
              <w:rPr>
                <w:sz w:val="20"/>
              </w:rPr>
            </w:pPr>
            <w:r>
              <w:rPr>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80" w:type="dxa"/>
            <w:tcBorders>
              <w:bottom w:val="single" w:sz="8" w:space="0" w:color="000000"/>
            </w:tcBorders>
            <w:shd w:fill="auto" w:val="clear"/>
            <w:vAlign w:val="center"/>
          </w:tcPr>
          <w:p>
            <w:pPr>
              <w:pStyle w:val="TableContents"/>
              <w:spacing w:before="0" w:after="283"/>
              <w:rPr>
                <w:sz w:val="20"/>
              </w:rPr>
            </w:pPr>
            <w:r>
              <w:rPr>
                <w:sz w:val="20"/>
              </w:rPr>
              <w:t>Description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108" w:type="dxa"/>
          <w:bottom w:w="28" w:type="dxa"/>
          <w:right w:w="108" w:type="dxa"/>
        </w:tblCellMar>
      </w:tblPr>
      <w:tblGrid>
        <w:gridCol w:w="433"/>
        <w:gridCol w:w="9772"/>
      </w:tblGrid>
      <w:tr>
        <w:trPr/>
        <w:tc>
          <w:tcPr>
            <w:tcW w:w="433"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pPr>
            <w:hyperlink r:id="rId2">
              <w:r>
                <w:rPr>
                  <w:rStyle w:val="InternetLink"/>
                  <w:sz w:val="20"/>
                </w:rPr>
                <w:t>1.1</w:t>
              </w:r>
            </w:hyperlink>
          </w:p>
        </w:tc>
        <w:tc>
          <w:tcPr>
            <w:tcW w:w="9772"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both"/>
              <w:rPr/>
            </w:pPr>
            <w:hyperlink r:id="rId3">
              <w:r>
                <w:rPr>
                  <w:rStyle w:val="InternetLink"/>
                  <w:sz w:val="20"/>
                </w:rPr>
                <w:t>Underwriting Agreement, dated December 10, 2021, by and among the Company and EF Hutton, division of Benchmark Investments, LLC, as representative of the several underwriters (incorporated by reference to Exhibit 1.1 filed with the Form 8-K filed by the Registrant on December 16,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4">
              <w:r>
                <w:rPr>
                  <w:rStyle w:val="InternetLink"/>
                  <w:sz w:val="20"/>
                </w:rPr>
                <w:t>3.1</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5">
              <w:r>
                <w:rPr>
                  <w:rStyle w:val="InternetLink"/>
                  <w:sz w:val="20"/>
                </w:rPr>
                <w:t>Second Amended and Restated Certificate of Incorporation (incorporated by reference to Exhibit 3.1 filed with the Form 8-K filed by the Registrant on December 16,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6">
              <w:r>
                <w:rPr>
                  <w:rStyle w:val="InternetLink"/>
                  <w:sz w:val="20"/>
                </w:rPr>
                <w:t>3.2</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7">
              <w:r>
                <w:rPr>
                  <w:rStyle w:val="InternetLink"/>
                  <w:sz w:val="20"/>
                </w:rPr>
                <w:t>Bylaws (incorporated by reference to Exhibit 3.3 filed with the Form S-1/A filed by the Registrant on August 19,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8">
              <w:r>
                <w:rPr>
                  <w:rStyle w:val="InternetLink"/>
                  <w:sz w:val="20"/>
                </w:rPr>
                <w:t>4.1</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9">
              <w:r>
                <w:rPr>
                  <w:rStyle w:val="InternetLink"/>
                  <w:sz w:val="20"/>
                </w:rPr>
                <w:t>Specimen Unit Certificate (incorporated by reference to Exhibit 4.1 filed with the Form S-1/A filed by the Registrant on November 19,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10">
              <w:r>
                <w:rPr>
                  <w:rStyle w:val="InternetLink"/>
                  <w:sz w:val="20"/>
                </w:rPr>
                <w:t>4.2</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11">
              <w:r>
                <w:rPr>
                  <w:rStyle w:val="InternetLink"/>
                  <w:sz w:val="20"/>
                </w:rPr>
                <w:t>Specimen Class A Common Stock Certificate (incorporated by reference to Exhibit 4.2 filed with the Form S-1/A filed by the Registrant on November 19,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12">
              <w:r>
                <w:rPr>
                  <w:rStyle w:val="InternetLink"/>
                  <w:sz w:val="20"/>
                </w:rPr>
                <w:t>4.3</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13">
              <w:r>
                <w:rPr>
                  <w:rStyle w:val="InternetLink"/>
                  <w:sz w:val="20"/>
                </w:rPr>
                <w:t>Specimen Warrant Certificate (incorporated by reference to Exhibit 4.3 filed with the Form S-1/A filed by the Registrant on November 19,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14">
              <w:r>
                <w:rPr>
                  <w:rStyle w:val="InternetLink"/>
                  <w:sz w:val="20"/>
                </w:rPr>
                <w:t>4.4</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15">
              <w:r>
                <w:rPr>
                  <w:rStyle w:val="InternetLink"/>
                  <w:sz w:val="20"/>
                </w:rPr>
                <w:t>Warrant Agreement, dated December 10, 2021, by and between the Company and Continental Stock Transfer &amp; Trust Company, LLC (incorporated by reference to Exhibit 4.1 filed with the Form 8-K filed by the Registrant on December 16,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w:anchor="tm2210770d1_ex4-5.htm">
              <w:r>
                <w:rPr>
                  <w:rStyle w:val="InternetLink"/>
                  <w:sz w:val="20"/>
                </w:rPr>
                <w:t>4.5*</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w:anchor="tm2210770d1_ex4-5.htm">
              <w:r>
                <w:rPr>
                  <w:rStyle w:val="InternetLink"/>
                  <w:sz w:val="20"/>
                </w:rPr>
                <w:t>Description of Securities</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16">
              <w:r>
                <w:rPr>
                  <w:rStyle w:val="InternetLink"/>
                  <w:sz w:val="20"/>
                </w:rPr>
                <w:t>10.1</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17">
              <w:r>
                <w:rPr>
                  <w:rStyle w:val="InternetLink"/>
                  <w:sz w:val="20"/>
                </w:rPr>
                <w:t>Promissory Note, dated May 21, 2021, issued to BurTech LP  LLC (incorporated by reference to Exhibit 10.2 filed with the Form S-1 filed by the Registrant on August 19 ,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18">
              <w:r>
                <w:rPr>
                  <w:rStyle w:val="InternetLink"/>
                  <w:sz w:val="20"/>
                </w:rPr>
                <w:t>10.2</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19">
              <w:r>
                <w:rPr>
                  <w:rStyle w:val="InternetLink"/>
                  <w:sz w:val="20"/>
                </w:rPr>
                <w:t>Subscription Agreement, dated May 21, 2021, between the Registrant and BurTech Capital Holdings LLC (incorporated by reference to Exhibit 10.5 filed with the Form S-1 filed by the Registrant on August 19,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20">
              <w:r>
                <w:rPr>
                  <w:rStyle w:val="InternetLink"/>
                  <w:sz w:val="20"/>
                </w:rPr>
                <w:t>10.3</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21">
              <w:r>
                <w:rPr>
                  <w:rStyle w:val="InternetLink"/>
                  <w:sz w:val="20"/>
                </w:rPr>
                <w:t>Letter Agreement, dated December 10, 2021, by and among the Company, its officers and directors, the Sponsor and certain other stockholders party thereto (incorporated by reference to Exhibit 10.1 filed with the Form 8-K filed by the Registrant on December 16,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22">
              <w:r>
                <w:rPr>
                  <w:rStyle w:val="InternetLink"/>
                  <w:sz w:val="20"/>
                </w:rPr>
                <w:t>10.4</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23">
              <w:r>
                <w:rPr>
                  <w:rStyle w:val="InternetLink"/>
                  <w:sz w:val="20"/>
                </w:rPr>
                <w:t>Investment Management Trust Agreement, dated December 10, 2021, by and between the Company and Continental Stock Transfer &amp; Trust Company (incorporated by reference to Exhibit 10.2 filed with the Form 8-K filed by the Registrant on December 10,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24">
              <w:r>
                <w:rPr>
                  <w:rStyle w:val="InternetLink"/>
                  <w:sz w:val="20"/>
                </w:rPr>
                <w:t>10.5</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25">
              <w:r>
                <w:rPr>
                  <w:rStyle w:val="InternetLink"/>
                  <w:sz w:val="20"/>
                </w:rPr>
                <w:t>Registration Rights Agreement, dated December 10, 2021, by and among the Company, the Sponsor, and certain other stockholders party thereto (incorporated by reference to Exhibit 10.3 filed with the Form 8-K filed by the Registrant on December 10,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26">
              <w:r>
                <w:rPr>
                  <w:rStyle w:val="InternetLink"/>
                  <w:sz w:val="20"/>
                </w:rPr>
                <w:t>10.6</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27">
              <w:r>
                <w:rPr>
                  <w:rStyle w:val="InternetLink"/>
                </w:rPr>
                <w:t>Administrative Support Agreement, dated December 10, 2021, by and between the Company and BurTech LP, LLC (incorporated by reference to Exhibit 10.4 filed with the Form 8-K filed by the Registrant on J December 10,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28">
              <w:r>
                <w:rPr>
                  <w:rStyle w:val="InternetLink"/>
                  <w:sz w:val="20"/>
                </w:rPr>
                <w:t>10.7</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29">
              <w:r>
                <w:rPr>
                  <w:rStyle w:val="InternetLink"/>
                </w:rPr>
                <w:t>Form of Indemnity Agreement, dated December 10, 2021, by and between the Company and each of its officers and directors (incorporated by reference to Exhibit 10.5 filed with the Form 8-K filed by the Registrant on December 10,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30">
              <w:r>
                <w:rPr>
                  <w:rStyle w:val="InternetLink"/>
                  <w:sz w:val="20"/>
                </w:rPr>
                <w:t>10.8</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31">
              <w:r>
                <w:rPr>
                  <w:rStyle w:val="InternetLink"/>
                </w:rPr>
                <w:t>Private Placement Unit Subscription Agreement, dated December 10, 2021, by and between the Company and the Sponsor (incorporated by reference to Exhibit 10.6 filed with the Form 8-K filed by the Registrant on December 10, 2021).</w:t>
              </w:r>
            </w:hyperlink>
            <w:r>
              <w:rPr/>
              <w:t xml:space="preserve">  </w:t>
            </w:r>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r:id="rId32">
              <w:r>
                <w:rPr>
                  <w:rStyle w:val="InternetLink"/>
                  <w:sz w:val="20"/>
                </w:rPr>
                <w:t>14.1</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r:id="rId33">
              <w:r>
                <w:rPr>
                  <w:rStyle w:val="InternetLink"/>
                  <w:sz w:val="20"/>
                </w:rPr>
                <w:t>Form of Code of Ethics (incorporated by reference to Exhibit 14.1 filed with the Registration Statement on Form S-1 filed by the Registrant on November 19, 2021)</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w:anchor="tm2210770d1_ex31-1.htm">
              <w:r>
                <w:rPr>
                  <w:rStyle w:val="InternetLink"/>
                  <w:sz w:val="20"/>
                </w:rPr>
                <w:t>31.1*</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w:anchor="tm2210770d1_ex31-1.htm">
              <w:r>
                <w:rPr>
                  <w:rStyle w:val="InternetLink"/>
                  <w:sz w:val="20"/>
                </w:rPr>
                <w:t>Certification of Principal Executive Officer Pursuant to Rules 13a-14(a) and 15d-14(a) under the Securities Exchange Act of 1934, as Adopted Pursuant to Section 302 of the Sarbanes-Oxley Act of 2002.  </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w:anchor="tm2210770d1_ex31-2.htm">
              <w:r>
                <w:rPr>
                  <w:rStyle w:val="InternetLink"/>
                  <w:sz w:val="20"/>
                </w:rPr>
                <w:t>31.2*</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w:anchor="tm2210770d1_ex31-2.htm">
              <w:r>
                <w:rPr>
                  <w:rStyle w:val="InternetLink"/>
                  <w:sz w:val="20"/>
                </w:rPr>
                <w:t>Certification of Principal Financial Officer Pursuant to Rules 13a-14(a) and 15d-14(a) under the Securities Exchange Act of 1934, as Adopted Pursuant to Section 302 of the Sarbanes-Oxley Act of 2002.  </w:t>
              </w:r>
            </w:hyperlink>
          </w:p>
        </w:tc>
      </w:tr>
      <w:tr>
        <w:trPr/>
        <w:tc>
          <w:tcPr>
            <w:tcW w:w="43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hyperlink w:anchor="tm2210770d1_ex32.htm">
              <w:r>
                <w:rPr>
                  <w:rStyle w:val="InternetLink"/>
                  <w:sz w:val="20"/>
                </w:rPr>
                <w:t>32*</w:t>
              </w:r>
            </w:hyperlink>
          </w:p>
        </w:tc>
        <w:tc>
          <w:tcPr>
            <w:tcW w:w="977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pPr>
            <w:hyperlink w:anchor="tm2210770d1_ex32.htm">
              <w:r>
                <w:rPr>
                  <w:rStyle w:val="InternetLink"/>
                </w:rPr>
                <w:t xml:space="preserve">Certification of Principal Executive Officer and Principal Financial Officer Pursuant to 18 U.S.C. Section 1350, as Adopted Pursuant to Section 906 of the Sarbanes-Oxley Act of 2002. </w:t>
              </w:r>
            </w:hyperlink>
          </w:p>
        </w:tc>
      </w:tr>
    </w:tbl>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Exchange Act of 1934, the registrant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5085" w:type="dxa"/>
        <w:jc w:val="left"/>
        <w:tblInd w:w="0" w:type="dxa"/>
        <w:tblCellMar>
          <w:top w:w="0" w:type="dxa"/>
          <w:left w:w="0" w:type="dxa"/>
          <w:bottom w:w="0" w:type="dxa"/>
          <w:right w:w="0" w:type="dxa"/>
        </w:tblCellMar>
      </w:tblPr>
      <w:tblGrid>
        <w:gridCol w:w="1955"/>
        <w:gridCol w:w="320"/>
        <w:gridCol w:w="2810"/>
      </w:tblGrid>
      <w:tr>
        <w:trPr/>
        <w:tc>
          <w:tcPr>
            <w:tcW w:w="19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ab/>
            </w:r>
          </w:p>
        </w:tc>
        <w:tc>
          <w:tcPr>
            <w:tcW w:w="2810" w:type="dxa"/>
            <w:tcBorders/>
            <w:shd w:fill="auto" w:val="clear"/>
            <w:vAlign w:val="center"/>
          </w:tcPr>
          <w:p>
            <w:pPr>
              <w:pStyle w:val="TableContents"/>
              <w:spacing w:before="0" w:after="283"/>
              <w:rPr>
                <w:sz w:val="20"/>
              </w:rPr>
            </w:pPr>
            <w:r>
              <w:rPr>
                <w:sz w:val="20"/>
              </w:rPr>
              <w:t>BURTECH ACQUISITION CORP.</w:t>
            </w:r>
          </w:p>
        </w:tc>
      </w:tr>
      <w:tr>
        <w:trPr/>
        <w:tc>
          <w:tcPr>
            <w:tcW w:w="19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810" w:type="dxa"/>
            <w:tcBorders/>
            <w:shd w:fill="auto"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20"/>
              </w:rPr>
            </w:pPr>
            <w:r>
              <w:rPr>
                <w:sz w:val="20"/>
              </w:rPr>
              <w:t>Dated:  March 31, 2022</w:t>
            </w:r>
          </w:p>
        </w:tc>
        <w:tc>
          <w:tcPr>
            <w:tcW w:w="320" w:type="dxa"/>
            <w:tcBorders/>
            <w:shd w:fill="auto" w:val="clear"/>
            <w:vAlign w:val="center"/>
          </w:tcPr>
          <w:p>
            <w:pPr>
              <w:pStyle w:val="TableContents"/>
              <w:spacing w:before="0" w:after="283"/>
              <w:rPr>
                <w:sz w:val="20"/>
              </w:rPr>
            </w:pPr>
            <w:r>
              <w:rPr>
                <w:sz w:val="20"/>
              </w:rPr>
              <w:t>By:</w:t>
            </w:r>
          </w:p>
        </w:tc>
        <w:tc>
          <w:tcPr>
            <w:tcW w:w="2810"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Shahal Khan</w:t>
            </w:r>
          </w:p>
        </w:tc>
      </w:tr>
    </w:tbl>
    <w:tbl>
      <w:tblPr>
        <w:tblW w:w="3805" w:type="dxa"/>
        <w:jc w:val="left"/>
        <w:tblInd w:w="0" w:type="dxa"/>
        <w:tblCellMar>
          <w:top w:w="0" w:type="dxa"/>
          <w:left w:w="0" w:type="dxa"/>
          <w:bottom w:w="0" w:type="dxa"/>
          <w:right w:w="0" w:type="dxa"/>
        </w:tblCellMar>
      </w:tblPr>
      <w:tblGrid>
        <w:gridCol w:w="75"/>
        <w:gridCol w:w="545"/>
        <w:gridCol w:w="3185"/>
      </w:tblGrid>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185" w:type="dxa"/>
            <w:tcBorders/>
            <w:shd w:fill="auto" w:val="clear"/>
            <w:vAlign w:val="center"/>
          </w:tcPr>
          <w:p>
            <w:pPr>
              <w:pStyle w:val="TableContents"/>
              <w:spacing w:before="0" w:after="283"/>
              <w:rPr/>
            </w:pPr>
            <w:r>
              <w:rPr/>
              <w:t>  </w:t>
            </w:r>
            <w:r>
              <w:rPr>
                <w:sz w:val="20"/>
              </w:rPr>
              <w:t xml:space="preserve">Shahal Khan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185" w:type="dxa"/>
            <w:tcBorders/>
            <w:shd w:fill="auto" w:val="clear"/>
            <w:vAlign w:val="center"/>
          </w:tcPr>
          <w:p>
            <w:pPr>
              <w:pStyle w:val="TableContents"/>
              <w:spacing w:before="0" w:after="283"/>
              <w:rPr>
                <w:sz w:val="20"/>
              </w:rPr>
            </w:pPr>
            <w:r>
              <w:rPr>
                <w:sz w:val="20"/>
              </w:rPr>
              <w:t xml:space="preserve">Chief Executive Officer and Chairman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rPr>
          <w:caps w:val="false"/>
          <w:smallCaps w:val="false"/>
        </w:rPr>
      </w:pPr>
      <w:r>
        <w:rPr>
          <w:caps w:val="false"/>
          <w:smallCaps w:val="false"/>
        </w:rPr>
        <w:t> </w:t>
      </w:r>
    </w:p>
    <w:tbl>
      <w:tblPr>
        <w:tblW w:w="6885" w:type="dxa"/>
        <w:jc w:val="left"/>
        <w:tblInd w:w="0" w:type="dxa"/>
        <w:tblCellMar>
          <w:top w:w="0" w:type="dxa"/>
          <w:left w:w="0" w:type="dxa"/>
          <w:bottom w:w="0" w:type="dxa"/>
          <w:right w:w="0" w:type="dxa"/>
        </w:tblCellMar>
      </w:tblPr>
      <w:tblGrid>
        <w:gridCol w:w="1760"/>
        <w:gridCol w:w="60"/>
        <w:gridCol w:w="3680"/>
        <w:gridCol w:w="60"/>
        <w:gridCol w:w="1325"/>
      </w:tblGrid>
      <w:tr>
        <w:trPr/>
        <w:tc>
          <w:tcPr>
            <w:tcW w:w="1760" w:type="dxa"/>
            <w:tcBorders/>
            <w:shd w:fill="FFFFFF" w:val="clear"/>
            <w:vAlign w:val="center"/>
          </w:tcPr>
          <w:p>
            <w:pPr>
              <w:pStyle w:val="TableContents"/>
              <w:spacing w:before="0" w:after="283"/>
              <w:rPr>
                <w:b/>
                <w:sz w:val="20"/>
              </w:rPr>
            </w:pPr>
            <w:r>
              <w:rPr>
                <w:b/>
                <w:sz w:val="20"/>
              </w:rPr>
              <w:t xml:space="preserve">Signature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b/>
                <w:sz w:val="20"/>
              </w:rPr>
            </w:pPr>
            <w:r>
              <w:rPr>
                <w:b/>
                <w:sz w:val="20"/>
              </w:rPr>
              <w:t xml:space="preserve">Title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b/>
                <w:sz w:val="20"/>
              </w:rPr>
            </w:pPr>
            <w:r>
              <w:rPr>
                <w:b/>
                <w:sz w:val="20"/>
              </w:rPr>
              <w:t xml:space="preserve">Date </w:t>
            </w:r>
          </w:p>
        </w:tc>
      </w:tr>
      <w:tr>
        <w:trPr/>
        <w:tc>
          <w:tcPr>
            <w:tcW w:w="1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bottom w:val="single" w:sz="8" w:space="0" w:color="000000"/>
            </w:tcBorders>
            <w:shd w:fill="FFFFFF" w:val="clear"/>
            <w:tcMar>
              <w:bottom w:w="60" w:type="dxa"/>
            </w:tcMar>
            <w:vAlign w:val="center"/>
          </w:tcPr>
          <w:p>
            <w:pPr>
              <w:pStyle w:val="TableContents"/>
              <w:spacing w:before="0" w:after="283"/>
              <w:rPr/>
            </w:pPr>
            <w:r>
              <w:rPr/>
              <w:t> </w:t>
            </w:r>
            <w:r>
              <w:rPr>
                <w:sz w:val="20"/>
              </w:rPr>
              <w:t>/s/ Shahal Khan</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Chief Executive Officer and Chairman</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sz w:val="20"/>
              </w:rPr>
            </w:pPr>
            <w:r>
              <w:rPr>
                <w:sz w:val="20"/>
              </w:rPr>
              <w:t>March 31, 2022</w:t>
            </w:r>
          </w:p>
        </w:tc>
      </w:tr>
      <w:tr>
        <w:trPr/>
        <w:tc>
          <w:tcPr>
            <w:tcW w:w="1760" w:type="dxa"/>
            <w:tcBorders/>
            <w:shd w:fill="FFFFFF" w:val="clear"/>
            <w:vAlign w:val="center"/>
          </w:tcPr>
          <w:p>
            <w:pPr>
              <w:pStyle w:val="TableContents"/>
              <w:spacing w:before="0" w:after="283"/>
              <w:jc w:val="both"/>
              <w:rPr>
                <w:sz w:val="20"/>
              </w:rPr>
            </w:pPr>
            <w:r>
              <w:rPr>
                <w:sz w:val="20"/>
              </w:rPr>
              <w:t>Shahal Khan</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(Principal Executive Officer)</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bottom w:val="single" w:sz="8" w:space="0" w:color="000000"/>
            </w:tcBorders>
            <w:shd w:fill="FFFFFF" w:val="clear"/>
            <w:tcMar>
              <w:bottom w:w="60" w:type="dxa"/>
            </w:tcMar>
            <w:vAlign w:val="center"/>
          </w:tcPr>
          <w:p>
            <w:pPr>
              <w:pStyle w:val="TableContents"/>
              <w:spacing w:before="0" w:after="283"/>
              <w:rPr/>
            </w:pPr>
            <w:r>
              <w:rPr/>
              <w:t> </w:t>
            </w:r>
            <w:r>
              <w:rPr>
                <w:sz w:val="20"/>
              </w:rPr>
              <w:t>/s/ Roman Livson</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Chief Financial Officer</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sz w:val="20"/>
              </w:rPr>
            </w:pPr>
            <w:r>
              <w:rPr>
                <w:sz w:val="20"/>
              </w:rPr>
              <w:t>March 31, 2022</w:t>
            </w:r>
          </w:p>
        </w:tc>
      </w:tr>
      <w:tr>
        <w:trPr/>
        <w:tc>
          <w:tcPr>
            <w:tcW w:w="1760" w:type="dxa"/>
            <w:tcBorders/>
            <w:shd w:fill="FFFFFF" w:val="clear"/>
            <w:vAlign w:val="center"/>
          </w:tcPr>
          <w:p>
            <w:pPr>
              <w:pStyle w:val="TableContents"/>
              <w:spacing w:before="0" w:after="283"/>
              <w:jc w:val="both"/>
              <w:rPr>
                <w:sz w:val="20"/>
              </w:rPr>
            </w:pPr>
            <w:r>
              <w:rPr>
                <w:sz w:val="20"/>
              </w:rPr>
              <w:t>Roman Livson</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 xml:space="preserve">(Principal Accounting and Financial Officer)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bottom w:val="single" w:sz="8" w:space="0" w:color="000000"/>
            </w:tcBorders>
            <w:shd w:fill="FFFFFF" w:val="clear"/>
            <w:tcMar>
              <w:bottom w:w="28" w:type="dxa"/>
            </w:tcMar>
            <w:vAlign w:val="center"/>
          </w:tcPr>
          <w:p>
            <w:pPr>
              <w:pStyle w:val="TableContents"/>
              <w:spacing w:before="0" w:after="283"/>
              <w:rPr/>
            </w:pPr>
            <w:r>
              <w:rPr/>
              <w:t> </w:t>
            </w:r>
            <w:r>
              <w:rPr>
                <w:sz w:val="20"/>
              </w:rPr>
              <w:t>/s/ Isaac Chetrit</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Director</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sz w:val="20"/>
              </w:rPr>
            </w:pPr>
            <w:r>
              <w:rPr>
                <w:sz w:val="20"/>
              </w:rPr>
              <w:t>March 31, 2022</w:t>
            </w:r>
          </w:p>
        </w:tc>
      </w:tr>
      <w:tr>
        <w:trPr/>
        <w:tc>
          <w:tcPr>
            <w:tcW w:w="1760" w:type="dxa"/>
            <w:tcBorders/>
            <w:shd w:fill="FFFFFF" w:val="clear"/>
            <w:vAlign w:val="center"/>
          </w:tcPr>
          <w:p>
            <w:pPr>
              <w:pStyle w:val="TableContents"/>
              <w:spacing w:before="0" w:after="283"/>
              <w:rPr/>
            </w:pPr>
            <w:r>
              <w:rPr/>
              <w:t> </w:t>
            </w:r>
            <w:r>
              <w:rPr>
                <w:sz w:val="20"/>
              </w:rPr>
              <w:t>Isaac Chetrit</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bottom w:val="single" w:sz="8" w:space="0" w:color="000000"/>
            </w:tcBorders>
            <w:shd w:fill="FFFFFF" w:val="clear"/>
            <w:tcMar>
              <w:bottom w:w="28" w:type="dxa"/>
            </w:tcMar>
            <w:vAlign w:val="center"/>
          </w:tcPr>
          <w:p>
            <w:pPr>
              <w:pStyle w:val="TableContents"/>
              <w:spacing w:before="0" w:after="283"/>
              <w:rPr/>
            </w:pPr>
            <w:r>
              <w:rPr/>
              <w:t> </w:t>
            </w:r>
            <w:r>
              <w:rPr>
                <w:sz w:val="20"/>
              </w:rPr>
              <w:t>/s/ Leon Golden</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Director</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sz w:val="20"/>
              </w:rPr>
            </w:pPr>
            <w:r>
              <w:rPr>
                <w:sz w:val="20"/>
              </w:rPr>
              <w:t>March 31, 2022</w:t>
            </w:r>
          </w:p>
        </w:tc>
      </w:tr>
      <w:tr>
        <w:trPr/>
        <w:tc>
          <w:tcPr>
            <w:tcW w:w="1760" w:type="dxa"/>
            <w:tcBorders/>
            <w:shd w:fill="FFFFFF" w:val="clear"/>
            <w:vAlign w:val="center"/>
          </w:tcPr>
          <w:p>
            <w:pPr>
              <w:pStyle w:val="TableContents"/>
              <w:spacing w:before="0" w:after="283"/>
              <w:rPr/>
            </w:pPr>
            <w:r>
              <w:rPr/>
              <w:t> </w:t>
            </w:r>
            <w:r>
              <w:rPr>
                <w:sz w:val="20"/>
              </w:rPr>
              <w:t>Leon Golden</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bottom w:val="single" w:sz="8" w:space="0" w:color="000000"/>
            </w:tcBorders>
            <w:shd w:fill="FFFFFF" w:val="clear"/>
            <w:tcMar>
              <w:bottom w:w="28" w:type="dxa"/>
            </w:tcMar>
            <w:vAlign w:val="center"/>
          </w:tcPr>
          <w:p>
            <w:pPr>
              <w:pStyle w:val="TableContents"/>
              <w:spacing w:before="0" w:after="283"/>
              <w:rPr/>
            </w:pPr>
            <w:r>
              <w:rPr/>
              <w:t> </w:t>
            </w:r>
            <w:r>
              <w:rPr>
                <w:sz w:val="20"/>
              </w:rPr>
              <w:t xml:space="preserve">/s/ Scott Young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sz w:val="20"/>
              </w:rPr>
            </w:pPr>
            <w:r>
              <w:rPr>
                <w:sz w:val="20"/>
              </w:rPr>
              <w:t>Director</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sz w:val="20"/>
              </w:rPr>
            </w:pPr>
            <w:r>
              <w:rPr>
                <w:sz w:val="20"/>
              </w:rPr>
              <w:t>March 31, 2022</w:t>
            </w:r>
          </w:p>
        </w:tc>
      </w:tr>
      <w:tr>
        <w:trPr/>
        <w:tc>
          <w:tcPr>
            <w:tcW w:w="1760" w:type="dxa"/>
            <w:tcBorders/>
            <w:shd w:fill="FFFFFF" w:val="clear"/>
            <w:vAlign w:val="center"/>
          </w:tcPr>
          <w:p>
            <w:pPr>
              <w:pStyle w:val="TableContents"/>
              <w:spacing w:before="0" w:after="283"/>
              <w:rPr/>
            </w:pPr>
            <w:r>
              <w:rPr/>
              <w:t>Scott Young</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r>
        <w:trPr/>
        <w:tc>
          <w:tcPr>
            <w:tcW w:w="1760" w:type="dxa"/>
            <w:tcBorders>
              <w:bottom w:val="single" w:sz="8" w:space="0" w:color="000000"/>
            </w:tcBorders>
            <w:shd w:fill="FFFFFF" w:val="clear"/>
            <w:tcMar>
              <w:bottom w:w="28" w:type="dxa"/>
            </w:tcMar>
            <w:vAlign w:val="center"/>
          </w:tcPr>
          <w:p>
            <w:pPr>
              <w:pStyle w:val="TableContents"/>
              <w:spacing w:before="0" w:after="283"/>
              <w:rPr/>
            </w:pPr>
            <w:r>
              <w:rPr/>
              <w:t>/s/ Joseph Porrello</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Director</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sz w:val="20"/>
              </w:rPr>
            </w:pPr>
            <w:r>
              <w:rPr>
                <w:sz w:val="20"/>
              </w:rPr>
              <w:t>March 31, 2022</w:t>
            </w:r>
          </w:p>
        </w:tc>
      </w:tr>
      <w:tr>
        <w:trPr/>
        <w:tc>
          <w:tcPr>
            <w:tcW w:w="1760" w:type="dxa"/>
            <w:tcBorders/>
            <w:shd w:fill="FFFFFF" w:val="clear"/>
            <w:vAlign w:val="center"/>
          </w:tcPr>
          <w:p>
            <w:pPr>
              <w:pStyle w:val="TableContents"/>
              <w:spacing w:before="0" w:after="283"/>
              <w:rPr/>
            </w:pPr>
            <w:r>
              <w:rPr/>
              <w:t>Joseph Porrello</w:t>
            </w:r>
          </w:p>
        </w:tc>
        <w:tc>
          <w:tcPr>
            <w:tcW w:w="60" w:type="dxa"/>
            <w:tcBorders/>
            <w:shd w:fill="FFFFFF" w:val="clear"/>
            <w:vAlign w:val="center"/>
          </w:tcPr>
          <w:p>
            <w:pPr>
              <w:pStyle w:val="TableContents"/>
              <w:spacing w:before="0" w:after="283"/>
              <w:rPr/>
            </w:pPr>
            <w:r>
              <w:rPr/>
              <w:t> </w:t>
            </w:r>
          </w:p>
        </w:tc>
        <w:tc>
          <w:tcPr>
            <w:tcW w:w="368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25" w:type="dxa"/>
            <w:tcBorders/>
            <w:shd w:fill="FFFFFF" w:val="clear"/>
            <w:vAlign w:val="center"/>
          </w:tcPr>
          <w:p>
            <w:pPr>
              <w:pStyle w:val="TableContents"/>
              <w:spacing w:before="0" w:after="283"/>
              <w:jc w:val="center"/>
              <w:rPr/>
            </w:pPr>
            <w:r>
              <w:rPr/>
              <w:t> </w:t>
            </w:r>
          </w:p>
        </w:tc>
      </w:tr>
    </w:tbl>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333"/>
        <w:gridCol w:w="60"/>
        <w:gridCol w:w="812"/>
      </w:tblGrid>
      <w:tr>
        <w:trPr/>
        <w:tc>
          <w:tcPr>
            <w:tcW w:w="93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jc w:val="right"/>
              <w:rPr>
                <w:b/>
                <w:sz w:val="20"/>
              </w:rPr>
            </w:pPr>
            <w:r>
              <w:rPr>
                <w:b/>
                <w:sz w:val="20"/>
              </w:rPr>
              <w:t>Page(s)</w:t>
            </w:r>
          </w:p>
        </w:tc>
      </w:tr>
      <w:tr>
        <w:trPr/>
        <w:tc>
          <w:tcPr>
            <w:tcW w:w="9333" w:type="dxa"/>
            <w:tcBorders/>
            <w:shd w:fill="CCEEFF" w:val="clear"/>
            <w:vAlign w:val="center"/>
          </w:tcPr>
          <w:p>
            <w:pPr>
              <w:pStyle w:val="TableContents"/>
              <w:spacing w:before="0" w:after="283"/>
              <w:rPr/>
            </w:pPr>
            <w:hyperlink w:anchor="sn_001">
              <w:r>
                <w:rPr>
                  <w:rStyle w:val="InternetLink"/>
                  <w:sz w:val="20"/>
                </w:rPr>
                <w:t>Report of Independent Registered Public Accounting Firm (PCAOB Firm ID: PCAOB ID 688)</w:t>
              </w:r>
            </w:hyperlink>
          </w:p>
        </w:tc>
        <w:tc>
          <w:tcPr>
            <w:tcW w:w="60"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283"/>
              <w:jc w:val="right"/>
              <w:rPr/>
            </w:pPr>
            <w:hyperlink w:anchor="sn_001">
              <w:r>
                <w:rPr>
                  <w:rStyle w:val="InternetLink"/>
                  <w:sz w:val="20"/>
                </w:rPr>
                <w:t>F-2</w:t>
              </w:r>
            </w:hyperlink>
          </w:p>
        </w:tc>
      </w:tr>
      <w:tr>
        <w:trPr/>
        <w:tc>
          <w:tcPr>
            <w:tcW w:w="9333" w:type="dxa"/>
            <w:tcBorders/>
            <w:shd w:fill="FFFFFF" w:val="clear"/>
            <w:vAlign w:val="center"/>
          </w:tcPr>
          <w:p>
            <w:pPr>
              <w:pStyle w:val="TableContents"/>
              <w:spacing w:before="0" w:after="283"/>
              <w:rPr>
                <w:sz w:val="20"/>
              </w:rPr>
            </w:pPr>
            <w:r>
              <w:rPr>
                <w:sz w:val="20"/>
              </w:rPr>
              <w:t>Financial Statements:</w:t>
            </w:r>
          </w:p>
        </w:tc>
        <w:tc>
          <w:tcPr>
            <w:tcW w:w="60"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283"/>
              <w:jc w:val="right"/>
              <w:rPr/>
            </w:pPr>
            <w:r>
              <w:rPr/>
              <w:t> </w:t>
            </w:r>
          </w:p>
        </w:tc>
      </w:tr>
      <w:tr>
        <w:trPr/>
        <w:tc>
          <w:tcPr>
            <w:tcW w:w="9333" w:type="dxa"/>
            <w:tcBorders/>
            <w:shd w:fill="CCEEFF" w:val="clear"/>
            <w:vAlign w:val="center"/>
          </w:tcPr>
          <w:p>
            <w:pPr>
              <w:pStyle w:val="TableContents"/>
              <w:spacing w:before="0" w:after="283"/>
              <w:rPr/>
            </w:pPr>
            <w:hyperlink w:anchor="sn_002">
              <w:r>
                <w:rPr>
                  <w:rStyle w:val="InternetLink"/>
                  <w:sz w:val="20"/>
                </w:rPr>
                <w:t>Balance Sheet as of December 31, 2021</w:t>
              </w:r>
            </w:hyperlink>
          </w:p>
        </w:tc>
        <w:tc>
          <w:tcPr>
            <w:tcW w:w="60"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283"/>
              <w:jc w:val="right"/>
              <w:rPr/>
            </w:pPr>
            <w:hyperlink w:anchor="sn_002">
              <w:r>
                <w:rPr>
                  <w:rStyle w:val="InternetLink"/>
                  <w:sz w:val="20"/>
                </w:rPr>
                <w:t>F-3</w:t>
              </w:r>
            </w:hyperlink>
          </w:p>
        </w:tc>
      </w:tr>
      <w:tr>
        <w:trPr/>
        <w:tc>
          <w:tcPr>
            <w:tcW w:w="9333" w:type="dxa"/>
            <w:tcBorders/>
            <w:shd w:fill="FFFFFF" w:val="clear"/>
            <w:vAlign w:val="center"/>
          </w:tcPr>
          <w:p>
            <w:pPr>
              <w:pStyle w:val="TableContents"/>
              <w:spacing w:before="0" w:after="283"/>
              <w:rPr/>
            </w:pPr>
            <w:hyperlink w:anchor="sn_003">
              <w:r>
                <w:rPr>
                  <w:rStyle w:val="InternetLink"/>
                  <w:sz w:val="20"/>
                </w:rPr>
                <w:t>Statement of Operations for the period from March 2, 2021 (inception) through December 31, 2021</w:t>
              </w:r>
            </w:hyperlink>
          </w:p>
        </w:tc>
        <w:tc>
          <w:tcPr>
            <w:tcW w:w="60"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283"/>
              <w:jc w:val="right"/>
              <w:rPr/>
            </w:pPr>
            <w:hyperlink w:anchor="sn_003">
              <w:r>
                <w:rPr>
                  <w:rStyle w:val="InternetLink"/>
                  <w:sz w:val="20"/>
                </w:rPr>
                <w:t>F-4</w:t>
              </w:r>
            </w:hyperlink>
          </w:p>
        </w:tc>
      </w:tr>
      <w:tr>
        <w:trPr/>
        <w:tc>
          <w:tcPr>
            <w:tcW w:w="9333" w:type="dxa"/>
            <w:tcBorders/>
            <w:shd w:fill="CCEEFF" w:val="clear"/>
            <w:vAlign w:val="center"/>
          </w:tcPr>
          <w:p>
            <w:pPr>
              <w:pStyle w:val="TableContents"/>
              <w:spacing w:before="0" w:after="283"/>
              <w:rPr/>
            </w:pPr>
            <w:hyperlink w:anchor="sn_004">
              <w:r>
                <w:rPr>
                  <w:rStyle w:val="InternetLink"/>
                  <w:sz w:val="20"/>
                </w:rPr>
                <w:t>Statement of Changes in Stockholders’ Deficit for the period from March 2, 2021 (inception) through December 31, 2021</w:t>
              </w:r>
            </w:hyperlink>
          </w:p>
        </w:tc>
        <w:tc>
          <w:tcPr>
            <w:tcW w:w="60"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283"/>
              <w:jc w:val="right"/>
              <w:rPr/>
            </w:pPr>
            <w:hyperlink w:anchor="sn_004">
              <w:r>
                <w:rPr>
                  <w:rStyle w:val="InternetLink"/>
                  <w:sz w:val="20"/>
                </w:rPr>
                <w:t>F-5</w:t>
              </w:r>
            </w:hyperlink>
          </w:p>
        </w:tc>
      </w:tr>
      <w:tr>
        <w:trPr/>
        <w:tc>
          <w:tcPr>
            <w:tcW w:w="9333" w:type="dxa"/>
            <w:tcBorders/>
            <w:shd w:fill="FFFFFF" w:val="clear"/>
            <w:vAlign w:val="center"/>
          </w:tcPr>
          <w:p>
            <w:pPr>
              <w:pStyle w:val="TableContents"/>
              <w:spacing w:before="0" w:after="283"/>
              <w:rPr/>
            </w:pPr>
            <w:hyperlink w:anchor="sn_005">
              <w:r>
                <w:rPr>
                  <w:rStyle w:val="InternetLink"/>
                  <w:sz w:val="20"/>
                </w:rPr>
                <w:t>Statement of Cash Flows for the period from March 2, 2021 (inception) through December 31, 2021</w:t>
              </w:r>
            </w:hyperlink>
          </w:p>
        </w:tc>
        <w:tc>
          <w:tcPr>
            <w:tcW w:w="60"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283"/>
              <w:jc w:val="right"/>
              <w:rPr/>
            </w:pPr>
            <w:hyperlink w:anchor="sn_005">
              <w:r>
                <w:rPr>
                  <w:rStyle w:val="InternetLink"/>
                  <w:sz w:val="20"/>
                </w:rPr>
                <w:t>F-6</w:t>
              </w:r>
            </w:hyperlink>
          </w:p>
        </w:tc>
      </w:tr>
      <w:tr>
        <w:trPr/>
        <w:tc>
          <w:tcPr>
            <w:tcW w:w="9333" w:type="dxa"/>
            <w:tcBorders/>
            <w:shd w:fill="CCEEFF" w:val="clear"/>
            <w:vAlign w:val="center"/>
          </w:tcPr>
          <w:p>
            <w:pPr>
              <w:pStyle w:val="TableContents"/>
              <w:spacing w:before="0" w:after="283"/>
              <w:rPr/>
            </w:pPr>
            <w:hyperlink w:anchor="sn_006">
              <w:r>
                <w:rPr>
                  <w:rStyle w:val="InternetLink"/>
                  <w:sz w:val="20"/>
                </w:rPr>
                <w:t>Notes to the Financial Statements</w:t>
              </w:r>
            </w:hyperlink>
          </w:p>
        </w:tc>
        <w:tc>
          <w:tcPr>
            <w:tcW w:w="60" w:type="dxa"/>
            <w:tcBorders/>
            <w:shd w:fill="CCEEFF" w:val="clear"/>
            <w:vAlign w:val="center"/>
          </w:tcPr>
          <w:p>
            <w:pPr>
              <w:pStyle w:val="TableContents"/>
              <w:spacing w:before="0" w:after="283"/>
              <w:rPr/>
            </w:pPr>
            <w:r>
              <w:rPr/>
              <w:t> </w:t>
            </w:r>
          </w:p>
        </w:tc>
        <w:tc>
          <w:tcPr>
            <w:tcW w:w="812" w:type="dxa"/>
            <w:tcBorders/>
            <w:shd w:fill="CCEEFF" w:val="clear"/>
            <w:vAlign w:val="center"/>
          </w:tcPr>
          <w:p>
            <w:pPr>
              <w:pStyle w:val="TableContents"/>
              <w:spacing w:before="0" w:after="283"/>
              <w:jc w:val="right"/>
              <w:rPr/>
            </w:pPr>
            <w:hyperlink w:anchor="sn_006">
              <w:r>
                <w:rPr>
                  <w:rStyle w:val="InternetLink"/>
                  <w:sz w:val="20"/>
                </w:rPr>
                <w:t>F-7 - F-18</w:t>
              </w:r>
            </w:hyperlink>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7" w:name="sn_001"/>
      <w:bookmarkEnd w:id="27"/>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BurTech Acquisition Corp. (the “Company”) as of December 31, 2021, the related statements of operations, changes in stockholders’ deficit and cash flows for the period from March 2,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March 2, 2021 (inception) through December 31, 2021, in conformity with accounting principles generally accepted in the United States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spacing w:before="0" w:after="0"/>
        <w:ind w:left="0" w:right="0" w:hanging="0"/>
        <w:rPr>
          <w:smallCaps/>
        </w:rPr>
      </w:pPr>
      <w:r>
        <w:rPr>
          <w:smallCaps/>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spacing w:before="0" w:after="0"/>
        <w:ind w:left="0" w:right="0" w:hanging="0"/>
        <w:rPr>
          <w:smallCaps/>
        </w:rPr>
      </w:pPr>
      <w:r>
        <w:rPr>
          <w:smallCaps/>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spacing w:before="0" w:after="0"/>
        <w:ind w:left="0" w:right="0" w:hanging="0"/>
        <w:rPr>
          <w:smallCaps/>
        </w:rPr>
      </w:pPr>
      <w:r>
        <w:rPr>
          <w:smallCaps/>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br/>
        <w:t>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F-2</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28" w:name="sn_002"/>
      <w:bookmarkEnd w:id="28"/>
      <w:r>
        <w:rPr>
          <w:rFonts w:ascii="Times New Roman;Times;Serif" w:hAnsi="Times New Roman;Times;Serif"/>
          <w:b/>
          <w:i w:val="false"/>
          <w:caps w:val="false"/>
          <w:smallCaps w:val="false"/>
          <w:sz w:val="20"/>
        </w:rPr>
        <w:t>BALANCE SHEET</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hd w:fill="FFFFFF" w:val="clear"/>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870"/>
        <w:gridCol w:w="60"/>
        <w:gridCol w:w="125"/>
        <w:gridCol w:w="1055"/>
        <w:gridCol w:w="95"/>
      </w:tblGrid>
      <w:tr>
        <w:trPr/>
        <w:tc>
          <w:tcPr>
            <w:tcW w:w="8870" w:type="dxa"/>
            <w:tcBorders/>
            <w:shd w:fill="CCEEFF" w:val="clear"/>
            <w:vAlign w:val="center"/>
          </w:tcPr>
          <w:p>
            <w:pPr>
              <w:pStyle w:val="TableContents"/>
              <w:spacing w:before="0" w:after="283"/>
              <w:rPr>
                <w:b/>
                <w:sz w:val="20"/>
              </w:rPr>
            </w:pPr>
            <w:r>
              <w:rPr>
                <w:b/>
                <w:sz w:val="20"/>
              </w:rPr>
              <w:t>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870" w:type="dxa"/>
            <w:tcBorders/>
            <w:shd w:fill="FFFFFF" w:val="clear"/>
            <w:vAlign w:val="center"/>
          </w:tcPr>
          <w:p>
            <w:pPr>
              <w:pStyle w:val="TableContents"/>
              <w:spacing w:before="0" w:after="283"/>
              <w:jc w:val="left"/>
              <w:rPr>
                <w:b/>
                <w:sz w:val="20"/>
              </w:rPr>
            </w:pPr>
            <w:r>
              <w:rPr>
                <w:b/>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rPr>
                <w:sz w:val="20"/>
              </w:rPr>
            </w:pPr>
            <w:r>
              <w:rPr>
                <w:sz w:val="20"/>
              </w:rPr>
              <w:t>Cash</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1055" w:type="dxa"/>
            <w:tcBorders/>
            <w:shd w:fill="CCEEFF" w:val="clear"/>
            <w:vAlign w:val="center"/>
          </w:tcPr>
          <w:p>
            <w:pPr>
              <w:pStyle w:val="TableContents"/>
              <w:spacing w:before="0" w:after="283"/>
              <w:jc w:val="right"/>
              <w:rPr>
                <w:sz w:val="20"/>
              </w:rPr>
            </w:pPr>
            <w:r>
              <w:rPr>
                <w:sz w:val="20"/>
              </w:rPr>
              <w:t>1,539,548</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Other Assets</w:t>
              <w:tab/>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326,478</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b/>
                <w:sz w:val="20"/>
              </w:rPr>
            </w:pPr>
            <w:r>
              <w:rPr>
                <w:b/>
                <w:sz w:val="20"/>
              </w:rPr>
              <w:t>Total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sz w:val="20"/>
              </w:rPr>
            </w:pPr>
            <w:r>
              <w:rPr>
                <w:sz w:val="20"/>
              </w:rPr>
              <w:t>1,866,026</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Other Assets, non-current</w:t>
              <w:tab/>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sz w:val="20"/>
              </w:rPr>
            </w:pPr>
            <w:r>
              <w:rPr>
                <w:sz w:val="20"/>
              </w:rPr>
              <w:t>61,718</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sz w:val="20"/>
              </w:rPr>
            </w:pPr>
            <w:r>
              <w:rPr>
                <w:sz w:val="20"/>
              </w:rPr>
              <w:t>Investments held in Trust Account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291,813,399</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b/>
                <w:sz w:val="20"/>
              </w:rPr>
            </w:pPr>
            <w:r>
              <w:rPr>
                <w:b/>
                <w:sz w:val="20"/>
              </w:rPr>
              <w:t>Total assets</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293,741,143</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b/>
                <w:sz w:val="20"/>
              </w:rPr>
            </w:pPr>
            <w:r>
              <w:rPr>
                <w:b/>
                <w:sz w:val="20"/>
              </w:rPr>
              <w:t>Liabilities and Stockholders’ Deficit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b/>
                <w:sz w:val="20"/>
              </w:rPr>
            </w:pPr>
            <w:r>
              <w:rPr>
                <w:b/>
                <w:sz w:val="20"/>
              </w:rPr>
              <w:t>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Accrued offering costs and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sz w:val="20"/>
              </w:rPr>
            </w:pPr>
            <w:r>
              <w:rPr>
                <w:sz w:val="20"/>
              </w:rPr>
              <w:t>$</w:t>
            </w:r>
          </w:p>
        </w:tc>
        <w:tc>
          <w:tcPr>
            <w:tcW w:w="1055" w:type="dxa"/>
            <w:tcBorders/>
            <w:shd w:fill="FFFFFF" w:val="clear"/>
            <w:vAlign w:val="center"/>
          </w:tcPr>
          <w:p>
            <w:pPr>
              <w:pStyle w:val="TableContents"/>
              <w:spacing w:before="0" w:after="283"/>
              <w:jc w:val="right"/>
              <w:rPr>
                <w:sz w:val="20"/>
              </w:rPr>
            </w:pPr>
            <w:r>
              <w:rPr>
                <w:sz w:val="20"/>
              </w:rPr>
              <w:t>548,159</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sz w:val="20"/>
              </w:rPr>
            </w:pPr>
            <w:r>
              <w:rPr>
                <w:sz w:val="20"/>
              </w:rPr>
              <w:t>Promissory Note - Related Party</w:t>
              <w:tab/>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sz w:val="20"/>
              </w:rPr>
            </w:pPr>
            <w:r>
              <w:rPr>
                <w:sz w:val="20"/>
              </w:rPr>
              <w:t>144,746</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Due to related party</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7,097</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b/>
                <w:sz w:val="20"/>
              </w:rPr>
            </w:pPr>
            <w:r>
              <w:rPr>
                <w:b/>
                <w:sz w:val="20"/>
              </w:rPr>
              <w:t>Total 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sz w:val="20"/>
              </w:rPr>
            </w:pPr>
            <w:r>
              <w:rPr>
                <w:sz w:val="20"/>
              </w:rPr>
              <w:t>700,002</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Deferred underwriting commissions</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10,062,500</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b/>
                <w:sz w:val="20"/>
              </w:rPr>
            </w:pPr>
            <w:r>
              <w:rPr>
                <w:b/>
                <w:sz w:val="20"/>
              </w:rPr>
              <w:t>Total liabilities</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10,762,502</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b/>
                <w:sz w:val="20"/>
              </w:rPr>
            </w:pPr>
            <w:r>
              <w:rPr>
                <w:b/>
                <w:sz w:val="20"/>
              </w:rPr>
              <w:t>Commitments and Contingencies (Note 6)</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Class A common stock subject to possible redemption, 28,750,000 shares at redemption value of $10.15</w:t>
              <w:tab/>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sz w:val="20"/>
              </w:rPr>
            </w:pPr>
            <w:r>
              <w:rPr>
                <w:sz w:val="20"/>
              </w:rPr>
              <w:t>291,812,500</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b/>
                <w:sz w:val="20"/>
              </w:rPr>
            </w:pPr>
            <w:r>
              <w:rPr>
                <w:b/>
                <w:sz w:val="20"/>
              </w:rPr>
              <w:t>Stockholders’ Deficit: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Preferred stock, $0.0001 par value; 1,000,000 shares authorized; none issued and outstanding</w:t>
              <w:tab/>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sz w:val="20"/>
              </w:rPr>
            </w:pPr>
            <w:r>
              <w:rPr>
                <w:sz w:val="20"/>
              </w:rPr>
              <w:t>Class A common stock, $0.0001 par value; 280,000,000 shares authorized; 1,329,500 shares issued and outstanding (excluding 28,750,000 shares subject to possible redemption)</w:t>
              <w:tab/>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sz w:val="20"/>
              </w:rPr>
            </w:pPr>
            <w:r>
              <w:rPr>
                <w:sz w:val="20"/>
              </w:rPr>
              <w:t>133</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Class B common stock, $0.0001 par value; 20,000,000 shares authorized; 9,487,500 shares issued and outstanding</w:t>
              <w:tab/>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sz w:val="20"/>
              </w:rPr>
            </w:pPr>
            <w:r>
              <w:rPr>
                <w:sz w:val="20"/>
              </w:rPr>
              <w:t>949</w:t>
            </w:r>
          </w:p>
        </w:tc>
        <w:tc>
          <w:tcPr>
            <w:tcW w:w="95" w:type="dxa"/>
            <w:tcBorders/>
            <w:shd w:fill="FFFFFF" w:val="clear"/>
            <w:vAlign w:val="center"/>
          </w:tcPr>
          <w:p>
            <w:pPr>
              <w:pStyle w:val="TableContents"/>
              <w:spacing w:before="0" w:after="283"/>
              <w:jc w:val="left"/>
              <w:rPr/>
            </w:pPr>
            <w:r>
              <w:rPr/>
              <w:t> </w:t>
            </w:r>
          </w:p>
        </w:tc>
      </w:tr>
      <w:tr>
        <w:trPr/>
        <w:tc>
          <w:tcPr>
            <w:tcW w:w="8870" w:type="dxa"/>
            <w:tcBorders/>
            <w:shd w:fill="CCEEFF" w:val="clear"/>
            <w:vAlign w:val="center"/>
          </w:tcPr>
          <w:p>
            <w:pPr>
              <w:pStyle w:val="TableContents"/>
              <w:spacing w:before="0" w:after="283"/>
              <w:jc w:val="left"/>
              <w:rPr>
                <w:sz w:val="20"/>
              </w:rPr>
            </w:pPr>
            <w:r>
              <w:rPr>
                <w:sz w:val="20"/>
              </w:rPr>
              <w:t>Additional paid-in capital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r>
      <w:tr>
        <w:trPr/>
        <w:tc>
          <w:tcPr>
            <w:tcW w:w="8870" w:type="dxa"/>
            <w:tcBorders/>
            <w:shd w:fill="FFFFFF" w:val="clear"/>
            <w:vAlign w:val="center"/>
          </w:tcPr>
          <w:p>
            <w:pPr>
              <w:pStyle w:val="TableContents"/>
              <w:spacing w:before="0" w:after="283"/>
              <w:jc w:val="left"/>
              <w:rPr>
                <w:sz w:val="20"/>
              </w:rPr>
            </w:pPr>
            <w:r>
              <w:rPr>
                <w:sz w:val="20"/>
              </w:rPr>
              <w:t>Accumulated deficit</w:t>
            </w:r>
          </w:p>
        </w:tc>
        <w:tc>
          <w:tcPr>
            <w:tcW w:w="60" w:type="dxa"/>
            <w:tcBorders/>
            <w:shd w:fill="FFFFFF" w:val="clear"/>
            <w:vAlign w:val="center"/>
          </w:tcPr>
          <w:p>
            <w:pPr>
              <w:pStyle w:val="TableContents"/>
              <w:spacing w:before="0" w:after="283"/>
              <w:rPr/>
            </w:pPr>
            <w:r>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(8,834,941</w:t>
            </w:r>
          </w:p>
        </w:tc>
        <w:tc>
          <w:tcPr>
            <w:tcW w:w="95" w:type="dxa"/>
            <w:tcBorders/>
            <w:shd w:fill="FFFFFF" w:val="clear"/>
            <w:vAlign w:val="center"/>
          </w:tcPr>
          <w:p>
            <w:pPr>
              <w:pStyle w:val="TableContents"/>
              <w:spacing w:before="0" w:after="283"/>
              <w:jc w:val="left"/>
              <w:rPr>
                <w:sz w:val="20"/>
              </w:rPr>
            </w:pPr>
            <w:r>
              <w:rPr>
                <w:sz w:val="20"/>
              </w:rPr>
              <w:t>)</w:t>
            </w:r>
          </w:p>
        </w:tc>
      </w:tr>
      <w:tr>
        <w:trPr/>
        <w:tc>
          <w:tcPr>
            <w:tcW w:w="8870" w:type="dxa"/>
            <w:tcBorders/>
            <w:shd w:fill="CCEEFF" w:val="clear"/>
            <w:vAlign w:val="center"/>
          </w:tcPr>
          <w:p>
            <w:pPr>
              <w:pStyle w:val="TableContents"/>
              <w:spacing w:before="0" w:after="283"/>
              <w:jc w:val="left"/>
              <w:rPr>
                <w:b/>
                <w:sz w:val="20"/>
              </w:rPr>
            </w:pPr>
            <w:r>
              <w:rPr>
                <w:b/>
                <w:sz w:val="20"/>
              </w:rPr>
              <w:t>Total stockholders’ deficit</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(8,833,859</w:t>
            </w:r>
          </w:p>
        </w:tc>
        <w:tc>
          <w:tcPr>
            <w:tcW w:w="95" w:type="dxa"/>
            <w:tcBorders/>
            <w:shd w:fill="CCEEFF" w:val="clear"/>
            <w:vAlign w:val="center"/>
          </w:tcPr>
          <w:p>
            <w:pPr>
              <w:pStyle w:val="TableContents"/>
              <w:spacing w:before="0" w:after="283"/>
              <w:jc w:val="left"/>
              <w:rPr>
                <w:sz w:val="20"/>
              </w:rPr>
            </w:pPr>
            <w:r>
              <w:rPr>
                <w:sz w:val="20"/>
              </w:rPr>
              <w:t>)</w:t>
            </w:r>
          </w:p>
        </w:tc>
      </w:tr>
      <w:tr>
        <w:trPr/>
        <w:tc>
          <w:tcPr>
            <w:tcW w:w="8870" w:type="dxa"/>
            <w:tcBorders/>
            <w:shd w:fill="FFFFFF" w:val="clear"/>
            <w:vAlign w:val="center"/>
          </w:tcPr>
          <w:p>
            <w:pPr>
              <w:pStyle w:val="TableContents"/>
              <w:spacing w:before="0" w:after="283"/>
              <w:jc w:val="left"/>
              <w:rPr>
                <w:b/>
                <w:sz w:val="20"/>
              </w:rPr>
            </w:pPr>
            <w:r>
              <w:rPr>
                <w:b/>
                <w:sz w:val="20"/>
              </w:rPr>
              <w:t>Total Liabilities and Stockholders’ Deficit</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sz w:val="20"/>
              </w:rPr>
            </w:pPr>
            <w:r>
              <w:rPr>
                <w:sz w:val="20"/>
              </w:rPr>
              <w:t>$</w:t>
            </w:r>
          </w:p>
        </w:tc>
        <w:tc>
          <w:tcPr>
            <w:tcW w:w="1055"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293,741,143</w:t>
            </w:r>
          </w:p>
        </w:tc>
        <w:tc>
          <w:tcPr>
            <w:tcW w:w="95" w:type="dxa"/>
            <w:tcBorders/>
            <w:shd w:fill="FFFFFF" w:val="clear"/>
            <w:vAlign w:val="center"/>
          </w:tcPr>
          <w:p>
            <w:pPr>
              <w:pStyle w:val="TableContents"/>
              <w:spacing w:before="0" w:after="283"/>
              <w:jc w:val="left"/>
              <w:rPr/>
            </w:pPr>
            <w:r>
              <w:rPr/>
              <w:t> </w:t>
            </w:r>
          </w:p>
        </w:tc>
      </w:tr>
    </w:tbl>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F-3</w:t>
      </w:r>
    </w:p>
    <w:p>
      <w:pPr>
        <w:pStyle w:val="TextBody"/>
        <w:spacing w:before="0" w:after="0"/>
        <w:ind w:left="0" w:right="0" w:hanging="0"/>
        <w:rPr/>
      </w:pPr>
      <w:r>
        <w:rPr/>
        <w:t> </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29" w:name="sn_003"/>
      <w:bookmarkEnd w:id="29"/>
      <w:r>
        <w:rPr>
          <w:rFonts w:ascii="Times New Roman;Times;Serif" w:hAnsi="Times New Roman;Times;Serif"/>
          <w:b/>
          <w:i w:val="false"/>
          <w:caps w:val="false"/>
          <w:smallCaps w:val="false"/>
          <w:sz w:val="20"/>
        </w:rPr>
        <w:t>STATEMENT OF OPERATIONS</w:t>
      </w:r>
    </w:p>
    <w:p>
      <w:pPr>
        <w:pStyle w:val="TextBody"/>
        <w:shd w:fill="FFFFFF" w:val="clear"/>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415"/>
        <w:gridCol w:w="60"/>
        <w:gridCol w:w="209"/>
        <w:gridCol w:w="1424"/>
        <w:gridCol w:w="97"/>
      </w:tblGrid>
      <w:tr>
        <w:trPr/>
        <w:tc>
          <w:tcPr>
            <w:tcW w:w="8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3" w:type="dxa"/>
            <w:gridSpan w:val="2"/>
            <w:tcBorders/>
            <w:shd w:fill="auto" w:val="clear"/>
            <w:vAlign w:val="center"/>
          </w:tcPr>
          <w:p>
            <w:pPr>
              <w:pStyle w:val="TableContents"/>
              <w:spacing w:before="0" w:after="283"/>
              <w:jc w:val="center"/>
              <w:rPr>
                <w:b/>
                <w:sz w:val="20"/>
              </w:rPr>
            </w:pPr>
            <w:r>
              <w:rPr>
                <w:b/>
                <w:sz w:val="20"/>
              </w:rPr>
              <w:t>For the period</w:t>
            </w:r>
          </w:p>
        </w:tc>
        <w:tc>
          <w:tcPr>
            <w:tcW w:w="97" w:type="dxa"/>
            <w:tcBorders/>
            <w:shd w:fill="auto" w:val="clear"/>
            <w:vAlign w:val="center"/>
          </w:tcPr>
          <w:p>
            <w:pPr>
              <w:pStyle w:val="TableContents"/>
              <w:spacing w:before="0" w:after="283"/>
              <w:rPr/>
            </w:pPr>
            <w:r>
              <w:rPr/>
              <w:t> </w:t>
            </w:r>
          </w:p>
        </w:tc>
      </w:tr>
      <w:tr>
        <w:trPr/>
        <w:tc>
          <w:tcPr>
            <w:tcW w:w="8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3" w:type="dxa"/>
            <w:gridSpan w:val="2"/>
            <w:tcBorders/>
            <w:shd w:fill="auto" w:val="clear"/>
            <w:vAlign w:val="center"/>
          </w:tcPr>
          <w:p>
            <w:pPr>
              <w:pStyle w:val="TableContents"/>
              <w:spacing w:before="0" w:after="283"/>
              <w:jc w:val="center"/>
              <w:rPr>
                <w:b/>
                <w:sz w:val="20"/>
              </w:rPr>
            </w:pPr>
            <w:r>
              <w:rPr>
                <w:b/>
                <w:sz w:val="20"/>
              </w:rPr>
              <w:t>from March 2,</w:t>
            </w:r>
          </w:p>
        </w:tc>
        <w:tc>
          <w:tcPr>
            <w:tcW w:w="97" w:type="dxa"/>
            <w:tcBorders/>
            <w:shd w:fill="auto" w:val="clear"/>
            <w:vAlign w:val="center"/>
          </w:tcPr>
          <w:p>
            <w:pPr>
              <w:pStyle w:val="TableContents"/>
              <w:spacing w:before="0" w:after="283"/>
              <w:rPr/>
            </w:pPr>
            <w:r>
              <w:rPr/>
              <w:t> </w:t>
            </w:r>
          </w:p>
        </w:tc>
      </w:tr>
      <w:tr>
        <w:trPr/>
        <w:tc>
          <w:tcPr>
            <w:tcW w:w="8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3" w:type="dxa"/>
            <w:gridSpan w:val="2"/>
            <w:tcBorders/>
            <w:shd w:fill="auto" w:val="clear"/>
            <w:vAlign w:val="center"/>
          </w:tcPr>
          <w:p>
            <w:pPr>
              <w:pStyle w:val="TableContents"/>
              <w:spacing w:before="0" w:after="283"/>
              <w:jc w:val="center"/>
              <w:rPr>
                <w:b/>
                <w:sz w:val="20"/>
              </w:rPr>
            </w:pPr>
            <w:r>
              <w:rPr>
                <w:b/>
                <w:sz w:val="20"/>
              </w:rPr>
              <w:t>2021 (Inception) to</w:t>
            </w:r>
          </w:p>
        </w:tc>
        <w:tc>
          <w:tcPr>
            <w:tcW w:w="97" w:type="dxa"/>
            <w:tcBorders/>
            <w:shd w:fill="auto" w:val="clear"/>
            <w:vAlign w:val="center"/>
          </w:tcPr>
          <w:p>
            <w:pPr>
              <w:pStyle w:val="TableContents"/>
              <w:spacing w:before="0" w:after="283"/>
              <w:rPr/>
            </w:pPr>
            <w:r>
              <w:rPr/>
              <w:t> </w:t>
            </w:r>
          </w:p>
        </w:tc>
      </w:tr>
      <w:tr>
        <w:trPr/>
        <w:tc>
          <w:tcPr>
            <w:tcW w:w="8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3"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 2021</w:t>
            </w:r>
          </w:p>
        </w:tc>
        <w:tc>
          <w:tcPr>
            <w:tcW w:w="97" w:type="dxa"/>
            <w:tcBorders/>
            <w:shd w:fill="auto" w:val="clear"/>
            <w:vAlign w:val="center"/>
          </w:tcPr>
          <w:p>
            <w:pPr>
              <w:pStyle w:val="TableContents"/>
              <w:spacing w:before="0" w:after="283"/>
              <w:rPr/>
            </w:pPr>
            <w:r>
              <w:rPr/>
              <w:t> </w:t>
            </w:r>
          </w:p>
        </w:tc>
      </w:tr>
      <w:tr>
        <w:trPr/>
        <w:tc>
          <w:tcPr>
            <w:tcW w:w="8415" w:type="dxa"/>
            <w:tcBorders/>
            <w:shd w:fill="CCEEFF" w:val="clear"/>
            <w:vAlign w:val="center"/>
          </w:tcPr>
          <w:p>
            <w:pPr>
              <w:pStyle w:val="TableContents"/>
              <w:spacing w:before="0" w:after="283"/>
              <w:jc w:val="left"/>
              <w:rPr>
                <w:sz w:val="20"/>
              </w:rPr>
            </w:pPr>
            <w:r>
              <w:rPr>
                <w:sz w:val="20"/>
              </w:rPr>
              <w:t>Formation and operating costs</w:t>
            </w:r>
          </w:p>
        </w:tc>
        <w:tc>
          <w:tcPr>
            <w:tcW w:w="60" w:type="dxa"/>
            <w:tcBorders/>
            <w:shd w:fill="CCEEFF" w:val="clear"/>
            <w:vAlign w:val="center"/>
          </w:tcPr>
          <w:p>
            <w:pPr>
              <w:pStyle w:val="TableContents"/>
              <w:spacing w:before="0" w:after="283"/>
              <w:rPr/>
            </w:pPr>
            <w:r>
              <w:rPr/>
              <w:t> </w:t>
            </w:r>
          </w:p>
        </w:tc>
        <w:tc>
          <w:tcPr>
            <w:tcW w:w="209" w:type="dxa"/>
            <w:tcBorders>
              <w:bottom w:val="single" w:sz="8" w:space="0" w:color="000000"/>
            </w:tcBorders>
            <w:shd w:fill="CCEEFF" w:val="clear"/>
            <w:tcMar>
              <w:bottom w:w="28" w:type="dxa"/>
            </w:tcMar>
            <w:vAlign w:val="center"/>
          </w:tcPr>
          <w:p>
            <w:pPr>
              <w:pStyle w:val="TableContents"/>
              <w:spacing w:before="0" w:after="283"/>
              <w:jc w:val="left"/>
              <w:rPr>
                <w:sz w:val="20"/>
              </w:rPr>
            </w:pPr>
            <w:r>
              <w:rPr>
                <w:sz w:val="20"/>
              </w:rPr>
              <w:t>$</w:t>
            </w:r>
          </w:p>
        </w:tc>
        <w:tc>
          <w:tcPr>
            <w:tcW w:w="142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66,791</w:t>
            </w:r>
          </w:p>
        </w:tc>
        <w:tc>
          <w:tcPr>
            <w:tcW w:w="97" w:type="dxa"/>
            <w:tcBorders/>
            <w:shd w:fill="CCEEFF" w:val="clear"/>
            <w:vAlign w:val="center"/>
          </w:tcPr>
          <w:p>
            <w:pPr>
              <w:pStyle w:val="TableContents"/>
              <w:spacing w:before="0" w:after="283"/>
              <w:jc w:val="left"/>
              <w:rPr/>
            </w:pPr>
            <w:r>
              <w:rPr/>
              <w:t> </w:t>
            </w:r>
          </w:p>
        </w:tc>
      </w:tr>
      <w:tr>
        <w:trPr/>
        <w:tc>
          <w:tcPr>
            <w:tcW w:w="8415" w:type="dxa"/>
            <w:tcBorders/>
            <w:shd w:fill="FFFFFF" w:val="clear"/>
            <w:vAlign w:val="center"/>
          </w:tcPr>
          <w:p>
            <w:pPr>
              <w:pStyle w:val="TableContents"/>
              <w:spacing w:before="0" w:after="283"/>
              <w:jc w:val="left"/>
              <w:rPr>
                <w:b/>
                <w:sz w:val="20"/>
              </w:rPr>
            </w:pPr>
            <w:r>
              <w:rPr>
                <w:b/>
                <w:sz w:val="20"/>
              </w:rPr>
              <w:t>Loss from operations</w:t>
            </w:r>
          </w:p>
        </w:tc>
        <w:tc>
          <w:tcPr>
            <w:tcW w:w="60" w:type="dxa"/>
            <w:tcBorders/>
            <w:shd w:fill="FFFFFF" w:val="clear"/>
            <w:vAlign w:val="center"/>
          </w:tcPr>
          <w:p>
            <w:pPr>
              <w:pStyle w:val="TableContents"/>
              <w:spacing w:before="0" w:after="283"/>
              <w:rPr/>
            </w:pPr>
            <w:r>
              <w:rPr/>
              <w:t> </w:t>
            </w:r>
          </w:p>
        </w:tc>
        <w:tc>
          <w:tcPr>
            <w:tcW w:w="20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42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(66,791</w:t>
            </w:r>
          </w:p>
        </w:tc>
        <w:tc>
          <w:tcPr>
            <w:tcW w:w="97" w:type="dxa"/>
            <w:tcBorders/>
            <w:shd w:fill="FFFFFF" w:val="clear"/>
            <w:vAlign w:val="center"/>
          </w:tcPr>
          <w:p>
            <w:pPr>
              <w:pStyle w:val="TableContents"/>
              <w:spacing w:before="0" w:after="283"/>
              <w:jc w:val="left"/>
              <w:rPr>
                <w:sz w:val="20"/>
              </w:rPr>
            </w:pPr>
            <w:r>
              <w:rPr>
                <w:sz w:val="20"/>
              </w:rPr>
              <w:t>)</w:t>
            </w:r>
          </w:p>
        </w:tc>
      </w:tr>
      <w:tr>
        <w:trPr/>
        <w:tc>
          <w:tcPr>
            <w:tcW w:w="8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424"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jc w:val="left"/>
              <w:rPr/>
            </w:pPr>
            <w:r>
              <w:rPr/>
              <w:t> </w:t>
            </w:r>
          </w:p>
        </w:tc>
      </w:tr>
      <w:tr>
        <w:trPr/>
        <w:tc>
          <w:tcPr>
            <w:tcW w:w="8415" w:type="dxa"/>
            <w:tcBorders/>
            <w:shd w:fill="FFFFFF" w:val="clear"/>
            <w:vAlign w:val="center"/>
          </w:tcPr>
          <w:p>
            <w:pPr>
              <w:pStyle w:val="TableContents"/>
              <w:spacing w:before="0" w:after="283"/>
              <w:jc w:val="left"/>
              <w:rPr>
                <w:b/>
                <w:sz w:val="20"/>
              </w:rPr>
            </w:pPr>
            <w:r>
              <w:rPr>
                <w:b/>
                <w:sz w:val="20"/>
              </w:rPr>
              <w:t>Other income</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424" w:type="dxa"/>
            <w:tcBorders/>
            <w:shd w:fill="FFFFFF" w:val="clear"/>
            <w:vAlign w:val="center"/>
          </w:tcPr>
          <w:p>
            <w:pPr>
              <w:pStyle w:val="TableContents"/>
              <w:spacing w:before="0" w:after="283"/>
              <w:jc w:val="right"/>
              <w:rPr/>
            </w:pPr>
            <w:r>
              <w:rPr/>
              <w:t> </w:t>
            </w:r>
          </w:p>
        </w:tc>
        <w:tc>
          <w:tcPr>
            <w:tcW w:w="97" w:type="dxa"/>
            <w:tcBorders/>
            <w:shd w:fill="FFFFFF" w:val="clear"/>
            <w:vAlign w:val="center"/>
          </w:tcPr>
          <w:p>
            <w:pPr>
              <w:pStyle w:val="TableContents"/>
              <w:spacing w:before="0" w:after="283"/>
              <w:jc w:val="left"/>
              <w:rPr/>
            </w:pPr>
            <w:r>
              <w:rPr/>
              <w:t> </w:t>
            </w:r>
          </w:p>
        </w:tc>
      </w:tr>
      <w:tr>
        <w:trPr/>
        <w:tc>
          <w:tcPr>
            <w:tcW w:w="8415" w:type="dxa"/>
            <w:tcBorders/>
            <w:shd w:fill="CCEEFF" w:val="clear"/>
            <w:vAlign w:val="center"/>
          </w:tcPr>
          <w:p>
            <w:pPr>
              <w:pStyle w:val="TableContents"/>
              <w:spacing w:before="0" w:after="283"/>
              <w:jc w:val="left"/>
              <w:rPr>
                <w:sz w:val="20"/>
              </w:rPr>
            </w:pPr>
            <w:r>
              <w:rPr>
                <w:sz w:val="20"/>
              </w:rPr>
              <w:t>Interest income earned on Trust</w:t>
            </w:r>
          </w:p>
        </w:tc>
        <w:tc>
          <w:tcPr>
            <w:tcW w:w="60" w:type="dxa"/>
            <w:tcBorders/>
            <w:shd w:fill="CCEEFF" w:val="clear"/>
            <w:vAlign w:val="center"/>
          </w:tcPr>
          <w:p>
            <w:pPr>
              <w:pStyle w:val="TableContents"/>
              <w:spacing w:before="0" w:after="283"/>
              <w:rPr/>
            </w:pPr>
            <w:r>
              <w:rPr/>
              <w:t> </w:t>
            </w:r>
          </w:p>
        </w:tc>
        <w:tc>
          <w:tcPr>
            <w:tcW w:w="20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424"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899</w:t>
            </w:r>
          </w:p>
        </w:tc>
        <w:tc>
          <w:tcPr>
            <w:tcW w:w="97" w:type="dxa"/>
            <w:tcBorders/>
            <w:shd w:fill="CCEEFF" w:val="clear"/>
            <w:vAlign w:val="center"/>
          </w:tcPr>
          <w:p>
            <w:pPr>
              <w:pStyle w:val="TableContents"/>
              <w:spacing w:before="0" w:after="283"/>
              <w:jc w:val="left"/>
              <w:rPr/>
            </w:pPr>
            <w:r>
              <w:rPr/>
              <w:t> </w:t>
            </w:r>
          </w:p>
        </w:tc>
      </w:tr>
      <w:tr>
        <w:trPr/>
        <w:tc>
          <w:tcPr>
            <w:tcW w:w="8415" w:type="dxa"/>
            <w:tcBorders/>
            <w:shd w:fill="FFFFFF" w:val="clear"/>
            <w:vAlign w:val="center"/>
          </w:tcPr>
          <w:p>
            <w:pPr>
              <w:pStyle w:val="TableContents"/>
              <w:spacing w:before="0" w:after="283"/>
              <w:jc w:val="left"/>
              <w:rPr>
                <w:b/>
                <w:sz w:val="20"/>
              </w:rPr>
            </w:pPr>
            <w:r>
              <w:rPr>
                <w:b/>
                <w:sz w:val="20"/>
              </w:rPr>
              <w:t>Total other income</w:t>
            </w:r>
          </w:p>
        </w:tc>
        <w:tc>
          <w:tcPr>
            <w:tcW w:w="60" w:type="dxa"/>
            <w:tcBorders/>
            <w:shd w:fill="FFFFFF" w:val="clear"/>
            <w:vAlign w:val="center"/>
          </w:tcPr>
          <w:p>
            <w:pPr>
              <w:pStyle w:val="TableContents"/>
              <w:spacing w:before="0" w:after="283"/>
              <w:rPr/>
            </w:pPr>
            <w:r>
              <w:rPr/>
              <w:t> </w:t>
            </w:r>
          </w:p>
        </w:tc>
        <w:tc>
          <w:tcPr>
            <w:tcW w:w="20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42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899</w:t>
            </w:r>
          </w:p>
        </w:tc>
        <w:tc>
          <w:tcPr>
            <w:tcW w:w="97" w:type="dxa"/>
            <w:tcBorders/>
            <w:shd w:fill="FFFFFF" w:val="clear"/>
            <w:vAlign w:val="center"/>
          </w:tcPr>
          <w:p>
            <w:pPr>
              <w:pStyle w:val="TableContents"/>
              <w:spacing w:before="0" w:after="283"/>
              <w:jc w:val="left"/>
              <w:rPr/>
            </w:pPr>
            <w:r>
              <w:rPr/>
              <w:t> </w:t>
            </w:r>
          </w:p>
        </w:tc>
      </w:tr>
      <w:tr>
        <w:trPr/>
        <w:tc>
          <w:tcPr>
            <w:tcW w:w="8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424"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jc w:val="left"/>
              <w:rPr/>
            </w:pPr>
            <w:r>
              <w:rPr/>
              <w:t> </w:t>
            </w:r>
          </w:p>
        </w:tc>
      </w:tr>
      <w:tr>
        <w:trPr/>
        <w:tc>
          <w:tcPr>
            <w:tcW w:w="8415" w:type="dxa"/>
            <w:tcBorders/>
            <w:shd w:fill="FFFFFF" w:val="clear"/>
            <w:vAlign w:val="center"/>
          </w:tcPr>
          <w:p>
            <w:pPr>
              <w:pStyle w:val="TableContents"/>
              <w:spacing w:before="0" w:after="283"/>
              <w:jc w:val="left"/>
              <w:rPr>
                <w:b/>
                <w:sz w:val="20"/>
              </w:rPr>
            </w:pPr>
            <w:r>
              <w:rPr>
                <w:b/>
                <w:sz w:val="20"/>
              </w:rPr>
              <w:t>Net loss</w:t>
            </w:r>
          </w:p>
        </w:tc>
        <w:tc>
          <w:tcPr>
            <w:tcW w:w="60" w:type="dxa"/>
            <w:tcBorders/>
            <w:shd w:fill="FFFFFF" w:val="clear"/>
            <w:vAlign w:val="center"/>
          </w:tcPr>
          <w:p>
            <w:pPr>
              <w:pStyle w:val="TableContents"/>
              <w:spacing w:before="0" w:after="283"/>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jc w:val="left"/>
              <w:rPr>
                <w:sz w:val="20"/>
              </w:rPr>
            </w:pPr>
            <w:r>
              <w:rPr>
                <w:sz w:val="20"/>
              </w:rPr>
              <w:t>$</w:t>
            </w:r>
          </w:p>
        </w:tc>
        <w:tc>
          <w:tcPr>
            <w:tcW w:w="1424"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(65,892</w:t>
            </w:r>
          </w:p>
        </w:tc>
        <w:tc>
          <w:tcPr>
            <w:tcW w:w="97" w:type="dxa"/>
            <w:tcBorders/>
            <w:shd w:fill="FFFFFF" w:val="clear"/>
            <w:vAlign w:val="center"/>
          </w:tcPr>
          <w:p>
            <w:pPr>
              <w:pStyle w:val="TableContents"/>
              <w:spacing w:before="0" w:after="283"/>
              <w:jc w:val="left"/>
              <w:rPr>
                <w:sz w:val="20"/>
              </w:rPr>
            </w:pPr>
            <w:r>
              <w:rPr>
                <w:sz w:val="20"/>
              </w:rPr>
              <w:t>)</w:t>
            </w:r>
          </w:p>
        </w:tc>
      </w:tr>
      <w:tr>
        <w:trPr/>
        <w:tc>
          <w:tcPr>
            <w:tcW w:w="8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424"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jc w:val="left"/>
              <w:rPr/>
            </w:pPr>
            <w:r>
              <w:rPr/>
              <w:t> </w:t>
            </w:r>
          </w:p>
        </w:tc>
      </w:tr>
      <w:tr>
        <w:trPr/>
        <w:tc>
          <w:tcPr>
            <w:tcW w:w="8415" w:type="dxa"/>
            <w:tcBorders/>
            <w:shd w:fill="FFFFFF" w:val="clear"/>
            <w:vAlign w:val="center"/>
          </w:tcPr>
          <w:p>
            <w:pPr>
              <w:pStyle w:val="TableContents"/>
              <w:spacing w:before="0" w:after="283"/>
              <w:jc w:val="left"/>
              <w:rPr>
                <w:sz w:val="20"/>
              </w:rPr>
            </w:pPr>
            <w:r>
              <w:rPr>
                <w:sz w:val="20"/>
              </w:rPr>
              <w:t>Weighted average shares outstanding of Class A common stock subject to redemption, basic and diluted</w:t>
            </w:r>
          </w:p>
        </w:tc>
        <w:tc>
          <w:tcPr>
            <w:tcW w:w="60" w:type="dxa"/>
            <w:tcBorders/>
            <w:shd w:fill="FFFFFF" w:val="clear"/>
            <w:vAlign w:val="center"/>
          </w:tcPr>
          <w:p>
            <w:pPr>
              <w:pStyle w:val="TableContents"/>
              <w:spacing w:before="0" w:after="283"/>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424"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1,602,459</w:t>
            </w:r>
          </w:p>
        </w:tc>
        <w:tc>
          <w:tcPr>
            <w:tcW w:w="97" w:type="dxa"/>
            <w:tcBorders/>
            <w:shd w:fill="FFFFFF" w:val="clear"/>
            <w:vAlign w:val="center"/>
          </w:tcPr>
          <w:p>
            <w:pPr>
              <w:pStyle w:val="TableContents"/>
              <w:spacing w:before="0" w:after="283"/>
              <w:jc w:val="left"/>
              <w:rPr/>
            </w:pPr>
            <w:r>
              <w:rPr/>
              <w:t> </w:t>
            </w:r>
          </w:p>
        </w:tc>
      </w:tr>
      <w:tr>
        <w:trPr/>
        <w:tc>
          <w:tcPr>
            <w:tcW w:w="8415" w:type="dxa"/>
            <w:tcBorders/>
            <w:shd w:fill="CCEEFF" w:val="clear"/>
            <w:vAlign w:val="center"/>
          </w:tcPr>
          <w:p>
            <w:pPr>
              <w:pStyle w:val="TableContents"/>
              <w:spacing w:before="0" w:after="283"/>
              <w:jc w:val="left"/>
              <w:rPr>
                <w:sz w:val="20"/>
              </w:rPr>
            </w:pPr>
            <w:r>
              <w:rPr>
                <w:sz w:val="20"/>
              </w:rPr>
              <w:t>Basic and diluted net loss per common stock, Class A subject to redemption</w:t>
            </w:r>
          </w:p>
        </w:tc>
        <w:tc>
          <w:tcPr>
            <w:tcW w:w="60" w:type="dxa"/>
            <w:tcBorders/>
            <w:shd w:fill="CCEEFF" w:val="clear"/>
            <w:vAlign w:val="center"/>
          </w:tcPr>
          <w:p>
            <w:pPr>
              <w:pStyle w:val="TableContents"/>
              <w:spacing w:before="0" w:after="283"/>
              <w:rPr/>
            </w:pPr>
            <w:r>
              <w:rPr/>
              <w:t> </w:t>
            </w:r>
          </w:p>
        </w:tc>
        <w:tc>
          <w:tcPr>
            <w:tcW w:w="209"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1424"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(0.01</w:t>
            </w:r>
          </w:p>
        </w:tc>
        <w:tc>
          <w:tcPr>
            <w:tcW w:w="97" w:type="dxa"/>
            <w:tcBorders/>
            <w:shd w:fill="CCEEFF" w:val="clear"/>
            <w:vAlign w:val="center"/>
          </w:tcPr>
          <w:p>
            <w:pPr>
              <w:pStyle w:val="TableContents"/>
              <w:spacing w:before="0" w:after="283"/>
              <w:jc w:val="left"/>
              <w:rPr>
                <w:sz w:val="20"/>
              </w:rPr>
            </w:pPr>
            <w:r>
              <w:rPr>
                <w:sz w:val="20"/>
              </w:rPr>
              <w:t>)</w:t>
            </w:r>
          </w:p>
        </w:tc>
      </w:tr>
      <w:tr>
        <w:trPr/>
        <w:tc>
          <w:tcPr>
            <w:tcW w:w="8415" w:type="dxa"/>
            <w:tcBorders/>
            <w:shd w:fill="FFFFFF" w:val="clear"/>
            <w:vAlign w:val="center"/>
          </w:tcPr>
          <w:p>
            <w:pPr>
              <w:pStyle w:val="TableContents"/>
              <w:spacing w:before="0" w:after="283"/>
              <w:jc w:val="left"/>
              <w:rPr>
                <w:sz w:val="20"/>
              </w:rPr>
            </w:pPr>
            <w:r>
              <w:rPr>
                <w:sz w:val="20"/>
              </w:rPr>
              <w:t>Weighted average shares outstanding of non-redeemable Class A common stock, basic and diluted</w:t>
            </w:r>
          </w:p>
        </w:tc>
        <w:tc>
          <w:tcPr>
            <w:tcW w:w="60" w:type="dxa"/>
            <w:tcBorders/>
            <w:shd w:fill="FFFFFF" w:val="clear"/>
            <w:vAlign w:val="center"/>
          </w:tcPr>
          <w:p>
            <w:pPr>
              <w:pStyle w:val="TableContents"/>
              <w:spacing w:before="0" w:after="283"/>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424"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24,037</w:t>
            </w:r>
          </w:p>
        </w:tc>
        <w:tc>
          <w:tcPr>
            <w:tcW w:w="97" w:type="dxa"/>
            <w:tcBorders/>
            <w:shd w:fill="FFFFFF" w:val="clear"/>
            <w:vAlign w:val="center"/>
          </w:tcPr>
          <w:p>
            <w:pPr>
              <w:pStyle w:val="TableContents"/>
              <w:spacing w:before="0" w:after="283"/>
              <w:jc w:val="left"/>
              <w:rPr/>
            </w:pPr>
            <w:r>
              <w:rPr/>
              <w:t> </w:t>
            </w:r>
          </w:p>
        </w:tc>
      </w:tr>
      <w:tr>
        <w:trPr/>
        <w:tc>
          <w:tcPr>
            <w:tcW w:w="8415" w:type="dxa"/>
            <w:tcBorders/>
            <w:shd w:fill="CCEEFF" w:val="clear"/>
            <w:vAlign w:val="center"/>
          </w:tcPr>
          <w:p>
            <w:pPr>
              <w:pStyle w:val="TableContents"/>
              <w:spacing w:before="0" w:after="283"/>
              <w:jc w:val="left"/>
              <w:rPr>
                <w:sz w:val="20"/>
              </w:rPr>
            </w:pPr>
            <w:r>
              <w:rPr>
                <w:sz w:val="20"/>
              </w:rPr>
              <w:t>Basic and diluted net loss per common stock, non-redeemable Class A</w:t>
            </w:r>
          </w:p>
        </w:tc>
        <w:tc>
          <w:tcPr>
            <w:tcW w:w="60" w:type="dxa"/>
            <w:tcBorders/>
            <w:shd w:fill="CCEEFF" w:val="clear"/>
            <w:vAlign w:val="center"/>
          </w:tcPr>
          <w:p>
            <w:pPr>
              <w:pStyle w:val="TableContents"/>
              <w:spacing w:before="0" w:after="283"/>
              <w:rPr/>
            </w:pPr>
            <w:r>
              <w:rPr/>
              <w:t> </w:t>
            </w:r>
          </w:p>
        </w:tc>
        <w:tc>
          <w:tcPr>
            <w:tcW w:w="209"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1424"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(0.01</w:t>
            </w:r>
          </w:p>
        </w:tc>
        <w:tc>
          <w:tcPr>
            <w:tcW w:w="97" w:type="dxa"/>
            <w:tcBorders/>
            <w:shd w:fill="CCEEFF" w:val="clear"/>
            <w:vAlign w:val="center"/>
          </w:tcPr>
          <w:p>
            <w:pPr>
              <w:pStyle w:val="TableContents"/>
              <w:spacing w:before="0" w:after="283"/>
              <w:jc w:val="left"/>
              <w:rPr>
                <w:sz w:val="20"/>
              </w:rPr>
            </w:pPr>
            <w:r>
              <w:rPr>
                <w:sz w:val="20"/>
              </w:rPr>
              <w:t>)</w:t>
            </w:r>
          </w:p>
        </w:tc>
      </w:tr>
      <w:tr>
        <w:trPr/>
        <w:tc>
          <w:tcPr>
            <w:tcW w:w="8415" w:type="dxa"/>
            <w:tcBorders/>
            <w:shd w:fill="FFFFFF" w:val="clear"/>
            <w:vAlign w:val="center"/>
          </w:tcPr>
          <w:p>
            <w:pPr>
              <w:pStyle w:val="TableContents"/>
              <w:spacing w:before="0" w:after="283"/>
              <w:jc w:val="left"/>
              <w:rPr>
                <w:sz w:val="20"/>
              </w:rPr>
            </w:pPr>
            <w:r>
              <w:rPr>
                <w:sz w:val="20"/>
              </w:rPr>
              <w:t>Weighted average shares outstanding of Class B common stock, basic and diluted</w:t>
            </w:r>
          </w:p>
        </w:tc>
        <w:tc>
          <w:tcPr>
            <w:tcW w:w="60" w:type="dxa"/>
            <w:tcBorders/>
            <w:shd w:fill="FFFFFF" w:val="clear"/>
            <w:vAlign w:val="center"/>
          </w:tcPr>
          <w:p>
            <w:pPr>
              <w:pStyle w:val="TableContents"/>
              <w:spacing w:before="0" w:after="283"/>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424"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8,318,975</w:t>
            </w:r>
          </w:p>
        </w:tc>
        <w:tc>
          <w:tcPr>
            <w:tcW w:w="97" w:type="dxa"/>
            <w:tcBorders/>
            <w:shd w:fill="FFFFFF" w:val="clear"/>
            <w:vAlign w:val="center"/>
          </w:tcPr>
          <w:p>
            <w:pPr>
              <w:pStyle w:val="TableContents"/>
              <w:spacing w:before="0" w:after="283"/>
              <w:jc w:val="left"/>
              <w:rPr/>
            </w:pPr>
            <w:r>
              <w:rPr/>
              <w:t> </w:t>
            </w:r>
          </w:p>
        </w:tc>
      </w:tr>
      <w:tr>
        <w:trPr/>
        <w:tc>
          <w:tcPr>
            <w:tcW w:w="8415" w:type="dxa"/>
            <w:tcBorders/>
            <w:shd w:fill="CCEEFF" w:val="clear"/>
            <w:vAlign w:val="center"/>
          </w:tcPr>
          <w:p>
            <w:pPr>
              <w:pStyle w:val="TableContents"/>
              <w:spacing w:before="0" w:after="283"/>
              <w:jc w:val="left"/>
              <w:rPr>
                <w:sz w:val="20"/>
              </w:rPr>
            </w:pPr>
            <w:r>
              <w:rPr>
                <w:sz w:val="20"/>
              </w:rPr>
              <w:t>Basic and diluted net loss per common stock, Class B</w:t>
            </w:r>
          </w:p>
        </w:tc>
        <w:tc>
          <w:tcPr>
            <w:tcW w:w="60" w:type="dxa"/>
            <w:tcBorders/>
            <w:shd w:fill="CCEEFF" w:val="clear"/>
            <w:vAlign w:val="center"/>
          </w:tcPr>
          <w:p>
            <w:pPr>
              <w:pStyle w:val="TableContents"/>
              <w:spacing w:before="0" w:after="283"/>
              <w:rPr/>
            </w:pPr>
            <w:r>
              <w:rPr/>
              <w:t> </w:t>
            </w:r>
          </w:p>
        </w:tc>
        <w:tc>
          <w:tcPr>
            <w:tcW w:w="209"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1424"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(0.01</w:t>
            </w:r>
          </w:p>
        </w:tc>
        <w:tc>
          <w:tcPr>
            <w:tcW w:w="97" w:type="dxa"/>
            <w:tcBorders/>
            <w:shd w:fill="CCEEFF" w:val="clear"/>
            <w:vAlign w:val="center"/>
          </w:tcPr>
          <w:p>
            <w:pPr>
              <w:pStyle w:val="TableContents"/>
              <w:spacing w:before="0" w:after="283"/>
              <w:jc w:val="left"/>
              <w:rPr>
                <w:sz w:val="20"/>
              </w:rPr>
            </w:pPr>
            <w:r>
              <w:rPr>
                <w:sz w:val="20"/>
              </w:rPr>
              <w:t>)</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F-4</w:t>
      </w:r>
    </w:p>
    <w:p>
      <w:pPr>
        <w:pStyle w:val="TextBody"/>
        <w:spacing w:before="0" w:after="0"/>
        <w:ind w:left="0" w:right="0" w:hanging="0"/>
        <w:rPr/>
      </w:pPr>
      <w:r>
        <w:rPr/>
        <w:t> </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30" w:name="sn_004"/>
      <w:bookmarkEnd w:id="30"/>
      <w:r>
        <w:rPr>
          <w:rFonts w:ascii="Times New Roman;Times;Serif" w:hAnsi="Times New Roman;Times;Serif"/>
          <w:b/>
          <w:i w:val="false"/>
          <w:caps w:val="false"/>
          <w:smallCaps w:val="false"/>
          <w:sz w:val="20"/>
        </w:rPr>
        <w:t>STATEMENT OF CHANGES IN STOCKHOLDERS’ DEFICIT </w:t>
      </w:r>
    </w:p>
    <w:p>
      <w:pPr>
        <w:pStyle w:val="TextBody"/>
        <w:shd w:fill="FFFFFF" w:val="clear"/>
        <w:spacing w:before="0" w:after="0"/>
        <w:ind w:left="0" w:right="0" w:firstLine="36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442"/>
        <w:gridCol w:w="60"/>
        <w:gridCol w:w="60"/>
        <w:gridCol w:w="740"/>
        <w:gridCol w:w="60"/>
        <w:gridCol w:w="60"/>
        <w:gridCol w:w="166"/>
        <w:gridCol w:w="439"/>
        <w:gridCol w:w="60"/>
        <w:gridCol w:w="60"/>
        <w:gridCol w:w="60"/>
        <w:gridCol w:w="740"/>
        <w:gridCol w:w="60"/>
        <w:gridCol w:w="60"/>
        <w:gridCol w:w="166"/>
        <w:gridCol w:w="439"/>
        <w:gridCol w:w="60"/>
        <w:gridCol w:w="60"/>
        <w:gridCol w:w="110"/>
        <w:gridCol w:w="890"/>
        <w:gridCol w:w="80"/>
        <w:gridCol w:w="60"/>
        <w:gridCol w:w="122"/>
        <w:gridCol w:w="888"/>
        <w:gridCol w:w="80"/>
        <w:gridCol w:w="60"/>
        <w:gridCol w:w="113"/>
        <w:gridCol w:w="914"/>
        <w:gridCol w:w="96"/>
      </w:tblGrid>
      <w:tr>
        <w:trPr/>
        <w:tc>
          <w:tcPr>
            <w:tcW w:w="344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25"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25"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7"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44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b/>
                <w:sz w:val="16"/>
              </w:rPr>
            </w:pPr>
            <w:r>
              <w:rPr>
                <w:b/>
                <w:sz w:val="16"/>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gridSpan w:val="2"/>
            <w:tcBorders>
              <w:bottom w:val="single" w:sz="8" w:space="0" w:color="000000"/>
            </w:tcBorders>
            <w:shd w:fill="auto" w:val="clear"/>
            <w:tcMar>
              <w:bottom w:w="28" w:type="dxa"/>
            </w:tcMar>
            <w:vAlign w:val="center"/>
          </w:tcPr>
          <w:p>
            <w:pPr>
              <w:pStyle w:val="TableContents"/>
              <w:spacing w:before="0" w:after="283"/>
              <w:jc w:val="center"/>
              <w:rPr>
                <w:b/>
                <w:sz w:val="16"/>
              </w:rPr>
            </w:pPr>
            <w:r>
              <w:rPr>
                <w:b/>
                <w:sz w:val="16"/>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283"/>
              <w:jc w:val="center"/>
              <w:rPr>
                <w:b/>
                <w:sz w:val="16"/>
              </w:rPr>
            </w:pPr>
            <w:r>
              <w:rPr>
                <w:b/>
                <w:sz w:val="16"/>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gridSpan w:val="2"/>
            <w:tcBorders>
              <w:bottom w:val="single" w:sz="8" w:space="0" w:color="000000"/>
            </w:tcBorders>
            <w:shd w:fill="auto" w:val="clear"/>
            <w:tcMar>
              <w:bottom w:w="28" w:type="dxa"/>
            </w:tcMar>
            <w:vAlign w:val="center"/>
          </w:tcPr>
          <w:p>
            <w:pPr>
              <w:pStyle w:val="TableContents"/>
              <w:spacing w:before="0" w:after="283"/>
              <w:jc w:val="center"/>
              <w:rPr>
                <w:b/>
                <w:sz w:val="16"/>
              </w:rPr>
            </w:pPr>
            <w:r>
              <w:rPr>
                <w:b/>
                <w:sz w:val="16"/>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7" w:type="dxa"/>
            <w:gridSpan w:val="2"/>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r>
      <w:tr>
        <w:trPr/>
        <w:tc>
          <w:tcPr>
            <w:tcW w:w="3442" w:type="dxa"/>
            <w:tcBorders/>
            <w:shd w:fill="CCEEFF" w:val="clear"/>
            <w:vAlign w:val="center"/>
          </w:tcPr>
          <w:p>
            <w:pPr>
              <w:pStyle w:val="TableContents"/>
              <w:spacing w:before="0" w:after="283"/>
              <w:rPr>
                <w:b/>
                <w:sz w:val="16"/>
              </w:rPr>
            </w:pPr>
            <w:r>
              <w:rPr>
                <w:b/>
                <w:sz w:val="16"/>
              </w:rPr>
              <w:t>Balance – March 2, 2021 (Inception)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b/>
                <w:sz w:val="16"/>
              </w:rPr>
            </w:pPr>
            <w:r>
              <w:rPr>
                <w:b/>
                <w:sz w:val="16"/>
              </w:rPr>
              <w:t>$</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b/>
                <w:sz w:val="16"/>
              </w:rPr>
            </w:pPr>
            <w:r>
              <w:rPr>
                <w:b/>
                <w:sz w:val="16"/>
              </w:rPr>
              <w:t>$</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b/>
                <w:sz w:val="16"/>
              </w:rPr>
            </w:pPr>
            <w:r>
              <w:rPr>
                <w:b/>
                <w:sz w:val="16"/>
              </w:rPr>
              <w:t>$</w:t>
            </w:r>
          </w:p>
        </w:tc>
        <w:tc>
          <w:tcPr>
            <w:tcW w:w="890"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jc w:val="left"/>
              <w:rPr>
                <w:b/>
                <w:sz w:val="16"/>
              </w:rPr>
            </w:pPr>
            <w:r>
              <w:rPr>
                <w:b/>
                <w:sz w:val="16"/>
              </w:rPr>
              <w:t>$</w:t>
            </w:r>
          </w:p>
        </w:tc>
        <w:tc>
          <w:tcPr>
            <w:tcW w:w="888"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b/>
                <w:sz w:val="16"/>
              </w:rPr>
            </w:pPr>
            <w:r>
              <w:rPr>
                <w:b/>
                <w:sz w:val="16"/>
              </w:rPr>
              <w:t>$</w:t>
            </w:r>
          </w:p>
        </w:tc>
        <w:tc>
          <w:tcPr>
            <w:tcW w:w="914" w:type="dxa"/>
            <w:tcBorders/>
            <w:shd w:fill="CCEEFF" w:val="clear"/>
            <w:vAlign w:val="center"/>
          </w:tcPr>
          <w:p>
            <w:pPr>
              <w:pStyle w:val="TableContents"/>
              <w:spacing w:before="0" w:after="283"/>
              <w:jc w:val="right"/>
              <w:rPr/>
            </w:pPr>
            <w:r>
              <w:rPr/>
              <w:t>—</w:t>
            </w:r>
          </w:p>
        </w:tc>
        <w:tc>
          <w:tcPr>
            <w:tcW w:w="96" w:type="dxa"/>
            <w:tcBorders/>
            <w:shd w:fill="CCEEFF" w:val="clear"/>
            <w:vAlign w:val="center"/>
          </w:tcPr>
          <w:p>
            <w:pPr>
              <w:pStyle w:val="TableContents"/>
              <w:spacing w:before="0" w:after="283"/>
              <w:jc w:val="left"/>
              <w:rPr/>
            </w:pPr>
            <w:r>
              <w:rPr/>
              <w:t> </w:t>
            </w:r>
          </w:p>
        </w:tc>
      </w:tr>
      <w:tr>
        <w:trPr/>
        <w:tc>
          <w:tcPr>
            <w:tcW w:w="3442" w:type="dxa"/>
            <w:tcBorders/>
            <w:shd w:fill="FFFFFF" w:val="clear"/>
            <w:vAlign w:val="center"/>
          </w:tcPr>
          <w:p>
            <w:pPr>
              <w:pStyle w:val="TableContents"/>
              <w:spacing w:before="0" w:after="283"/>
              <w:jc w:val="left"/>
              <w:rPr>
                <w:sz w:val="16"/>
              </w:rPr>
            </w:pPr>
            <w:r>
              <w:rPr>
                <w:sz w:val="16"/>
              </w:rPr>
              <w:t>Class B common stock issued to the Sponsor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43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sz w:val="16"/>
              </w:rPr>
            </w:pPr>
            <w:r>
              <w:rPr>
                <w:sz w:val="16"/>
              </w:rPr>
              <w:t>9,487,500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439" w:type="dxa"/>
            <w:tcBorders/>
            <w:shd w:fill="FFFFFF" w:val="clear"/>
            <w:vAlign w:val="center"/>
          </w:tcPr>
          <w:p>
            <w:pPr>
              <w:pStyle w:val="TableContents"/>
              <w:spacing w:before="0" w:after="283"/>
              <w:jc w:val="right"/>
              <w:rPr>
                <w:sz w:val="16"/>
              </w:rPr>
            </w:pPr>
            <w:r>
              <w:rPr>
                <w:sz w:val="16"/>
              </w:rPr>
              <w:t>949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24,051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jc w:val="left"/>
              <w:rPr/>
            </w:pPr>
            <w:r>
              <w:rPr/>
              <w:t> </w:t>
            </w:r>
          </w:p>
        </w:tc>
        <w:tc>
          <w:tcPr>
            <w:tcW w:w="888"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914" w:type="dxa"/>
            <w:tcBorders/>
            <w:shd w:fill="FFFFFF" w:val="clear"/>
            <w:vAlign w:val="center"/>
          </w:tcPr>
          <w:p>
            <w:pPr>
              <w:pStyle w:val="TableContents"/>
              <w:spacing w:before="0" w:after="283"/>
              <w:jc w:val="right"/>
              <w:rPr>
                <w:sz w:val="16"/>
              </w:rPr>
            </w:pPr>
            <w:r>
              <w:rPr>
                <w:sz w:val="16"/>
              </w:rPr>
              <w:t>25,000</w:t>
            </w:r>
          </w:p>
        </w:tc>
        <w:tc>
          <w:tcPr>
            <w:tcW w:w="96" w:type="dxa"/>
            <w:tcBorders/>
            <w:shd w:fill="FFFFFF" w:val="clear"/>
            <w:vAlign w:val="center"/>
          </w:tcPr>
          <w:p>
            <w:pPr>
              <w:pStyle w:val="TableContents"/>
              <w:spacing w:before="0" w:after="283"/>
              <w:jc w:val="left"/>
              <w:rPr/>
            </w:pPr>
            <w:r>
              <w:rPr/>
              <w:t> </w:t>
            </w:r>
          </w:p>
        </w:tc>
      </w:tr>
      <w:tr>
        <w:trPr/>
        <w:tc>
          <w:tcPr>
            <w:tcW w:w="3442" w:type="dxa"/>
            <w:tcBorders/>
            <w:shd w:fill="CCEEFF" w:val="clear"/>
            <w:vAlign w:val="center"/>
          </w:tcPr>
          <w:p>
            <w:pPr>
              <w:pStyle w:val="TableContents"/>
              <w:spacing w:before="0" w:after="283"/>
              <w:jc w:val="left"/>
              <w:rPr>
                <w:sz w:val="16"/>
              </w:rPr>
            </w:pPr>
            <w:r>
              <w:rPr>
                <w:sz w:val="16"/>
              </w:rPr>
              <w:t>Allocated fair value of 28,750,000 Public Warrants net of allocated 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17,683,807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jc w:val="left"/>
              <w:rPr/>
            </w:pPr>
            <w:r>
              <w:rPr/>
              <w:t> </w:t>
            </w:r>
          </w:p>
        </w:tc>
        <w:tc>
          <w:tcPr>
            <w:tcW w:w="888"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914" w:type="dxa"/>
            <w:tcBorders/>
            <w:shd w:fill="CCEEFF" w:val="clear"/>
            <w:vAlign w:val="center"/>
          </w:tcPr>
          <w:p>
            <w:pPr>
              <w:pStyle w:val="TableContents"/>
              <w:spacing w:before="0" w:after="283"/>
              <w:jc w:val="right"/>
              <w:rPr>
                <w:sz w:val="16"/>
              </w:rPr>
            </w:pPr>
            <w:r>
              <w:rPr>
                <w:sz w:val="16"/>
              </w:rPr>
              <w:t>17,683,807</w:t>
            </w:r>
          </w:p>
        </w:tc>
        <w:tc>
          <w:tcPr>
            <w:tcW w:w="96" w:type="dxa"/>
            <w:tcBorders/>
            <w:shd w:fill="CCEEFF" w:val="clear"/>
            <w:vAlign w:val="center"/>
          </w:tcPr>
          <w:p>
            <w:pPr>
              <w:pStyle w:val="TableContents"/>
              <w:spacing w:before="0" w:after="283"/>
              <w:jc w:val="left"/>
              <w:rPr/>
            </w:pPr>
            <w:r>
              <w:rPr/>
              <w:t> </w:t>
            </w:r>
          </w:p>
        </w:tc>
      </w:tr>
      <w:tr>
        <w:trPr/>
        <w:tc>
          <w:tcPr>
            <w:tcW w:w="3442" w:type="dxa"/>
            <w:tcBorders/>
            <w:shd w:fill="FFFFFF" w:val="clear"/>
            <w:vAlign w:val="center"/>
          </w:tcPr>
          <w:p>
            <w:pPr>
              <w:pStyle w:val="TableContents"/>
              <w:spacing w:before="0" w:after="283"/>
              <w:jc w:val="left"/>
              <w:rPr>
                <w:sz w:val="16"/>
              </w:rPr>
            </w:pPr>
            <w:r>
              <w:rPr>
                <w:sz w:val="16"/>
              </w:rPr>
              <w:t>Proceeds of 898,250 Private Placement Units net of allocated offering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sz w:val="16"/>
              </w:rPr>
            </w:pPr>
            <w:r>
              <w:rPr>
                <w:sz w:val="16"/>
              </w:rPr>
              <w:t>898,250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439" w:type="dxa"/>
            <w:tcBorders/>
            <w:shd w:fill="FFFFFF" w:val="clear"/>
            <w:vAlign w:val="center"/>
          </w:tcPr>
          <w:p>
            <w:pPr>
              <w:pStyle w:val="TableContents"/>
              <w:spacing w:before="0" w:after="283"/>
              <w:jc w:val="right"/>
              <w:rPr>
                <w:sz w:val="16"/>
              </w:rPr>
            </w:pPr>
            <w:r>
              <w:rPr>
                <w:sz w:val="16"/>
              </w:rPr>
              <w:t>90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43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8,861,764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jc w:val="left"/>
              <w:rPr/>
            </w:pPr>
            <w:r>
              <w:rPr/>
              <w:t> </w:t>
            </w:r>
          </w:p>
        </w:tc>
        <w:tc>
          <w:tcPr>
            <w:tcW w:w="888"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914" w:type="dxa"/>
            <w:tcBorders/>
            <w:shd w:fill="FFFFFF" w:val="clear"/>
            <w:vAlign w:val="center"/>
          </w:tcPr>
          <w:p>
            <w:pPr>
              <w:pStyle w:val="TableContents"/>
              <w:spacing w:before="0" w:after="283"/>
              <w:jc w:val="right"/>
              <w:rPr>
                <w:sz w:val="16"/>
              </w:rPr>
            </w:pPr>
            <w:r>
              <w:rPr>
                <w:sz w:val="16"/>
              </w:rPr>
              <w:t>8,861,854</w:t>
            </w:r>
          </w:p>
        </w:tc>
        <w:tc>
          <w:tcPr>
            <w:tcW w:w="96" w:type="dxa"/>
            <w:tcBorders/>
            <w:shd w:fill="FFFFFF" w:val="clear"/>
            <w:vAlign w:val="center"/>
          </w:tcPr>
          <w:p>
            <w:pPr>
              <w:pStyle w:val="TableContents"/>
              <w:spacing w:before="0" w:after="283"/>
              <w:jc w:val="left"/>
              <w:rPr/>
            </w:pPr>
            <w:r>
              <w:rPr/>
              <w:t> </w:t>
            </w:r>
          </w:p>
        </w:tc>
      </w:tr>
      <w:tr>
        <w:trPr/>
        <w:tc>
          <w:tcPr>
            <w:tcW w:w="3442" w:type="dxa"/>
            <w:tcBorders/>
            <w:shd w:fill="CCEEFF" w:val="clear"/>
            <w:vAlign w:val="center"/>
          </w:tcPr>
          <w:p>
            <w:pPr>
              <w:pStyle w:val="TableContents"/>
              <w:spacing w:before="0" w:after="283"/>
              <w:jc w:val="left"/>
              <w:rPr>
                <w:sz w:val="16"/>
              </w:rPr>
            </w:pPr>
            <w:r>
              <w:rPr>
                <w:sz w:val="16"/>
              </w:rPr>
              <w:t>Recorded the representative shares FV</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sz w:val="16"/>
              </w:rPr>
            </w:pPr>
            <w:r>
              <w:rPr>
                <w:sz w:val="16"/>
              </w:rPr>
              <w:t>431,250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439" w:type="dxa"/>
            <w:tcBorders/>
            <w:shd w:fill="CCEEFF" w:val="clear"/>
            <w:vAlign w:val="center"/>
          </w:tcPr>
          <w:p>
            <w:pPr>
              <w:pStyle w:val="TableContents"/>
              <w:spacing w:before="0" w:after="283"/>
              <w:jc w:val="right"/>
              <w:rPr>
                <w:sz w:val="16"/>
              </w:rPr>
            </w:pPr>
            <w:r>
              <w:rPr>
                <w:sz w:val="16"/>
              </w:rPr>
              <w:t>43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3,456,609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jc w:val="left"/>
              <w:rPr/>
            </w:pPr>
            <w:r>
              <w:rPr/>
              <w:t> </w:t>
            </w:r>
          </w:p>
        </w:tc>
        <w:tc>
          <w:tcPr>
            <w:tcW w:w="888"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914" w:type="dxa"/>
            <w:tcBorders/>
            <w:shd w:fill="CCEEFF" w:val="clear"/>
            <w:vAlign w:val="center"/>
          </w:tcPr>
          <w:p>
            <w:pPr>
              <w:pStyle w:val="TableContents"/>
              <w:spacing w:before="0" w:after="283"/>
              <w:jc w:val="right"/>
              <w:rPr>
                <w:sz w:val="16"/>
              </w:rPr>
            </w:pPr>
            <w:r>
              <w:rPr>
                <w:sz w:val="16"/>
              </w:rPr>
              <w:t>3,456,652</w:t>
            </w:r>
          </w:p>
        </w:tc>
        <w:tc>
          <w:tcPr>
            <w:tcW w:w="96" w:type="dxa"/>
            <w:tcBorders/>
            <w:shd w:fill="CCEEFF" w:val="clear"/>
            <w:vAlign w:val="center"/>
          </w:tcPr>
          <w:p>
            <w:pPr>
              <w:pStyle w:val="TableContents"/>
              <w:spacing w:before="0" w:after="283"/>
              <w:jc w:val="left"/>
              <w:rPr/>
            </w:pPr>
            <w:r>
              <w:rPr/>
              <w:t> </w:t>
            </w:r>
          </w:p>
        </w:tc>
      </w:tr>
      <w:tr>
        <w:trPr/>
        <w:tc>
          <w:tcPr>
            <w:tcW w:w="3442" w:type="dxa"/>
            <w:tcBorders/>
            <w:shd w:fill="FFFFFF" w:val="clear"/>
            <w:vAlign w:val="center"/>
          </w:tcPr>
          <w:p>
            <w:pPr>
              <w:pStyle w:val="TableContents"/>
              <w:spacing w:before="0" w:after="283"/>
              <w:jc w:val="left"/>
              <w:rPr>
                <w:sz w:val="16"/>
              </w:rPr>
            </w:pPr>
            <w:r>
              <w:rPr>
                <w:sz w:val="16"/>
              </w:rPr>
              <w:t>Additional amount in deposited into trust ($10.15 per Unit-$10.00 per Unit)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43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74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43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(4,312,500</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jc w:val="left"/>
              <w:rPr/>
            </w:pPr>
            <w:r>
              <w:rPr/>
              <w:t> </w:t>
            </w:r>
          </w:p>
        </w:tc>
        <w:tc>
          <w:tcPr>
            <w:tcW w:w="888"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914" w:type="dxa"/>
            <w:tcBorders/>
            <w:shd w:fill="FFFFFF" w:val="clear"/>
            <w:vAlign w:val="center"/>
          </w:tcPr>
          <w:p>
            <w:pPr>
              <w:pStyle w:val="TableContents"/>
              <w:spacing w:before="0" w:after="283"/>
              <w:jc w:val="right"/>
              <w:rPr>
                <w:sz w:val="16"/>
              </w:rPr>
            </w:pPr>
            <w:r>
              <w:rPr>
                <w:sz w:val="16"/>
              </w:rPr>
              <w:t>(4,312,500</w:t>
            </w:r>
          </w:p>
        </w:tc>
        <w:tc>
          <w:tcPr>
            <w:tcW w:w="96" w:type="dxa"/>
            <w:tcBorders/>
            <w:shd w:fill="FFFFFF" w:val="clear"/>
            <w:vAlign w:val="center"/>
          </w:tcPr>
          <w:p>
            <w:pPr>
              <w:pStyle w:val="TableContents"/>
              <w:spacing w:before="0" w:after="283"/>
              <w:jc w:val="left"/>
              <w:rPr>
                <w:sz w:val="16"/>
              </w:rPr>
            </w:pPr>
            <w:r>
              <w:rPr>
                <w:sz w:val="16"/>
              </w:rPr>
              <w:t>)</w:t>
            </w:r>
          </w:p>
        </w:tc>
      </w:tr>
      <w:tr>
        <w:trPr/>
        <w:tc>
          <w:tcPr>
            <w:tcW w:w="3442" w:type="dxa"/>
            <w:tcBorders/>
            <w:shd w:fill="CCEEFF" w:val="clear"/>
            <w:vAlign w:val="center"/>
          </w:tcPr>
          <w:p>
            <w:pPr>
              <w:pStyle w:val="TableContents"/>
              <w:spacing w:before="0" w:after="283"/>
              <w:jc w:val="left"/>
              <w:rPr>
                <w:sz w:val="16"/>
              </w:rPr>
            </w:pPr>
            <w:r>
              <w:rPr>
                <w:sz w:val="16"/>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43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jc w:val="left"/>
              <w:rPr/>
            </w:pPr>
            <w:r>
              <w:rPr/>
              <w:t> </w:t>
            </w:r>
          </w:p>
        </w:tc>
        <w:tc>
          <w:tcPr>
            <w:tcW w:w="888" w:type="dxa"/>
            <w:tcBorders/>
            <w:shd w:fill="CCEEFF" w:val="clear"/>
            <w:vAlign w:val="center"/>
          </w:tcPr>
          <w:p>
            <w:pPr>
              <w:pStyle w:val="TableContents"/>
              <w:spacing w:before="0" w:after="283"/>
              <w:jc w:val="right"/>
              <w:rPr>
                <w:sz w:val="16"/>
              </w:rPr>
            </w:pPr>
            <w:r>
              <w:rPr>
                <w:sz w:val="16"/>
              </w:rPr>
              <w:t>(65,892</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914" w:type="dxa"/>
            <w:tcBorders/>
            <w:shd w:fill="CCEEFF" w:val="clear"/>
            <w:vAlign w:val="center"/>
          </w:tcPr>
          <w:p>
            <w:pPr>
              <w:pStyle w:val="TableContents"/>
              <w:spacing w:before="0" w:after="283"/>
              <w:jc w:val="right"/>
              <w:rPr>
                <w:sz w:val="16"/>
              </w:rPr>
            </w:pPr>
            <w:r>
              <w:rPr>
                <w:sz w:val="16"/>
              </w:rPr>
              <w:t>(65,892</w:t>
            </w:r>
          </w:p>
        </w:tc>
        <w:tc>
          <w:tcPr>
            <w:tcW w:w="96" w:type="dxa"/>
            <w:tcBorders/>
            <w:shd w:fill="CCEEFF" w:val="clear"/>
            <w:vAlign w:val="center"/>
          </w:tcPr>
          <w:p>
            <w:pPr>
              <w:pStyle w:val="TableContents"/>
              <w:spacing w:before="0" w:after="283"/>
              <w:jc w:val="left"/>
              <w:rPr>
                <w:sz w:val="16"/>
              </w:rPr>
            </w:pPr>
            <w:r>
              <w:rPr>
                <w:sz w:val="16"/>
              </w:rPr>
              <w:t>)</w:t>
            </w:r>
          </w:p>
        </w:tc>
      </w:tr>
      <w:tr>
        <w:trPr/>
        <w:tc>
          <w:tcPr>
            <w:tcW w:w="3442" w:type="dxa"/>
            <w:tcBorders/>
            <w:shd w:fill="FFFFFF" w:val="clear"/>
            <w:vAlign w:val="center"/>
          </w:tcPr>
          <w:p>
            <w:pPr>
              <w:pStyle w:val="TableContents"/>
              <w:spacing w:before="0" w:after="283"/>
              <w:jc w:val="left"/>
              <w:rPr>
                <w:sz w:val="16"/>
              </w:rPr>
            </w:pPr>
            <w:r>
              <w:rPr>
                <w:sz w:val="16"/>
              </w:rPr>
              <w:t>Remeasurement of Class A common stock to redemption value</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439"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439" w:type="dxa"/>
            <w:tcBorders>
              <w:bottom w:val="single" w:sz="8"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6"/>
              </w:rPr>
            </w:pPr>
            <w:r>
              <w:rPr>
                <w:sz w:val="16"/>
              </w:rPr>
              <w:t>(25,713,731</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2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88" w:type="dxa"/>
            <w:tcBorders>
              <w:bottom w:val="single" w:sz="8" w:space="0" w:color="000000"/>
            </w:tcBorders>
            <w:shd w:fill="FFFFFF" w:val="clear"/>
            <w:tcMar>
              <w:bottom w:w="28" w:type="dxa"/>
            </w:tcMar>
            <w:vAlign w:val="center"/>
          </w:tcPr>
          <w:p>
            <w:pPr>
              <w:pStyle w:val="TableContents"/>
              <w:spacing w:before="0" w:after="283"/>
              <w:jc w:val="right"/>
              <w:rPr>
                <w:sz w:val="16"/>
              </w:rPr>
            </w:pPr>
            <w:r>
              <w:rPr>
                <w:sz w:val="16"/>
              </w:rPr>
              <w:t>(8,769,049</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13"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spacing w:before="0" w:after="283"/>
              <w:jc w:val="right"/>
              <w:rPr>
                <w:sz w:val="16"/>
              </w:rPr>
            </w:pPr>
            <w:r>
              <w:rPr>
                <w:sz w:val="16"/>
              </w:rPr>
              <w:t>(34,482,780</w:t>
            </w:r>
          </w:p>
        </w:tc>
        <w:tc>
          <w:tcPr>
            <w:tcW w:w="96" w:type="dxa"/>
            <w:tcBorders/>
            <w:shd w:fill="FFFFFF" w:val="clear"/>
            <w:vAlign w:val="center"/>
          </w:tcPr>
          <w:p>
            <w:pPr>
              <w:pStyle w:val="TableContents"/>
              <w:spacing w:before="0" w:after="283"/>
              <w:jc w:val="left"/>
              <w:rPr>
                <w:sz w:val="16"/>
              </w:rPr>
            </w:pPr>
            <w:r>
              <w:rPr>
                <w:sz w:val="16"/>
              </w:rPr>
              <w:t>)</w:t>
            </w:r>
          </w:p>
        </w:tc>
      </w:tr>
      <w:tr>
        <w:trPr/>
        <w:tc>
          <w:tcPr>
            <w:tcW w:w="3442" w:type="dxa"/>
            <w:tcBorders/>
            <w:shd w:fill="CCEEFF" w:val="clear"/>
            <w:vAlign w:val="center"/>
          </w:tcPr>
          <w:p>
            <w:pPr>
              <w:pStyle w:val="TableContents"/>
              <w:spacing w:before="0" w:after="283"/>
              <w:rPr>
                <w:b/>
                <w:sz w:val="16"/>
              </w:rPr>
            </w:pPr>
            <w:r>
              <w:rPr>
                <w:b/>
                <w:sz w:val="16"/>
              </w:rPr>
              <w:t>Balance as of December 31, 2021</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40" w:type="dxa"/>
            <w:tcBorders>
              <w:bottom w:val="double" w:sz="6" w:space="0" w:color="000000"/>
            </w:tcBorders>
            <w:shd w:fill="CCEEFF" w:val="clear"/>
            <w:tcMar>
              <w:bottom w:w="28" w:type="dxa"/>
            </w:tcMar>
            <w:vAlign w:val="center"/>
          </w:tcPr>
          <w:p>
            <w:pPr>
              <w:pStyle w:val="TableContents"/>
              <w:spacing w:before="0" w:after="283"/>
              <w:jc w:val="right"/>
              <w:rPr>
                <w:sz w:val="16"/>
              </w:rPr>
            </w:pPr>
            <w:r>
              <w:rPr>
                <w:sz w:val="16"/>
              </w:rPr>
              <w:t>1,329,500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jc w:val="left"/>
              <w:rPr>
                <w:sz w:val="16"/>
              </w:rPr>
            </w:pPr>
            <w:r>
              <w:rPr>
                <w:sz w:val="16"/>
              </w:rPr>
              <w:t>$</w:t>
            </w:r>
          </w:p>
        </w:tc>
        <w:tc>
          <w:tcPr>
            <w:tcW w:w="439" w:type="dxa"/>
            <w:tcBorders>
              <w:bottom w:val="double" w:sz="6" w:space="0" w:color="000000"/>
            </w:tcBorders>
            <w:shd w:fill="CCEEFF" w:val="clear"/>
            <w:tcMar>
              <w:bottom w:w="28" w:type="dxa"/>
            </w:tcMar>
            <w:vAlign w:val="center"/>
          </w:tcPr>
          <w:p>
            <w:pPr>
              <w:pStyle w:val="TableContents"/>
              <w:spacing w:before="0" w:after="283"/>
              <w:jc w:val="right"/>
              <w:rPr>
                <w:sz w:val="16"/>
              </w:rPr>
            </w:pPr>
            <w:r>
              <w:rPr>
                <w:sz w:val="16"/>
              </w:rPr>
              <w:t>133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740" w:type="dxa"/>
            <w:tcBorders>
              <w:bottom w:val="double" w:sz="6" w:space="0" w:color="000000"/>
            </w:tcBorders>
            <w:shd w:fill="CCEEFF" w:val="clear"/>
            <w:tcMar>
              <w:bottom w:w="28" w:type="dxa"/>
            </w:tcMar>
            <w:vAlign w:val="center"/>
          </w:tcPr>
          <w:p>
            <w:pPr>
              <w:pStyle w:val="TableContents"/>
              <w:spacing w:before="0" w:after="283"/>
              <w:jc w:val="right"/>
              <w:rPr>
                <w:sz w:val="16"/>
              </w:rPr>
            </w:pPr>
            <w:r>
              <w:rPr>
                <w:sz w:val="16"/>
              </w:rPr>
              <w:t>9,487,500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439" w:type="dxa"/>
            <w:tcBorders>
              <w:bottom w:val="double" w:sz="6" w:space="0" w:color="000000"/>
            </w:tcBorders>
            <w:shd w:fill="CCEEFF" w:val="clear"/>
            <w:tcMar>
              <w:bottom w:w="28" w:type="dxa"/>
            </w:tcMar>
            <w:vAlign w:val="center"/>
          </w:tcPr>
          <w:p>
            <w:pPr>
              <w:pStyle w:val="TableContents"/>
              <w:spacing w:before="0" w:after="283"/>
              <w:jc w:val="right"/>
              <w:rPr>
                <w:sz w:val="16"/>
              </w:rPr>
            </w:pPr>
            <w:r>
              <w:rPr>
                <w:sz w:val="16"/>
              </w:rPr>
              <w:t>949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2"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88" w:type="dxa"/>
            <w:tcBorders>
              <w:bottom w:val="double" w:sz="6" w:space="0" w:color="000000"/>
            </w:tcBorders>
            <w:shd w:fill="CCEEFF" w:val="clear"/>
            <w:tcMar>
              <w:bottom w:w="28" w:type="dxa"/>
            </w:tcMar>
            <w:vAlign w:val="center"/>
          </w:tcPr>
          <w:p>
            <w:pPr>
              <w:pStyle w:val="TableContents"/>
              <w:spacing w:before="0" w:after="283"/>
              <w:jc w:val="right"/>
              <w:rPr>
                <w:sz w:val="16"/>
              </w:rPr>
            </w:pPr>
            <w:r>
              <w:rPr>
                <w:sz w:val="16"/>
              </w:rPr>
              <w:t>(8,834,941</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3"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914" w:type="dxa"/>
            <w:tcBorders>
              <w:bottom w:val="double" w:sz="6" w:space="0" w:color="000000"/>
            </w:tcBorders>
            <w:shd w:fill="CCEEFF" w:val="clear"/>
            <w:tcMar>
              <w:bottom w:w="28" w:type="dxa"/>
            </w:tcMar>
            <w:vAlign w:val="center"/>
          </w:tcPr>
          <w:p>
            <w:pPr>
              <w:pStyle w:val="TableContents"/>
              <w:spacing w:before="0" w:after="283"/>
              <w:jc w:val="right"/>
              <w:rPr>
                <w:sz w:val="16"/>
              </w:rPr>
            </w:pPr>
            <w:r>
              <w:rPr>
                <w:sz w:val="16"/>
              </w:rPr>
              <w:t>(8,833,859</w:t>
            </w:r>
          </w:p>
        </w:tc>
        <w:tc>
          <w:tcPr>
            <w:tcW w:w="96" w:type="dxa"/>
            <w:tcBorders/>
            <w:shd w:fill="CCEEFF" w:val="clear"/>
            <w:vAlign w:val="center"/>
          </w:tcPr>
          <w:p>
            <w:pPr>
              <w:pStyle w:val="TableContents"/>
              <w:spacing w:before="0" w:after="283"/>
              <w:jc w:val="left"/>
              <w:rPr>
                <w:sz w:val="16"/>
              </w:rPr>
            </w:pPr>
            <w:r>
              <w:rPr>
                <w:sz w:val="16"/>
              </w:rPr>
              <w:t>)</w:t>
            </w:r>
          </w:p>
        </w:tc>
      </w:tr>
    </w:tbl>
    <w:p>
      <w:pPr>
        <w:pStyle w:val="TextBody"/>
        <w:shd w:fill="FFFFFF" w:val="clear"/>
        <w:spacing w:before="0" w:after="0"/>
        <w:ind w:left="0" w:right="0" w:firstLine="360"/>
        <w:jc w:val="center"/>
        <w:rPr>
          <w:caps w:val="false"/>
          <w:smallCaps w:val="false"/>
        </w:rPr>
      </w:pPr>
      <w:r>
        <w:rPr>
          <w:caps w:val="false"/>
          <w:smallCaps w:val="false"/>
        </w:rPr>
        <w:t> </w:t>
      </w:r>
    </w:p>
    <w:p>
      <w:pPr>
        <w:pStyle w:val="TextBody"/>
        <w:shd w:fill="FFFFFF" w:val="clear"/>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hd w:fill="FFFFFF" w:val="clear"/>
        <w:spacing w:before="0" w:after="0"/>
        <w:ind w:left="0" w:right="0" w:firstLine="360"/>
        <w:jc w:val="center"/>
        <w:rPr>
          <w:caps w:val="false"/>
          <w:smallCaps w:val="false"/>
        </w:rPr>
      </w:pPr>
      <w:r>
        <w:rPr>
          <w:caps w:val="false"/>
          <w:smallCaps w:val="false"/>
        </w:rPr>
        <w:t> </w:t>
      </w:r>
    </w:p>
    <w:p>
      <w:pPr>
        <w:pStyle w:val="TextBody"/>
        <w:spacing w:before="0" w:after="0"/>
        <w:ind w:left="0" w:right="0" w:firstLine="360"/>
        <w:jc w:val="center"/>
        <w:rPr>
          <w:sz w:val="20"/>
          <w:bdr w:val="single" w:sz="8" w:space="1" w:color="000000"/>
        </w:rPr>
      </w:pPr>
      <w:r>
        <w:rPr>
          <w:sz w:val="20"/>
          <w:bdr w:val="single" w:sz="8" w:space="1" w:color="000000"/>
        </w:rPr>
        <w:t>F-5</w:t>
      </w:r>
    </w:p>
    <w:p>
      <w:pPr>
        <w:pStyle w:val="TextBody"/>
        <w:spacing w:before="0" w:after="0"/>
        <w:ind w:left="0" w:right="0" w:hanging="0"/>
        <w:rPr/>
      </w:pPr>
      <w:r>
        <w:rPr/>
        <w:t> </w:t>
      </w:r>
    </w:p>
    <w:p>
      <w:pPr>
        <w:pStyle w:val="TextBody"/>
        <w:shd w:fill="FFFFFF" w:val="clear"/>
        <w:spacing w:before="0" w:after="0"/>
        <w:ind w:left="0" w:right="0" w:firstLine="36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31" w:name="sn_005"/>
      <w:bookmarkEnd w:id="31"/>
      <w:r>
        <w:rPr>
          <w:rFonts w:ascii="Times New Roman;Times;Serif" w:hAnsi="Times New Roman;Times;Serif"/>
          <w:b/>
          <w:i w:val="false"/>
          <w:caps w:val="false"/>
          <w:smallCaps w:val="false"/>
          <w:sz w:val="20"/>
        </w:rPr>
        <w:t>STATEMENT OF CASH FLOWS</w:t>
      </w:r>
    </w:p>
    <w:p>
      <w:pPr>
        <w:pStyle w:val="TextBody"/>
        <w:shd w:fill="FFFFFF" w:val="clear"/>
        <w:spacing w:before="0" w:after="0"/>
        <w:ind w:left="0" w:right="0" w:hanging="0"/>
        <w:jc w:val="center"/>
        <w:rPr>
          <w:caps w:val="false"/>
          <w:smallCaps w:val="false"/>
        </w:rPr>
      </w:pPr>
      <w:r>
        <w:rPr>
          <w:caps w:val="false"/>
          <w:smallCaps w:val="false"/>
        </w:rPr>
        <w:t> </w:t>
      </w:r>
    </w:p>
    <w:tbl>
      <w:tblPr>
        <w:tblW w:w="8439" w:type="dxa"/>
        <w:jc w:val="left"/>
        <w:tblInd w:w="0" w:type="dxa"/>
        <w:tblCellMar>
          <w:top w:w="0" w:type="dxa"/>
          <w:left w:w="0" w:type="dxa"/>
          <w:bottom w:w="0" w:type="dxa"/>
          <w:right w:w="0" w:type="dxa"/>
        </w:tblCellMar>
      </w:tblPr>
      <w:tblGrid>
        <w:gridCol w:w="6605"/>
        <w:gridCol w:w="60"/>
        <w:gridCol w:w="165"/>
        <w:gridCol w:w="1474"/>
        <w:gridCol w:w="135"/>
      </w:tblGrid>
      <w:tr>
        <w:trPr/>
        <w:tc>
          <w:tcPr>
            <w:tcW w:w="6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For the period </w:t>
              <w:br/>
              <w:t>from March 2,</w:t>
            </w:r>
          </w:p>
        </w:tc>
        <w:tc>
          <w:tcPr>
            <w:tcW w:w="135" w:type="dxa"/>
            <w:tcBorders/>
            <w:shd w:fill="auto" w:val="clear"/>
            <w:vAlign w:val="center"/>
          </w:tcPr>
          <w:p>
            <w:pPr>
              <w:pStyle w:val="TableContents"/>
              <w:spacing w:before="0" w:after="283"/>
              <w:rPr/>
            </w:pPr>
            <w:r>
              <w:rPr/>
              <w:t> </w:t>
            </w:r>
          </w:p>
        </w:tc>
      </w:tr>
      <w:tr>
        <w:trPr/>
        <w:tc>
          <w:tcPr>
            <w:tcW w:w="6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 (Inception) to</w:t>
            </w:r>
          </w:p>
        </w:tc>
        <w:tc>
          <w:tcPr>
            <w:tcW w:w="135" w:type="dxa"/>
            <w:tcBorders/>
            <w:shd w:fill="auto" w:val="clear"/>
            <w:vAlign w:val="center"/>
          </w:tcPr>
          <w:p>
            <w:pPr>
              <w:pStyle w:val="TableContents"/>
              <w:spacing w:before="0" w:after="283"/>
              <w:rPr/>
            </w:pPr>
            <w:r>
              <w:rPr/>
              <w:t> </w:t>
            </w:r>
          </w:p>
        </w:tc>
      </w:tr>
      <w:tr>
        <w:trPr/>
        <w:tc>
          <w:tcPr>
            <w:tcW w:w="6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December 31, 2021</w:t>
            </w:r>
          </w:p>
        </w:tc>
        <w:tc>
          <w:tcPr>
            <w:tcW w:w="135" w:type="dxa"/>
            <w:tcBorders/>
            <w:shd w:fill="auto"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(65,892</w:t>
            </w:r>
          </w:p>
        </w:tc>
        <w:tc>
          <w:tcPr>
            <w:tcW w:w="1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pPr>
            <w:r>
              <w:rPr/>
              <w:t>    </w:t>
            </w:r>
            <w:r>
              <w:rPr>
                <w:rFonts w:ascii="Times New Roman;Times;Serif" w:hAnsi="Times New Roman;Times;Serif"/>
                <w:sz w:val="20"/>
              </w:rPr>
              <w:t>Interest earned on cash and marketable securities held in Trust Account</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(899</w:t>
            </w:r>
          </w:p>
        </w:tc>
        <w:tc>
          <w:tcPr>
            <w:tcW w:w="1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Changes in current assets and liabilities: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(388,196</w:t>
            </w:r>
          </w:p>
        </w:tc>
        <w:tc>
          <w:tcPr>
            <w:tcW w:w="1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Accrued offering costs and expenses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548,159</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Due to related party</w:t>
            </w:r>
          </w:p>
        </w:tc>
        <w:tc>
          <w:tcPr>
            <w:tcW w:w="60" w:type="dxa"/>
            <w:tcBorders/>
            <w:shd w:fill="FFFFFF" w:val="clear"/>
            <w:vAlign w:val="center"/>
          </w:tcPr>
          <w:p>
            <w:pPr>
              <w:pStyle w:val="TableContents"/>
              <w:spacing w:before="0" w:after="283"/>
              <w:rPr/>
            </w:pPr>
            <w:r>
              <w:rPr/>
              <w:t> </w:t>
            </w:r>
          </w:p>
        </w:tc>
        <w:tc>
          <w:tcPr>
            <w:tcW w:w="165"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7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7,097</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spacing w:before="0" w:after="283"/>
              <w:rPr/>
            </w:pPr>
            <w:r>
              <w:rPr/>
              <w:t> </w:t>
            </w:r>
          </w:p>
        </w:tc>
        <w:tc>
          <w:tcPr>
            <w:tcW w:w="165"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7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100,269</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pPr>
            <w:r>
              <w:rPr/>
              <w:t> </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 of investment held in Trust Account</w:t>
            </w:r>
          </w:p>
        </w:tc>
        <w:tc>
          <w:tcPr>
            <w:tcW w:w="60" w:type="dxa"/>
            <w:tcBorders/>
            <w:shd w:fill="FFFFFF" w:val="clear"/>
            <w:vAlign w:val="center"/>
          </w:tcPr>
          <w:p>
            <w:pPr>
              <w:pStyle w:val="TableContents"/>
              <w:spacing w:before="0" w:after="283"/>
              <w:rPr/>
            </w:pPr>
            <w:r>
              <w:rPr/>
              <w:t> </w:t>
            </w:r>
          </w:p>
        </w:tc>
        <w:tc>
          <w:tcPr>
            <w:tcW w:w="165"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7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(291,812,500</w:t>
            </w:r>
          </w:p>
        </w:tc>
        <w:tc>
          <w:tcPr>
            <w:tcW w:w="1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CCEEFF" w:val="clear"/>
            <w:vAlign w:val="center"/>
          </w:tcPr>
          <w:p>
            <w:pPr>
              <w:pStyle w:val="TableContents"/>
              <w:spacing w:before="0" w:after="283"/>
              <w:rPr/>
            </w:pPr>
            <w:r>
              <w:rPr/>
              <w:t> </w:t>
            </w:r>
          </w:p>
        </w:tc>
        <w:tc>
          <w:tcPr>
            <w:tcW w:w="165"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7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(291,812,500</w:t>
            </w:r>
          </w:p>
        </w:tc>
        <w:tc>
          <w:tcPr>
            <w:tcW w:w="13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pPr>
            <w:r>
              <w:rPr/>
              <w:t> </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Proceeds from initial stockholder</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25,000</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pPr>
            <w:r>
              <w:rPr/>
              <w:t> </w:t>
            </w:r>
            <w:r>
              <w:rPr>
                <w:sz w:val="20"/>
              </w:rPr>
              <w:t>Proceeds from initial public offering</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284,625,000</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Proceeds from private placement</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8,982,500</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Payment of deferred offering costs</w:t>
            </w:r>
          </w:p>
        </w:tc>
        <w:tc>
          <w:tcPr>
            <w:tcW w:w="60" w:type="dxa"/>
            <w:tcBorders/>
            <w:shd w:fill="CCEEFF" w:val="clear"/>
            <w:vAlign w:val="center"/>
          </w:tcPr>
          <w:p>
            <w:pPr>
              <w:pStyle w:val="TableContents"/>
              <w:spacing w:before="0" w:after="283"/>
              <w:rPr/>
            </w:pPr>
            <w:r>
              <w:rPr/>
              <w:t> </w:t>
            </w:r>
          </w:p>
        </w:tc>
        <w:tc>
          <w:tcPr>
            <w:tcW w:w="165"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7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(380,721</w:t>
            </w:r>
          </w:p>
        </w:tc>
        <w:tc>
          <w:tcPr>
            <w:tcW w:w="13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FFFFFF" w:val="clear"/>
            <w:vAlign w:val="center"/>
          </w:tcPr>
          <w:p>
            <w:pPr>
              <w:pStyle w:val="TableContents"/>
              <w:spacing w:before="0" w:after="283"/>
              <w:rPr/>
            </w:pPr>
            <w:r>
              <w:rPr/>
              <w:t> </w:t>
            </w:r>
          </w:p>
        </w:tc>
        <w:tc>
          <w:tcPr>
            <w:tcW w:w="165" w:type="dxa"/>
            <w:tcBorders>
              <w:bottom w:val="single" w:sz="8" w:space="0" w:color="000000"/>
            </w:tcBorders>
            <w:shd w:fill="FFFFFF" w:val="clear"/>
            <w:tcMar>
              <w:bottom w:w="28" w:type="dxa"/>
            </w:tcMar>
            <w:vAlign w:val="center"/>
          </w:tcPr>
          <w:p>
            <w:pPr>
              <w:pStyle w:val="TableContents"/>
              <w:spacing w:before="0" w:after="283"/>
              <w:rPr/>
            </w:pPr>
            <w:r>
              <w:rPr/>
              <w:t> </w:t>
            </w:r>
          </w:p>
        </w:tc>
        <w:tc>
          <w:tcPr>
            <w:tcW w:w="147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293,251,779</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change in cash</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1,539,548</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Cash, beginning of the period</w:t>
            </w:r>
          </w:p>
        </w:tc>
        <w:tc>
          <w:tcPr>
            <w:tcW w:w="60" w:type="dxa"/>
            <w:tcBorders/>
            <w:shd w:fill="CCEEFF" w:val="clear"/>
            <w:vAlign w:val="center"/>
          </w:tcPr>
          <w:p>
            <w:pPr>
              <w:pStyle w:val="TableContents"/>
              <w:spacing w:before="0" w:after="283"/>
              <w:rPr/>
            </w:pPr>
            <w:r>
              <w:rPr/>
              <w:t> </w:t>
            </w:r>
          </w:p>
        </w:tc>
        <w:tc>
          <w:tcPr>
            <w:tcW w:w="165"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74" w:type="dxa"/>
            <w:tcBorders>
              <w:bottom w:val="single" w:sz="8" w:space="0" w:color="000000"/>
            </w:tcBorders>
            <w:shd w:fill="CCEEFF" w:val="clear"/>
            <w:tcMar>
              <w:bottom w:w="28" w:type="dxa"/>
            </w:tcM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Cash, end of the period</w:t>
            </w:r>
          </w:p>
        </w:tc>
        <w:tc>
          <w:tcPr>
            <w:tcW w:w="60" w:type="dxa"/>
            <w:tcBorders/>
            <w:shd w:fill="FFFFFF" w:val="clear"/>
            <w:vAlign w:val="center"/>
          </w:tcPr>
          <w:p>
            <w:pPr>
              <w:pStyle w:val="TableContents"/>
              <w:spacing w:before="0" w:after="283"/>
              <w:rPr/>
            </w:pPr>
            <w:r>
              <w:rPr/>
              <w:t> </w:t>
            </w:r>
          </w:p>
        </w:tc>
        <w:tc>
          <w:tcPr>
            <w:tcW w:w="165"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1,539,548</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474" w:type="dxa"/>
            <w:tcBorders/>
            <w:shd w:fill="FFFFFF" w:val="clear"/>
            <w:vAlign w:val="center"/>
          </w:tcPr>
          <w:p>
            <w:pPr>
              <w:pStyle w:val="TableContents"/>
              <w:spacing w:before="0" w:after="283"/>
              <w:jc w:val="right"/>
              <w:rPr/>
            </w:pPr>
            <w:r>
              <w:rPr/>
              <w:t> </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Initial value of Class A common stock subject to possible redemption</w:t>
            </w:r>
          </w:p>
        </w:tc>
        <w:tc>
          <w:tcPr>
            <w:tcW w:w="60" w:type="dxa"/>
            <w:tcBorders/>
            <w:shd w:fill="CCEEFF" w:val="clear"/>
            <w:vAlign w:val="center"/>
          </w:tcPr>
          <w:p>
            <w:pPr>
              <w:pStyle w:val="TableContents"/>
              <w:spacing w:before="0" w:after="283"/>
              <w:rPr/>
            </w:pPr>
            <w:r>
              <w:rPr/>
              <w:t> </w:t>
            </w:r>
          </w:p>
        </w:tc>
        <w:tc>
          <w:tcPr>
            <w:tcW w:w="165"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291,812,500</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Accretion of Class A common stock subject to possible redemption</w:t>
            </w:r>
          </w:p>
        </w:tc>
        <w:tc>
          <w:tcPr>
            <w:tcW w:w="60" w:type="dxa"/>
            <w:tcBorders/>
            <w:shd w:fill="FFFFFF" w:val="clear"/>
            <w:vAlign w:val="center"/>
          </w:tcPr>
          <w:p>
            <w:pPr>
              <w:pStyle w:val="TableContents"/>
              <w:spacing w:before="0" w:after="283"/>
              <w:rPr/>
            </w:pPr>
            <w:r>
              <w:rPr/>
              <w:t> </w:t>
            </w:r>
          </w:p>
        </w:tc>
        <w:tc>
          <w:tcPr>
            <w:tcW w:w="165"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899</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Offering costs paid by Sponsor under promissory note</w:t>
            </w:r>
          </w:p>
        </w:tc>
        <w:tc>
          <w:tcPr>
            <w:tcW w:w="60" w:type="dxa"/>
            <w:tcBorders/>
            <w:shd w:fill="CCEEFF" w:val="clear"/>
            <w:vAlign w:val="center"/>
          </w:tcPr>
          <w:p>
            <w:pPr>
              <w:pStyle w:val="TableContents"/>
              <w:spacing w:before="0" w:after="283"/>
              <w:rPr/>
            </w:pPr>
            <w:r>
              <w:rPr/>
              <w:t> </w:t>
            </w:r>
          </w:p>
        </w:tc>
        <w:tc>
          <w:tcPr>
            <w:tcW w:w="165"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144,746</w:t>
            </w:r>
          </w:p>
        </w:tc>
        <w:tc>
          <w:tcPr>
            <w:tcW w:w="135" w:type="dxa"/>
            <w:tcBorders/>
            <w:shd w:fill="CCEEFF" w:val="clear"/>
            <w:vAlign w:val="center"/>
          </w:tcPr>
          <w:p>
            <w:pPr>
              <w:pStyle w:val="TableContents"/>
              <w:spacing w:before="0" w:after="283"/>
              <w:rPr/>
            </w:pPr>
            <w:r>
              <w:rPr/>
              <w:t> </w:t>
            </w:r>
          </w:p>
        </w:tc>
      </w:tr>
      <w:tr>
        <w:trPr/>
        <w:tc>
          <w:tcPr>
            <w:tcW w:w="66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Re-measurement of class A common stock to redemption value</w:t>
            </w:r>
          </w:p>
        </w:tc>
        <w:tc>
          <w:tcPr>
            <w:tcW w:w="60" w:type="dxa"/>
            <w:tcBorders/>
            <w:shd w:fill="FFFFFF" w:val="clear"/>
            <w:vAlign w:val="center"/>
          </w:tcPr>
          <w:p>
            <w:pPr>
              <w:pStyle w:val="TableContents"/>
              <w:spacing w:before="0" w:after="283"/>
              <w:rPr/>
            </w:pPr>
            <w:r>
              <w:rPr/>
              <w:t> </w:t>
            </w:r>
          </w:p>
        </w:tc>
        <w:tc>
          <w:tcPr>
            <w:tcW w:w="165"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FFFFFF" w:val="clear"/>
            <w:tcMar>
              <w:bottom w:w="28" w:type="dxa"/>
            </w:tcMar>
            <w:vAlign w:val="center"/>
          </w:tcPr>
          <w:p>
            <w:pPr>
              <w:pStyle w:val="TableContents"/>
              <w:spacing w:before="0" w:after="283"/>
              <w:jc w:val="right"/>
              <w:rPr/>
            </w:pPr>
            <w:r>
              <w:rPr>
                <w:rFonts w:ascii="Times New Roman;Times;Serif" w:hAnsi="Times New Roman;Times;Serif"/>
                <w:sz w:val="20"/>
              </w:rPr>
              <w:t>34,482,780</w:t>
            </w:r>
            <w:r>
              <w:rPr/>
              <w:t> </w:t>
            </w:r>
          </w:p>
        </w:tc>
        <w:tc>
          <w:tcPr>
            <w:tcW w:w="135" w:type="dxa"/>
            <w:tcBorders/>
            <w:shd w:fill="FFFFFF" w:val="clear"/>
            <w:vAlign w:val="center"/>
          </w:tcPr>
          <w:p>
            <w:pPr>
              <w:pStyle w:val="TableContents"/>
              <w:spacing w:before="0" w:after="283"/>
              <w:rPr/>
            </w:pPr>
            <w:r>
              <w:rPr/>
              <w:t> </w:t>
            </w:r>
          </w:p>
        </w:tc>
      </w:tr>
      <w:tr>
        <w:trPr/>
        <w:tc>
          <w:tcPr>
            <w:tcW w:w="66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Deferred underwriting commissions payable charged to additional paid in capital</w:t>
            </w:r>
          </w:p>
        </w:tc>
        <w:tc>
          <w:tcPr>
            <w:tcW w:w="60" w:type="dxa"/>
            <w:tcBorders/>
            <w:shd w:fill="CCEEFF" w:val="clear"/>
            <w:vAlign w:val="center"/>
          </w:tcPr>
          <w:p>
            <w:pPr>
              <w:pStyle w:val="TableContents"/>
              <w:spacing w:before="0" w:after="283"/>
              <w:rPr/>
            </w:pPr>
            <w:r>
              <w:rPr/>
              <w:t> </w:t>
            </w:r>
          </w:p>
        </w:tc>
        <w:tc>
          <w:tcPr>
            <w:tcW w:w="165" w:type="dxa"/>
            <w:tcBorders>
              <w:bottom w:val="double" w:sz="6"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10,062,500</w:t>
            </w:r>
          </w:p>
        </w:tc>
        <w:tc>
          <w:tcPr>
            <w:tcW w:w="135" w:type="dxa"/>
            <w:tcBorders/>
            <w:shd w:fill="CCEEFF" w:val="clear"/>
            <w:vAlign w:val="center"/>
          </w:tcPr>
          <w:p>
            <w:pPr>
              <w:pStyle w:val="TableContents"/>
              <w:spacing w:before="0" w:after="283"/>
              <w:rPr/>
            </w:pPr>
            <w:r>
              <w:rPr/>
              <w:t> </w:t>
            </w:r>
          </w:p>
        </w:tc>
      </w:tr>
    </w:tbl>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F-6</w:t>
      </w:r>
    </w:p>
    <w:p>
      <w:pPr>
        <w:pStyle w:val="TextBody"/>
        <w:spacing w:before="0" w:after="0"/>
        <w:ind w:left="0" w:right="0" w:hanging="0"/>
        <w:rPr/>
      </w:pPr>
      <w:r>
        <w:rPr/>
        <w:t> </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32" w:name="sn_006"/>
      <w:bookmarkEnd w:id="32"/>
      <w:r>
        <w:rPr>
          <w:rFonts w:ascii="Times New Roman;Times;Serif" w:hAnsi="Times New Roman;Times;Serif"/>
          <w:b/>
          <w:i w:val="false"/>
          <w:caps w:val="false"/>
          <w:smallCaps w:val="false"/>
          <w:sz w:val="20"/>
        </w:rPr>
        <w:t>NOTES TO </w:t>
      </w:r>
      <w:r>
        <w:rPr>
          <w:rFonts w:ascii="Times New Roman;Times;Serif" w:hAnsi="Times New Roman;Times;Serif"/>
          <w:b/>
          <w:i w:val="false"/>
          <w:caps/>
          <w:sz w:val="20"/>
        </w:rPr>
        <w:t>FINANCIAL STATEMENTS</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 Business Operations and Going Concern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had not commenced any operations. All activity for the period from March 2, 2021 (inception) through December 31, 2021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BurTech LP LLC, (the “Sponsor”).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had approximately $1.5 million in its operating bank account, and working capital of approximately $1.2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IPO, the Company’s liquidity needs up to December 31, 2021 had been satisfied through a payment from the Sponsor of $25,000 (see Note 5) for the Founder Shares to cover certain offering costs and the loan under an unsecured promissory note from the Sponsor of $144,746 (see Note 5). In addition, in order to finance transaction costs in connection with a Business Combination, the Company’s Sponsor or an affiliate of the Sponsor or certain of the Company’s officers and directors may, but are not obligated to, provide the Company Working Capital Loans, as defined below (see Note 5). As of December 31, 2021, there were no amounts outstanding under any Working Capital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 is presented in conformity with accounting principles generally accepted in the United States of America (“US GAAP”) and pursuant to the rules and regulations of the U.S. Securities and Exchange Commission (the “SEC”).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this financial statement in conformity with US GAAP requires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these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representative shares. Such estimates may be subject to change as more current information becomes available and, accordingly, the actual results could differ significantly from those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 Company had $1,539,548 in cash and did not have any cash equivalents as of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Held in Trust Account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2021, the Company had $291,813,399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Level 1—Assets and liabilities with unadjusted, quoted prices listed on active market exchanges. Inputs to the fair value measurement are observable inputs, such as quoted prices in active markets for identical assets or liabilities.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Level 3—Inputs to the fair value measurement are unobservable inputs, such as estimates, assumptions, and valuation techniques when little or no market data exists for the assets or liabilities.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Subject to Possible Redemption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31, 2021, 28,750,000 Class A common stock subject to possible redemption are presented at redemption value as temporary equity, outside of the stockholders’ equity section of the Company’s balance sheet.</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 associated with the Initial Public Offering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Net Loss Per Common Stock</w:t>
      </w:r>
    </w:p>
    <w:p>
      <w:pPr>
        <w:pStyle w:val="TextBody"/>
        <w:spacing w:before="0" w:after="0"/>
        <w:ind w:left="0" w:right="0" w:firstLine="392"/>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period from March 2, 2021 to December 31, 2021 because the warrants are contingently exercisable, and the contingencies have not yet been met and its inclusion would be anti-dilutive. As a result, diluted net loss per common stock is the same as basic net loss per common stock for the periods. The table below presents a reconciliation of the numerator and denominator used to compute basic and diluted net loss per share for each class of common stock: </w:t>
      </w:r>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732"/>
        <w:gridCol w:w="60"/>
        <w:gridCol w:w="152"/>
        <w:gridCol w:w="1038"/>
        <w:gridCol w:w="84"/>
        <w:gridCol w:w="63"/>
        <w:gridCol w:w="247"/>
        <w:gridCol w:w="1168"/>
        <w:gridCol w:w="84"/>
        <w:gridCol w:w="63"/>
        <w:gridCol w:w="182"/>
        <w:gridCol w:w="1233"/>
        <w:gridCol w:w="99"/>
      </w:tblGrid>
      <w:tr>
        <w:trPr/>
        <w:tc>
          <w:tcPr>
            <w:tcW w:w="57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14" w:type="dxa"/>
            <w:gridSpan w:val="10"/>
            <w:tcBorders/>
            <w:shd w:fill="auto" w:val="clear"/>
            <w:vAlign w:val="center"/>
          </w:tcPr>
          <w:p>
            <w:pPr>
              <w:pStyle w:val="TableContents"/>
              <w:spacing w:before="0" w:after="283"/>
              <w:jc w:val="center"/>
              <w:rPr>
                <w:b/>
                <w:sz w:val="20"/>
              </w:rPr>
            </w:pPr>
            <w:r>
              <w:rPr>
                <w:b/>
                <w:sz w:val="20"/>
              </w:rPr>
              <w:t>For the period from March 2, 2021 to</w:t>
            </w:r>
          </w:p>
        </w:tc>
        <w:tc>
          <w:tcPr>
            <w:tcW w:w="99" w:type="dxa"/>
            <w:tcBorders/>
            <w:shd w:fill="auto" w:val="clear"/>
            <w:vAlign w:val="center"/>
          </w:tcPr>
          <w:p>
            <w:pPr>
              <w:pStyle w:val="TableContents"/>
              <w:spacing w:before="0" w:after="283"/>
              <w:rPr/>
            </w:pPr>
            <w:r>
              <w:rPr/>
              <w:t> </w:t>
            </w:r>
          </w:p>
        </w:tc>
      </w:tr>
      <w:tr>
        <w:trPr/>
        <w:tc>
          <w:tcPr>
            <w:tcW w:w="573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4314" w:type="dxa"/>
            <w:gridSpan w:val="10"/>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 2021</w:t>
            </w:r>
          </w:p>
        </w:tc>
        <w:tc>
          <w:tcPr>
            <w:tcW w:w="99" w:type="dxa"/>
            <w:tcBorders/>
            <w:shd w:fill="auto" w:val="clear"/>
            <w:vAlign w:val="center"/>
          </w:tcPr>
          <w:p>
            <w:pPr>
              <w:pStyle w:val="TableContents"/>
              <w:spacing w:before="0" w:after="283"/>
              <w:rPr/>
            </w:pPr>
            <w:r>
              <w:rPr/>
              <w:t> </w:t>
            </w:r>
          </w:p>
        </w:tc>
      </w:tr>
      <w:tr>
        <w:trPr/>
        <w:tc>
          <w:tcPr>
            <w:tcW w:w="57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2" w:type="dxa"/>
            <w:gridSpan w:val="6"/>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Class A</w:t>
            </w:r>
          </w:p>
        </w:tc>
        <w:tc>
          <w:tcPr>
            <w:tcW w:w="84"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Class B</w:t>
            </w:r>
          </w:p>
        </w:tc>
        <w:tc>
          <w:tcPr>
            <w:tcW w:w="99" w:type="dxa"/>
            <w:tcBorders/>
            <w:shd w:fill="auto" w:val="clear"/>
            <w:vAlign w:val="center"/>
          </w:tcPr>
          <w:p>
            <w:pPr>
              <w:pStyle w:val="TableContents"/>
              <w:spacing w:before="0" w:after="283"/>
              <w:rPr/>
            </w:pPr>
            <w:r>
              <w:rPr/>
              <w:t> </w:t>
            </w:r>
          </w:p>
        </w:tc>
      </w:tr>
      <w:tr>
        <w:trPr/>
        <w:tc>
          <w:tcPr>
            <w:tcW w:w="57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Redeemable</w:t>
              <w:br/>
              <w:t>common stock</w:t>
            </w:r>
          </w:p>
        </w:tc>
        <w:tc>
          <w:tcPr>
            <w:tcW w:w="84"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Non-redeemable</w:t>
              <w:br/>
              <w:t>common stock</w:t>
            </w:r>
          </w:p>
        </w:tc>
        <w:tc>
          <w:tcPr>
            <w:tcW w:w="84"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Non-redeemable</w:t>
              <w:br/>
              <w:t>common stock</w:t>
            </w:r>
          </w:p>
        </w:tc>
        <w:tc>
          <w:tcPr>
            <w:tcW w:w="99" w:type="dxa"/>
            <w:tcBorders/>
            <w:shd w:fill="auto" w:val="clear"/>
            <w:vAlign w:val="center"/>
          </w:tcPr>
          <w:p>
            <w:pPr>
              <w:pStyle w:val="TableContents"/>
              <w:spacing w:before="0" w:after="283"/>
              <w:rPr/>
            </w:pPr>
            <w:r>
              <w:rPr/>
              <w:t> </w:t>
            </w:r>
          </w:p>
        </w:tc>
      </w:tr>
      <w:tr>
        <w:trPr/>
        <w:tc>
          <w:tcPr>
            <w:tcW w:w="5732" w:type="dxa"/>
            <w:tcBorders/>
            <w:shd w:fill="CCEEFF" w:val="clear"/>
            <w:vAlign w:val="center"/>
          </w:tcPr>
          <w:p>
            <w:pPr>
              <w:pStyle w:val="TableContents"/>
              <w:spacing w:before="0" w:after="283"/>
              <w:jc w:val="left"/>
              <w:rPr>
                <w:b/>
                <w:sz w:val="20"/>
              </w:rPr>
            </w:pPr>
            <w:r>
              <w:rPr>
                <w:b/>
                <w:sz w:val="20"/>
              </w:rPr>
              <w:t>Basic and diluted net loss per share: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038"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jc w:val="left"/>
              <w:rPr/>
            </w:pPr>
            <w:r>
              <w:rPr/>
              <w:t> </w:t>
            </w:r>
          </w:p>
        </w:tc>
        <w:tc>
          <w:tcPr>
            <w:tcW w:w="1168"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jc w:val="left"/>
              <w:rPr/>
            </w:pPr>
            <w:r>
              <w:rPr/>
              <w:t> </w:t>
            </w:r>
          </w:p>
        </w:tc>
        <w:tc>
          <w:tcPr>
            <w:tcW w:w="1233"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r>
      <w:tr>
        <w:trPr/>
        <w:tc>
          <w:tcPr>
            <w:tcW w:w="5732" w:type="dxa"/>
            <w:tcBorders/>
            <w:shd w:fill="FFFFFF" w:val="clear"/>
            <w:vAlign w:val="center"/>
          </w:tcPr>
          <w:p>
            <w:pPr>
              <w:pStyle w:val="TableContents"/>
              <w:spacing w:before="0" w:after="283"/>
              <w:rPr>
                <w:b/>
                <w:sz w:val="20"/>
              </w:rPr>
            </w:pPr>
            <w:r>
              <w:rPr>
                <w:b/>
                <w:sz w:val="20"/>
              </w:rPr>
              <w:t>Numerator:</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1038"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jc w:val="left"/>
              <w:rPr/>
            </w:pPr>
            <w:r>
              <w:rPr/>
              <w:t> </w:t>
            </w:r>
          </w:p>
        </w:tc>
        <w:tc>
          <w:tcPr>
            <w:tcW w:w="1168"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jc w:val="left"/>
              <w:rPr/>
            </w:pPr>
            <w:r>
              <w:rPr/>
              <w:t> </w:t>
            </w:r>
          </w:p>
        </w:tc>
        <w:tc>
          <w:tcPr>
            <w:tcW w:w="1233"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r>
      <w:tr>
        <w:trPr/>
        <w:tc>
          <w:tcPr>
            <w:tcW w:w="5732" w:type="dxa"/>
            <w:tcBorders/>
            <w:shd w:fill="CCEEFF" w:val="clear"/>
            <w:vAlign w:val="center"/>
          </w:tcPr>
          <w:p>
            <w:pPr>
              <w:pStyle w:val="TableContents"/>
              <w:spacing w:before="0" w:after="283"/>
              <w:jc w:val="left"/>
              <w:rPr>
                <w:sz w:val="20"/>
              </w:rPr>
            </w:pPr>
            <w:r>
              <w:rPr>
                <w:sz w:val="20"/>
              </w:rPr>
              <w:t>Allocation of net loss</w:t>
            </w:r>
          </w:p>
        </w:tc>
        <w:tc>
          <w:tcPr>
            <w:tcW w:w="60" w:type="dxa"/>
            <w:tcBorders/>
            <w:shd w:fill="CCEEFF" w:val="clear"/>
            <w:vAlign w:val="center"/>
          </w:tcPr>
          <w:p>
            <w:pPr>
              <w:pStyle w:val="TableContents"/>
              <w:spacing w:before="0" w:after="283"/>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1038"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(10,617</w:t>
            </w:r>
          </w:p>
        </w:tc>
        <w:tc>
          <w:tcPr>
            <w:tcW w:w="84" w:type="dxa"/>
            <w:tcBorders/>
            <w:shd w:fill="CCEEFF" w:val="clear"/>
            <w:vAlign w:val="center"/>
          </w:tcPr>
          <w:p>
            <w:pPr>
              <w:pStyle w:val="TableContents"/>
              <w:spacing w:before="0" w:after="283"/>
              <w:jc w:val="left"/>
              <w:rPr>
                <w:sz w:val="20"/>
              </w:rPr>
            </w:pPr>
            <w:r>
              <w:rPr>
                <w:sz w:val="20"/>
              </w:rPr>
              <w:t>)</w:t>
            </w:r>
          </w:p>
        </w:tc>
        <w:tc>
          <w:tcPr>
            <w:tcW w:w="63" w:type="dxa"/>
            <w:tcBorders/>
            <w:shd w:fill="CCEEFF" w:val="clear"/>
            <w:vAlign w:val="center"/>
          </w:tcPr>
          <w:p>
            <w:pPr>
              <w:pStyle w:val="TableContents"/>
              <w:spacing w:before="0" w:after="283"/>
              <w:rPr/>
            </w:pPr>
            <w:r>
              <w:rPr/>
              <w:t> </w:t>
            </w:r>
          </w:p>
        </w:tc>
        <w:tc>
          <w:tcPr>
            <w:tcW w:w="247"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1168"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(159</w:t>
            </w:r>
          </w:p>
        </w:tc>
        <w:tc>
          <w:tcPr>
            <w:tcW w:w="84" w:type="dxa"/>
            <w:tcBorders/>
            <w:shd w:fill="CCEEFF" w:val="clear"/>
            <w:vAlign w:val="center"/>
          </w:tcPr>
          <w:p>
            <w:pPr>
              <w:pStyle w:val="TableContents"/>
              <w:spacing w:before="0" w:after="283"/>
              <w:jc w:val="left"/>
              <w:rPr>
                <w:sz w:val="20"/>
              </w:rPr>
            </w:pPr>
            <w:r>
              <w:rPr>
                <w:sz w:val="20"/>
              </w:rPr>
              <w:t>)</w:t>
            </w:r>
          </w:p>
        </w:tc>
        <w:tc>
          <w:tcPr>
            <w:tcW w:w="63" w:type="dxa"/>
            <w:tcBorders/>
            <w:shd w:fill="CCEEFF" w:val="clear"/>
            <w:vAlign w:val="center"/>
          </w:tcPr>
          <w:p>
            <w:pPr>
              <w:pStyle w:val="TableContents"/>
              <w:spacing w:before="0" w:after="283"/>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jc w:val="left"/>
              <w:rPr>
                <w:sz w:val="20"/>
              </w:rPr>
            </w:pPr>
            <w:r>
              <w:rPr>
                <w:sz w:val="20"/>
              </w:rPr>
              <w:t>$</w:t>
            </w:r>
          </w:p>
        </w:tc>
        <w:tc>
          <w:tcPr>
            <w:tcW w:w="1233" w:type="dxa"/>
            <w:tcBorders>
              <w:bottom w:val="double" w:sz="6" w:space="0" w:color="000000"/>
            </w:tcBorders>
            <w:shd w:fill="CCEEFF" w:val="clear"/>
            <w:tcMar>
              <w:bottom w:w="28" w:type="dxa"/>
            </w:tcMar>
            <w:vAlign w:val="center"/>
          </w:tcPr>
          <w:p>
            <w:pPr>
              <w:pStyle w:val="TableContents"/>
              <w:spacing w:before="0" w:after="283"/>
              <w:jc w:val="right"/>
              <w:rPr>
                <w:sz w:val="20"/>
              </w:rPr>
            </w:pPr>
            <w:r>
              <w:rPr>
                <w:sz w:val="20"/>
              </w:rPr>
              <w:t>(55,116</w:t>
            </w:r>
          </w:p>
        </w:tc>
        <w:tc>
          <w:tcPr>
            <w:tcW w:w="99" w:type="dxa"/>
            <w:tcBorders/>
            <w:shd w:fill="CCEEFF" w:val="clear"/>
            <w:vAlign w:val="center"/>
          </w:tcPr>
          <w:p>
            <w:pPr>
              <w:pStyle w:val="TableContents"/>
              <w:spacing w:before="0" w:after="283"/>
              <w:jc w:val="left"/>
              <w:rPr>
                <w:sz w:val="20"/>
              </w:rPr>
            </w:pPr>
            <w:r>
              <w:rPr>
                <w:sz w:val="20"/>
              </w:rPr>
              <w:t>)</w:t>
            </w:r>
          </w:p>
        </w:tc>
      </w:tr>
      <w:tr>
        <w:trPr/>
        <w:tc>
          <w:tcPr>
            <w:tcW w:w="57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1038"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jc w:val="left"/>
              <w:rPr/>
            </w:pPr>
            <w:r>
              <w:rPr/>
              <w:t> </w:t>
            </w:r>
          </w:p>
        </w:tc>
        <w:tc>
          <w:tcPr>
            <w:tcW w:w="1168" w:type="dxa"/>
            <w:tcBorders/>
            <w:shd w:fill="FFFFFF" w:val="clear"/>
            <w:vAlign w:val="center"/>
          </w:tcPr>
          <w:p>
            <w:pPr>
              <w:pStyle w:val="TableContents"/>
              <w:spacing w:before="0" w:after="283"/>
              <w:jc w:val="right"/>
              <w:rPr/>
            </w:pPr>
            <w:r>
              <w:rPr/>
              <w:t> </w:t>
            </w:r>
          </w:p>
        </w:tc>
        <w:tc>
          <w:tcPr>
            <w:tcW w:w="84"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jc w:val="left"/>
              <w:rPr/>
            </w:pPr>
            <w:r>
              <w:rPr/>
              <w:t> </w:t>
            </w:r>
          </w:p>
        </w:tc>
        <w:tc>
          <w:tcPr>
            <w:tcW w:w="1233" w:type="dxa"/>
            <w:tcBorders/>
            <w:shd w:fill="FFFFFF" w:val="clear"/>
            <w:vAlign w:val="center"/>
          </w:tcPr>
          <w:p>
            <w:pPr>
              <w:pStyle w:val="TableContents"/>
              <w:spacing w:before="0" w:after="283"/>
              <w:jc w:val="right"/>
              <w:rPr/>
            </w:pPr>
            <w:r>
              <w:rPr/>
              <w:t> </w:t>
            </w:r>
          </w:p>
        </w:tc>
        <w:tc>
          <w:tcPr>
            <w:tcW w:w="99" w:type="dxa"/>
            <w:tcBorders/>
            <w:shd w:fill="FFFFFF" w:val="clear"/>
            <w:vAlign w:val="center"/>
          </w:tcPr>
          <w:p>
            <w:pPr>
              <w:pStyle w:val="TableContents"/>
              <w:spacing w:before="0" w:after="283"/>
              <w:jc w:val="left"/>
              <w:rPr/>
            </w:pPr>
            <w:r>
              <w:rPr/>
              <w:t> </w:t>
            </w:r>
          </w:p>
        </w:tc>
      </w:tr>
      <w:tr>
        <w:trPr/>
        <w:tc>
          <w:tcPr>
            <w:tcW w:w="5732" w:type="dxa"/>
            <w:tcBorders/>
            <w:shd w:fill="CCEEFF" w:val="clear"/>
            <w:vAlign w:val="center"/>
          </w:tcPr>
          <w:p>
            <w:pPr>
              <w:pStyle w:val="TableContents"/>
              <w:spacing w:before="0" w:after="283"/>
              <w:rPr>
                <w:b/>
                <w:sz w:val="20"/>
              </w:rPr>
            </w:pPr>
            <w:r>
              <w:rPr>
                <w:b/>
                <w:sz w:val="20"/>
              </w:rPr>
              <w:t>Denominator:</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038"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jc w:val="left"/>
              <w:rPr/>
            </w:pPr>
            <w:r>
              <w:rPr/>
              <w:t> </w:t>
            </w:r>
          </w:p>
        </w:tc>
        <w:tc>
          <w:tcPr>
            <w:tcW w:w="1168" w:type="dxa"/>
            <w:tcBorders/>
            <w:shd w:fill="CCEEFF" w:val="clear"/>
            <w:vAlign w:val="center"/>
          </w:tcPr>
          <w:p>
            <w:pPr>
              <w:pStyle w:val="TableContents"/>
              <w:spacing w:before="0" w:after="283"/>
              <w:jc w:val="right"/>
              <w:rPr/>
            </w:pPr>
            <w:r>
              <w:rPr/>
              <w:t> </w:t>
            </w:r>
          </w:p>
        </w:tc>
        <w:tc>
          <w:tcPr>
            <w:tcW w:w="84" w:type="dxa"/>
            <w:tcBorders/>
            <w:shd w:fill="CCEEFF" w:val="clear"/>
            <w:vAlign w:val="center"/>
          </w:tcPr>
          <w:p>
            <w:pPr>
              <w:pStyle w:val="TableContents"/>
              <w:spacing w:before="0" w:after="283"/>
              <w:jc w:val="left"/>
              <w:rPr/>
            </w:pPr>
            <w:r>
              <w:rPr/>
              <w:t> </w:t>
            </w:r>
          </w:p>
        </w:tc>
        <w:tc>
          <w:tcPr>
            <w:tcW w:w="63"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jc w:val="left"/>
              <w:rPr/>
            </w:pPr>
            <w:r>
              <w:rPr/>
              <w:t> </w:t>
            </w:r>
          </w:p>
        </w:tc>
        <w:tc>
          <w:tcPr>
            <w:tcW w:w="1233" w:type="dxa"/>
            <w:tcBorders/>
            <w:shd w:fill="CCEEFF" w:val="clear"/>
            <w:vAlign w:val="center"/>
          </w:tcPr>
          <w:p>
            <w:pPr>
              <w:pStyle w:val="TableContents"/>
              <w:spacing w:before="0" w:after="283"/>
              <w:jc w:val="right"/>
              <w:rPr/>
            </w:pPr>
            <w:r>
              <w:rPr/>
              <w:t> </w:t>
            </w:r>
          </w:p>
        </w:tc>
        <w:tc>
          <w:tcPr>
            <w:tcW w:w="99" w:type="dxa"/>
            <w:tcBorders/>
            <w:shd w:fill="CCEEFF" w:val="clear"/>
            <w:vAlign w:val="center"/>
          </w:tcPr>
          <w:p>
            <w:pPr>
              <w:pStyle w:val="TableContents"/>
              <w:spacing w:before="0" w:after="283"/>
              <w:jc w:val="left"/>
              <w:rPr/>
            </w:pPr>
            <w:r>
              <w:rPr/>
              <w:t> </w:t>
            </w:r>
          </w:p>
        </w:tc>
      </w:tr>
      <w:tr>
        <w:trPr/>
        <w:tc>
          <w:tcPr>
            <w:tcW w:w="5732" w:type="dxa"/>
            <w:tcBorders/>
            <w:shd w:fill="FFFFFF" w:val="clear"/>
            <w:vAlign w:val="center"/>
          </w:tcPr>
          <w:p>
            <w:pPr>
              <w:pStyle w:val="TableContents"/>
              <w:spacing w:before="0" w:after="283"/>
              <w:jc w:val="left"/>
              <w:rPr>
                <w:sz w:val="20"/>
              </w:rPr>
            </w:pPr>
            <w:r>
              <w:rPr>
                <w:sz w:val="20"/>
              </w:rPr>
              <w:t>Weighted-average shares outstanding including common stock subject to redemption</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1038" w:type="dxa"/>
            <w:tcBorders/>
            <w:shd w:fill="FFFFFF" w:val="clear"/>
            <w:vAlign w:val="center"/>
          </w:tcPr>
          <w:p>
            <w:pPr>
              <w:pStyle w:val="TableContents"/>
              <w:spacing w:before="0" w:after="283"/>
              <w:jc w:val="right"/>
              <w:rPr>
                <w:sz w:val="20"/>
              </w:rPr>
            </w:pPr>
            <w:r>
              <w:rPr>
                <w:sz w:val="20"/>
              </w:rPr>
              <w:t>1,602,459</w:t>
            </w:r>
          </w:p>
        </w:tc>
        <w:tc>
          <w:tcPr>
            <w:tcW w:w="84"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jc w:val="left"/>
              <w:rPr/>
            </w:pPr>
            <w:r>
              <w:rPr/>
              <w:t> </w:t>
            </w:r>
          </w:p>
        </w:tc>
        <w:tc>
          <w:tcPr>
            <w:tcW w:w="1168" w:type="dxa"/>
            <w:tcBorders/>
            <w:shd w:fill="FFFFFF" w:val="clear"/>
            <w:vAlign w:val="center"/>
          </w:tcPr>
          <w:p>
            <w:pPr>
              <w:pStyle w:val="TableContents"/>
              <w:spacing w:before="0" w:after="283"/>
              <w:jc w:val="right"/>
              <w:rPr>
                <w:sz w:val="20"/>
              </w:rPr>
            </w:pPr>
            <w:r>
              <w:rPr>
                <w:sz w:val="20"/>
              </w:rPr>
              <w:t>24,037</w:t>
            </w:r>
          </w:p>
        </w:tc>
        <w:tc>
          <w:tcPr>
            <w:tcW w:w="84" w:type="dxa"/>
            <w:tcBorders/>
            <w:shd w:fill="FFFFFF" w:val="clear"/>
            <w:vAlign w:val="center"/>
          </w:tcPr>
          <w:p>
            <w:pPr>
              <w:pStyle w:val="TableContents"/>
              <w:spacing w:before="0" w:after="283"/>
              <w:jc w:val="left"/>
              <w:rPr/>
            </w:pPr>
            <w:r>
              <w:rPr/>
              <w:t> </w:t>
            </w:r>
          </w:p>
        </w:tc>
        <w:tc>
          <w:tcPr>
            <w:tcW w:w="63"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jc w:val="left"/>
              <w:rPr/>
            </w:pPr>
            <w:r>
              <w:rPr/>
              <w:t> </w:t>
            </w:r>
          </w:p>
        </w:tc>
        <w:tc>
          <w:tcPr>
            <w:tcW w:w="1233" w:type="dxa"/>
            <w:tcBorders/>
            <w:shd w:fill="FFFFFF" w:val="clear"/>
            <w:vAlign w:val="center"/>
          </w:tcPr>
          <w:p>
            <w:pPr>
              <w:pStyle w:val="TableContents"/>
              <w:spacing w:before="0" w:after="283"/>
              <w:jc w:val="right"/>
              <w:rPr>
                <w:sz w:val="20"/>
              </w:rPr>
            </w:pPr>
            <w:r>
              <w:rPr>
                <w:sz w:val="20"/>
              </w:rPr>
              <w:t>8,318,975</w:t>
            </w:r>
          </w:p>
        </w:tc>
        <w:tc>
          <w:tcPr>
            <w:tcW w:w="99" w:type="dxa"/>
            <w:tcBorders/>
            <w:shd w:fill="FFFFFF" w:val="clear"/>
            <w:vAlign w:val="center"/>
          </w:tcPr>
          <w:p>
            <w:pPr>
              <w:pStyle w:val="TableContents"/>
              <w:spacing w:before="0" w:after="283"/>
              <w:jc w:val="left"/>
              <w:rPr/>
            </w:pPr>
            <w:r>
              <w:rPr/>
              <w:t> </w:t>
            </w:r>
          </w:p>
        </w:tc>
      </w:tr>
      <w:tr>
        <w:trPr/>
        <w:tc>
          <w:tcPr>
            <w:tcW w:w="5732" w:type="dxa"/>
            <w:tcBorders/>
            <w:shd w:fill="CCEEFF" w:val="clear"/>
            <w:vAlign w:val="center"/>
          </w:tcPr>
          <w:p>
            <w:pPr>
              <w:pStyle w:val="TableContents"/>
              <w:spacing w:before="0" w:after="283"/>
              <w:jc w:val="left"/>
              <w:rPr>
                <w:sz w:val="20"/>
              </w:rPr>
            </w:pPr>
            <w:r>
              <w:rPr>
                <w:sz w:val="20"/>
              </w:rPr>
              <w:t>Basic and diluted net loss per share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038" w:type="dxa"/>
            <w:tcBorders/>
            <w:shd w:fill="CCEEFF" w:val="clear"/>
            <w:vAlign w:val="center"/>
          </w:tcPr>
          <w:p>
            <w:pPr>
              <w:pStyle w:val="TableContents"/>
              <w:spacing w:before="0" w:after="283"/>
              <w:jc w:val="right"/>
              <w:rPr>
                <w:sz w:val="20"/>
              </w:rPr>
            </w:pPr>
            <w:r>
              <w:rPr>
                <w:sz w:val="20"/>
              </w:rPr>
              <w:t>(0.01</w:t>
            </w:r>
          </w:p>
        </w:tc>
        <w:tc>
          <w:tcPr>
            <w:tcW w:w="84" w:type="dxa"/>
            <w:tcBorders/>
            <w:shd w:fill="CCEEFF" w:val="clear"/>
            <w:vAlign w:val="center"/>
          </w:tcPr>
          <w:p>
            <w:pPr>
              <w:pStyle w:val="TableContents"/>
              <w:spacing w:before="0" w:after="283"/>
              <w:jc w:val="left"/>
              <w:rPr>
                <w:sz w:val="20"/>
              </w:rPr>
            </w:pPr>
            <w:r>
              <w:rPr>
                <w:sz w:val="20"/>
              </w:rPr>
              <w:t>)</w:t>
            </w:r>
          </w:p>
        </w:tc>
        <w:tc>
          <w:tcPr>
            <w:tcW w:w="63"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jc w:val="left"/>
              <w:rPr/>
            </w:pPr>
            <w:r>
              <w:rPr/>
              <w:t> </w:t>
            </w:r>
          </w:p>
        </w:tc>
        <w:tc>
          <w:tcPr>
            <w:tcW w:w="1168" w:type="dxa"/>
            <w:tcBorders/>
            <w:shd w:fill="CCEEFF" w:val="clear"/>
            <w:vAlign w:val="center"/>
          </w:tcPr>
          <w:p>
            <w:pPr>
              <w:pStyle w:val="TableContents"/>
              <w:spacing w:before="0" w:after="283"/>
              <w:jc w:val="right"/>
              <w:rPr>
                <w:sz w:val="20"/>
              </w:rPr>
            </w:pPr>
            <w:r>
              <w:rPr>
                <w:sz w:val="20"/>
              </w:rPr>
              <w:t>(0.01</w:t>
            </w:r>
          </w:p>
        </w:tc>
        <w:tc>
          <w:tcPr>
            <w:tcW w:w="84" w:type="dxa"/>
            <w:tcBorders/>
            <w:shd w:fill="CCEEFF" w:val="clear"/>
            <w:vAlign w:val="center"/>
          </w:tcPr>
          <w:p>
            <w:pPr>
              <w:pStyle w:val="TableContents"/>
              <w:spacing w:before="0" w:after="283"/>
              <w:jc w:val="left"/>
              <w:rPr>
                <w:sz w:val="20"/>
              </w:rPr>
            </w:pPr>
            <w:r>
              <w:rPr>
                <w:sz w:val="20"/>
              </w:rPr>
              <w:t>)</w:t>
            </w:r>
          </w:p>
        </w:tc>
        <w:tc>
          <w:tcPr>
            <w:tcW w:w="63"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jc w:val="left"/>
              <w:rPr/>
            </w:pPr>
            <w:r>
              <w:rPr/>
              <w:t> </w:t>
            </w:r>
          </w:p>
        </w:tc>
        <w:tc>
          <w:tcPr>
            <w:tcW w:w="1233" w:type="dxa"/>
            <w:tcBorders/>
            <w:shd w:fill="CCEEFF" w:val="clear"/>
            <w:vAlign w:val="center"/>
          </w:tcPr>
          <w:p>
            <w:pPr>
              <w:pStyle w:val="TableContents"/>
              <w:spacing w:before="0" w:after="283"/>
              <w:jc w:val="right"/>
              <w:rPr>
                <w:sz w:val="20"/>
              </w:rPr>
            </w:pPr>
            <w:r>
              <w:rPr>
                <w:sz w:val="20"/>
              </w:rPr>
              <w:t>(0.01</w:t>
            </w:r>
          </w:p>
        </w:tc>
        <w:tc>
          <w:tcPr>
            <w:tcW w:w="99" w:type="dxa"/>
            <w:tcBorders/>
            <w:shd w:fill="CCEEFF" w:val="clear"/>
            <w:vAlign w:val="center"/>
          </w:tcPr>
          <w:p>
            <w:pPr>
              <w:pStyle w:val="TableContents"/>
              <w:spacing w:before="0" w:after="283"/>
              <w:jc w:val="left"/>
              <w:rPr>
                <w:sz w:val="20"/>
              </w:rPr>
            </w:pPr>
            <w:r>
              <w:rPr>
                <w:sz w:val="20"/>
              </w:rPr>
              <w:t>)</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F-11</w:t>
      </w:r>
    </w:p>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United States as its only “major” tax jurisdiction.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of a cash account in a financial institution which, at times may exceed the Federal depository insurance coverage of $250,000. At December 31, 2021, the Company had not experienced losses on this account and management believes the Company is not exposed to significant risks on such account.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is currently evaluating the impact of the ASU on its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does not believe that any other recently issued, but not yet effective, accounting standards if currently adopted would have a material effect on the accompanying financial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F-12</w:t>
      </w:r>
    </w:p>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As of December 31, 2021, the common stock subject to redemption reflected on the balance sheet are reconciled in the following table:</w:t>
      </w:r>
    </w:p>
    <w:p>
      <w:pPr>
        <w:pStyle w:val="TextBody"/>
        <w:spacing w:before="0" w:after="0"/>
        <w:ind w:left="0" w:right="0" w:hanging="0"/>
        <w:rPr>
          <w:caps w:val="false"/>
          <w:smallCaps w:val="false"/>
        </w:rPr>
      </w:pPr>
      <w:r>
        <w:rPr>
          <w:caps w:val="false"/>
          <w:smallCaps w:val="false"/>
        </w:rPr>
        <w:t> </w:t>
      </w:r>
    </w:p>
    <w:tbl>
      <w:tblPr>
        <w:tblW w:w="5270" w:type="dxa"/>
        <w:jc w:val="left"/>
        <w:tblInd w:w="0" w:type="dxa"/>
        <w:tblCellMar>
          <w:top w:w="0" w:type="dxa"/>
          <w:left w:w="0" w:type="dxa"/>
          <w:bottom w:w="0" w:type="dxa"/>
          <w:right w:w="0" w:type="dxa"/>
        </w:tblCellMar>
      </w:tblPr>
      <w:tblGrid>
        <w:gridCol w:w="3935"/>
        <w:gridCol w:w="60"/>
        <w:gridCol w:w="125"/>
        <w:gridCol w:w="1055"/>
        <w:gridCol w:w="95"/>
      </w:tblGrid>
      <w:tr>
        <w:trPr/>
        <w:tc>
          <w:tcPr>
            <w:tcW w:w="3935" w:type="dxa"/>
            <w:tcBorders/>
            <w:shd w:fill="CCEEFF" w:val="clear"/>
            <w:vAlign w:val="center"/>
          </w:tcPr>
          <w:p>
            <w:pPr>
              <w:pStyle w:val="TableContents"/>
              <w:spacing w:before="0" w:after="283"/>
              <w:jc w:val="left"/>
              <w:rPr>
                <w:sz w:val="20"/>
              </w:rPr>
            </w:pPr>
            <w:r>
              <w:rPr>
                <w:sz w:val="20"/>
              </w:rPr>
              <w:t>Gross proceeds from public issuance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sz w:val="20"/>
              </w:rPr>
            </w:pPr>
            <w:r>
              <w:rPr>
                <w:sz w:val="20"/>
              </w:rPr>
              <w:t>$</w:t>
            </w:r>
          </w:p>
        </w:tc>
        <w:tc>
          <w:tcPr>
            <w:tcW w:w="1055" w:type="dxa"/>
            <w:tcBorders/>
            <w:shd w:fill="CCEEFF" w:val="clear"/>
            <w:vAlign w:val="center"/>
          </w:tcPr>
          <w:p>
            <w:pPr>
              <w:pStyle w:val="TableContents"/>
              <w:spacing w:before="0" w:after="283"/>
              <w:jc w:val="right"/>
              <w:rPr>
                <w:sz w:val="20"/>
              </w:rPr>
            </w:pPr>
            <w:r>
              <w:rPr>
                <w:sz w:val="20"/>
              </w:rPr>
              <w:t>287,500,000</w:t>
            </w:r>
          </w:p>
        </w:tc>
        <w:tc>
          <w:tcPr>
            <w:tcW w:w="95" w:type="dxa"/>
            <w:tcBorders/>
            <w:shd w:fill="CCEEFF" w:val="clear"/>
            <w:vAlign w:val="center"/>
          </w:tcPr>
          <w:p>
            <w:pPr>
              <w:pStyle w:val="TableContents"/>
              <w:spacing w:before="0" w:after="283"/>
              <w:jc w:val="left"/>
              <w:rPr/>
            </w:pPr>
            <w:r>
              <w:rPr/>
              <w:t> </w:t>
            </w:r>
          </w:p>
        </w:tc>
      </w:tr>
      <w:tr>
        <w:trPr/>
        <w:tc>
          <w:tcPr>
            <w:tcW w:w="3935" w:type="dxa"/>
            <w:tcBorders/>
            <w:shd w:fill="FFFFFF" w:val="clear"/>
            <w:vAlign w:val="center"/>
          </w:tcPr>
          <w:p>
            <w:pPr>
              <w:pStyle w:val="TableContents"/>
              <w:spacing w:before="0" w:after="283"/>
              <w:jc w:val="left"/>
              <w:rPr>
                <w:sz w:val="20"/>
              </w:rPr>
            </w:pPr>
            <w:r>
              <w:rPr>
                <w:sz w:val="20"/>
              </w:rPr>
              <w:t>Overfunding from Private Placement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sz w:val="20"/>
              </w:rPr>
            </w:pPr>
            <w:r>
              <w:rPr>
                <w:sz w:val="20"/>
              </w:rPr>
              <w:t>4,312,500</w:t>
            </w:r>
          </w:p>
        </w:tc>
        <w:tc>
          <w:tcPr>
            <w:tcW w:w="95" w:type="dxa"/>
            <w:tcBorders/>
            <w:shd w:fill="FFFFFF" w:val="clear"/>
            <w:vAlign w:val="center"/>
          </w:tcPr>
          <w:p>
            <w:pPr>
              <w:pStyle w:val="TableContents"/>
              <w:spacing w:before="0" w:after="283"/>
              <w:jc w:val="left"/>
              <w:rPr/>
            </w:pPr>
            <w:r>
              <w:rPr/>
              <w:t> </w:t>
            </w:r>
          </w:p>
        </w:tc>
      </w:tr>
      <w:tr>
        <w:trPr/>
        <w:tc>
          <w:tcPr>
            <w:tcW w:w="3935" w:type="dxa"/>
            <w:tcBorders/>
            <w:shd w:fill="CCEEFF" w:val="clear"/>
            <w:vAlign w:val="center"/>
          </w:tcPr>
          <w:p>
            <w:pPr>
              <w:pStyle w:val="TableContents"/>
              <w:spacing w:before="0" w:after="283"/>
              <w:rPr>
                <w:sz w:val="20"/>
              </w:rPr>
            </w:pPr>
            <w:r>
              <w:rPr>
                <w:sz w:val="20"/>
              </w:rPr>
              <w:t>Less: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935" w:type="dxa"/>
            <w:tcBorders/>
            <w:shd w:fill="FFFFFF" w:val="clear"/>
            <w:vAlign w:val="center"/>
          </w:tcPr>
          <w:p>
            <w:pPr>
              <w:pStyle w:val="TableContents"/>
              <w:spacing w:before="0" w:after="283"/>
              <w:jc w:val="left"/>
              <w:rPr>
                <w:sz w:val="20"/>
              </w:rPr>
            </w:pPr>
            <w:r>
              <w:rPr>
                <w:sz w:val="20"/>
              </w:rPr>
              <w:t>Proceeds allocated to public warrants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sz w:val="20"/>
              </w:rPr>
            </w:pPr>
            <w:r>
              <w:rPr>
                <w:sz w:val="20"/>
              </w:rPr>
              <w:t>(18,781,216</w:t>
            </w:r>
          </w:p>
        </w:tc>
        <w:tc>
          <w:tcPr>
            <w:tcW w:w="95" w:type="dxa"/>
            <w:tcBorders/>
            <w:shd w:fill="FFFFFF" w:val="clear"/>
            <w:vAlign w:val="center"/>
          </w:tcPr>
          <w:p>
            <w:pPr>
              <w:pStyle w:val="TableContents"/>
              <w:spacing w:before="0" w:after="283"/>
              <w:jc w:val="left"/>
              <w:rPr>
                <w:sz w:val="20"/>
              </w:rPr>
            </w:pPr>
            <w:r>
              <w:rPr>
                <w:sz w:val="20"/>
              </w:rPr>
              <w:t>)</w:t>
            </w:r>
          </w:p>
        </w:tc>
      </w:tr>
      <w:tr>
        <w:trPr/>
        <w:tc>
          <w:tcPr>
            <w:tcW w:w="3935" w:type="dxa"/>
            <w:tcBorders/>
            <w:shd w:fill="CCEEFF" w:val="clear"/>
            <w:vAlign w:val="center"/>
          </w:tcPr>
          <w:p>
            <w:pPr>
              <w:pStyle w:val="TableContents"/>
              <w:spacing w:before="0" w:after="283"/>
              <w:jc w:val="left"/>
              <w:rPr>
                <w:sz w:val="20"/>
              </w:rPr>
            </w:pPr>
            <w:r>
              <w:rPr>
                <w:sz w:val="20"/>
              </w:rPr>
              <w:t>Redeemable common stock issuance costs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sz w:val="20"/>
              </w:rPr>
            </w:pPr>
            <w:r>
              <w:rPr>
                <w:sz w:val="20"/>
              </w:rPr>
              <w:t>(15,701,564</w:t>
            </w:r>
          </w:p>
        </w:tc>
        <w:tc>
          <w:tcPr>
            <w:tcW w:w="95" w:type="dxa"/>
            <w:tcBorders/>
            <w:shd w:fill="CCEEFF" w:val="clear"/>
            <w:vAlign w:val="center"/>
          </w:tcPr>
          <w:p>
            <w:pPr>
              <w:pStyle w:val="TableContents"/>
              <w:spacing w:before="0" w:after="283"/>
              <w:jc w:val="left"/>
              <w:rPr>
                <w:sz w:val="20"/>
              </w:rPr>
            </w:pPr>
            <w:r>
              <w:rPr>
                <w:sz w:val="20"/>
              </w:rPr>
              <w:t>)</w:t>
            </w:r>
          </w:p>
        </w:tc>
      </w:tr>
      <w:tr>
        <w:trPr/>
        <w:tc>
          <w:tcPr>
            <w:tcW w:w="3935" w:type="dxa"/>
            <w:tcBorders/>
            <w:shd w:fill="FFFFFF" w:val="clear"/>
            <w:vAlign w:val="center"/>
          </w:tcPr>
          <w:p>
            <w:pPr>
              <w:pStyle w:val="TableContents"/>
              <w:spacing w:before="0" w:after="283"/>
              <w:rPr>
                <w:sz w:val="20"/>
              </w:rPr>
            </w:pPr>
            <w:r>
              <w:rPr>
                <w:sz w:val="20"/>
              </w:rPr>
              <w:t>Plus: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935" w:type="dxa"/>
            <w:tcBorders/>
            <w:shd w:fill="CCEEFF" w:val="clear"/>
            <w:vAlign w:val="center"/>
          </w:tcPr>
          <w:p>
            <w:pPr>
              <w:pStyle w:val="TableContents"/>
              <w:spacing w:before="0" w:after="283"/>
              <w:rPr>
                <w:sz w:val="20"/>
              </w:rPr>
            </w:pPr>
            <w:r>
              <w:rPr>
                <w:sz w:val="20"/>
              </w:rPr>
              <w:t>Accretion of carrying value to redemption value</w:t>
            </w:r>
          </w:p>
        </w:tc>
        <w:tc>
          <w:tcPr>
            <w:tcW w:w="60" w:type="dxa"/>
            <w:tcBorders/>
            <w:shd w:fill="CCEEFF" w:val="clear"/>
            <w:vAlign w:val="center"/>
          </w:tcPr>
          <w:p>
            <w:pPr>
              <w:pStyle w:val="TableContents"/>
              <w:spacing w:before="0" w:after="283"/>
              <w:rPr/>
            </w:pPr>
            <w:r>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34,482,780</w:t>
            </w:r>
          </w:p>
        </w:tc>
        <w:tc>
          <w:tcPr>
            <w:tcW w:w="95" w:type="dxa"/>
            <w:tcBorders/>
            <w:shd w:fill="CCEEFF" w:val="clear"/>
            <w:vAlign w:val="center"/>
          </w:tcPr>
          <w:p>
            <w:pPr>
              <w:pStyle w:val="TableContents"/>
              <w:spacing w:before="0" w:after="283"/>
              <w:jc w:val="left"/>
              <w:rPr/>
            </w:pPr>
            <w:r>
              <w:rPr/>
              <w:t> </w:t>
            </w:r>
          </w:p>
        </w:tc>
      </w:tr>
      <w:tr>
        <w:trPr/>
        <w:tc>
          <w:tcPr>
            <w:tcW w:w="3935" w:type="dxa"/>
            <w:tcBorders/>
            <w:shd w:fill="FFFFFF" w:val="clear"/>
            <w:vAlign w:val="center"/>
          </w:tcPr>
          <w:p>
            <w:pPr>
              <w:pStyle w:val="TableContents"/>
              <w:spacing w:before="0" w:after="283"/>
              <w:jc w:val="left"/>
              <w:rPr>
                <w:b/>
                <w:sz w:val="20"/>
              </w:rPr>
            </w:pPr>
            <w:r>
              <w:rPr>
                <w:b/>
                <w:sz w:val="20"/>
              </w:rPr>
              <w:t>Contingently redeemable common stock</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sz w:val="20"/>
              </w:rPr>
            </w:pPr>
            <w:r>
              <w:rPr>
                <w:sz w:val="20"/>
              </w:rPr>
              <w:t>$</w:t>
            </w:r>
          </w:p>
        </w:tc>
        <w:tc>
          <w:tcPr>
            <w:tcW w:w="1055" w:type="dxa"/>
            <w:tcBorders>
              <w:bottom w:val="double" w:sz="6" w:space="0" w:color="000000"/>
            </w:tcBorders>
            <w:shd w:fill="FFFFFF" w:val="clear"/>
            <w:tcMar>
              <w:bottom w:w="28" w:type="dxa"/>
            </w:tcMar>
            <w:vAlign w:val="center"/>
          </w:tcPr>
          <w:p>
            <w:pPr>
              <w:pStyle w:val="TableContents"/>
              <w:spacing w:before="0" w:after="283"/>
              <w:jc w:val="right"/>
              <w:rPr>
                <w:sz w:val="20"/>
              </w:rPr>
            </w:pPr>
            <w:r>
              <w:rPr>
                <w:sz w:val="20"/>
              </w:rPr>
              <w:t>291,812,500</w:t>
            </w:r>
          </w:p>
        </w:tc>
        <w:tc>
          <w:tcPr>
            <w:tcW w:w="9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Private Placement Unit will consist of one share of Class A common stock and one redeemable warrant. Each private warrant entitles the holder to purchase one share of Common Stock at a purchase price of $11.50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the Company’s officers and directors agreed, subject to limited exceptions, not to transfer, assign or sell any of their Private Placement Units until 30 days after the completion of the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 — Related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Sponsors agreed to loan the Company up to $300,000 to be used for a portion of the expenses of the IPO. These loans are non-interest bearing, unsecured and due at the earlier of December 31, 2021 or the closing of the IPO. As of December 31, 2021, the Company had borrowed $144,746 under the promissory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December 31, 2021, no such Working Capital Loans were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 Fee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31, 2021, the Company accrued $7,097 for the administrative service fees for the period from the Effective Date (December 10, 2021) to December 31, 2021, which is included in due to related party on the accompanying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the Company paid a cash underwriting discount of 1.0% per Unit, or $2,875,000, as part of the underwriting fee.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underwriter is entitled to a deferred underwriting discount of 3.5% of the IPO gross proceeds or $10,062,500, as a result of the underwriter’s over-allotment exercised in full upon the completion of the Company’s initial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i w:val="false"/>
          <w:caps w:val="false"/>
          <w:smallCaps w:val="false"/>
          <w:sz w:val="20"/>
        </w:rPr>
        <w:t>Representative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9 for valuation methodology and assumptions used to determine the fair value of the Representative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with a par value of $0.0001 per share. As of December 31, 2021, there were no shares of preferred stock issued or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280,000,000 shares of Class A common stock with a par value of $0.0001 per share. Holders of Class A common stock are entitled to one vote for each share. At December 31, 2021, there were 1,329,500 Class A common stock issued or outstanding, excluding 28,750,000 Class A common stock subject to possible redemption.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As of December 15, 2021, there were 9,487,500 shares of Class B common stock issued and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F-16</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warrants:</w:t>
      </w:r>
    </w:p>
    <w:p>
      <w:pPr>
        <w:pStyle w:val="TextBody"/>
        <w:spacing w:before="0" w:after="0"/>
        <w:ind w:left="0" w:right="0" w:hanging="0"/>
        <w:jc w:val="both"/>
        <w:rPr>
          <w:caps w:val="false"/>
          <w:smallCaps w:val="false"/>
        </w:rPr>
      </w:pPr>
      <w:r>
        <w:rPr>
          <w:caps w:val="false"/>
          <w:smallCaps w:val="false"/>
        </w:rPr>
        <w:t> </w:t>
      </w:r>
    </w:p>
    <w:tbl>
      <w:tblPr>
        <w:tblW w:w="2275" w:type="dxa"/>
        <w:jc w:val="left"/>
        <w:tblInd w:w="0" w:type="dxa"/>
        <w:tblCellMar>
          <w:top w:w="0" w:type="dxa"/>
          <w:left w:w="0" w:type="dxa"/>
          <w:bottom w:w="0" w:type="dxa"/>
          <w:right w:w="0" w:type="dxa"/>
        </w:tblCellMar>
      </w:tblPr>
      <w:tblGrid>
        <w:gridCol w:w="75"/>
        <w:gridCol w:w="170"/>
        <w:gridCol w:w="20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2030" w:type="dxa"/>
            <w:tcBorders/>
            <w:shd w:fill="auto" w:val="clear"/>
            <w:vAlign w:val="center"/>
          </w:tcPr>
          <w:p>
            <w:pPr>
              <w:pStyle w:val="TableContents"/>
              <w:spacing w:before="0" w:after="283"/>
              <w:jc w:val="both"/>
              <w:rPr>
                <w:sz w:val="20"/>
              </w:rPr>
            </w:pPr>
            <w:r>
              <w:rPr>
                <w:sz w:val="20"/>
              </w:rPr>
              <w:t>in whole and not in part;</w:t>
            </w:r>
          </w:p>
        </w:tc>
      </w:tr>
    </w:tbl>
    <w:p>
      <w:pPr>
        <w:pStyle w:val="TextBody"/>
        <w:spacing w:before="0" w:after="0"/>
        <w:ind w:left="0" w:right="0" w:hanging="0"/>
        <w:jc w:val="both"/>
        <w:rPr>
          <w:caps w:val="false"/>
          <w:smallCaps w:val="false"/>
        </w:rPr>
      </w:pPr>
      <w:r>
        <w:rPr>
          <w:caps w:val="false"/>
          <w:smallCaps w:val="false"/>
        </w:rPr>
        <w:t> </w:t>
      </w:r>
    </w:p>
    <w:tbl>
      <w:tblPr>
        <w:tblW w:w="2740" w:type="dxa"/>
        <w:jc w:val="left"/>
        <w:tblInd w:w="0" w:type="dxa"/>
        <w:tblCellMar>
          <w:top w:w="0" w:type="dxa"/>
          <w:left w:w="0" w:type="dxa"/>
          <w:bottom w:w="0" w:type="dxa"/>
          <w:right w:w="0" w:type="dxa"/>
        </w:tblCellMar>
      </w:tblPr>
      <w:tblGrid>
        <w:gridCol w:w="75"/>
        <w:gridCol w:w="170"/>
        <w:gridCol w:w="24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2495" w:type="dxa"/>
            <w:tcBorders/>
            <w:shd w:fill="auto" w:val="clear"/>
            <w:vAlign w:val="center"/>
          </w:tcPr>
          <w:p>
            <w:pPr>
              <w:pStyle w:val="TableContents"/>
              <w:spacing w:before="0" w:after="283"/>
              <w:jc w:val="both"/>
              <w:rPr>
                <w:sz w:val="20"/>
              </w:rPr>
            </w:pPr>
            <w:r>
              <w:rPr>
                <w:sz w:val="20"/>
              </w:rPr>
              <w:t>at a price of $0.01 per warrant;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upon not less than 30 days’ prior written notice of redemption given after the warrants become exercisable (the “30-day redemption period”) to each warrant holder;</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sz w:val="20"/>
              </w:rPr>
            </w:pPr>
            <w:r>
              <w:rPr>
                <w:sz w:val="20"/>
              </w:rPr>
              <w:t>If and only if, there is a current registration statement in effect with respect to the shares of Class A common stock underlying such warrants.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Note 8 — Income Tax</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deferred tax assets are as follows:</w:t>
      </w:r>
    </w:p>
    <w:p>
      <w:pPr>
        <w:pStyle w:val="TextBody"/>
        <w:spacing w:before="0" w:after="0"/>
        <w:ind w:left="0" w:right="0" w:hanging="0"/>
        <w:rPr>
          <w:caps w:val="false"/>
          <w:smallCaps w:val="false"/>
        </w:rPr>
      </w:pPr>
      <w:r>
        <w:rPr>
          <w:caps w:val="false"/>
          <w:smallCaps w:val="false"/>
        </w:rPr>
        <w:t> </w:t>
      </w:r>
    </w:p>
    <w:tbl>
      <w:tblPr>
        <w:tblW w:w="4455" w:type="dxa"/>
        <w:jc w:val="left"/>
        <w:tblInd w:w="0" w:type="dxa"/>
        <w:tblCellMar>
          <w:top w:w="0" w:type="dxa"/>
          <w:left w:w="0" w:type="dxa"/>
          <w:bottom w:w="0" w:type="dxa"/>
          <w:right w:w="0" w:type="dxa"/>
        </w:tblCellMar>
      </w:tblPr>
      <w:tblGrid>
        <w:gridCol w:w="3125"/>
        <w:gridCol w:w="60"/>
        <w:gridCol w:w="189"/>
        <w:gridCol w:w="986"/>
        <w:gridCol w:w="95"/>
      </w:tblGrid>
      <w:tr>
        <w:trPr/>
        <w:tc>
          <w:tcPr>
            <w:tcW w:w="3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w:t>
              <w:br/>
              <w:t>2021</w:t>
            </w:r>
          </w:p>
        </w:tc>
        <w:tc>
          <w:tcPr>
            <w:tcW w:w="95"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283"/>
              <w:rPr>
                <w:sz w:val="20"/>
              </w:rPr>
            </w:pPr>
            <w:r>
              <w:rPr>
                <w:sz w:val="20"/>
              </w:rPr>
              <w:t>Deferred tax asset</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rPr/>
            </w:pPr>
            <w:r>
              <w:rPr/>
              <w:t> </w:t>
            </w:r>
          </w:p>
        </w:tc>
        <w:tc>
          <w:tcPr>
            <w:tcW w:w="986"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3125" w:type="dxa"/>
            <w:tcBorders/>
            <w:shd w:fill="FFFFFF" w:val="clear"/>
            <w:vAlign w:val="center"/>
          </w:tcPr>
          <w:p>
            <w:pPr>
              <w:pStyle w:val="TableContents"/>
              <w:spacing w:before="0" w:after="283"/>
              <w:rPr>
                <w:sz w:val="20"/>
              </w:rPr>
            </w:pPr>
            <w:r>
              <w:rPr>
                <w:sz w:val="20"/>
              </w:rPr>
              <w:t>Organizational costs/Startup expenses</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rPr>
                <w:sz w:val="20"/>
              </w:rPr>
            </w:pPr>
            <w:r>
              <w:rPr>
                <w:sz w:val="20"/>
              </w:rPr>
              <w:t>$</w:t>
            </w:r>
          </w:p>
        </w:tc>
        <w:tc>
          <w:tcPr>
            <w:tcW w:w="986" w:type="dxa"/>
            <w:tcBorders/>
            <w:shd w:fill="FFFFFF" w:val="clear"/>
            <w:vAlign w:val="center"/>
          </w:tcPr>
          <w:p>
            <w:pPr>
              <w:pStyle w:val="TableContents"/>
              <w:spacing w:before="0" w:after="283"/>
              <w:jc w:val="right"/>
              <w:rPr>
                <w:sz w:val="20"/>
              </w:rPr>
            </w:pPr>
            <w:r>
              <w:rPr>
                <w:sz w:val="20"/>
              </w:rPr>
              <w:t>11,700</w:t>
            </w:r>
          </w:p>
        </w:tc>
        <w:tc>
          <w:tcPr>
            <w:tcW w:w="95" w:type="dxa"/>
            <w:tcBorders/>
            <w:shd w:fill="FFFFFF"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283"/>
              <w:rPr>
                <w:sz w:val="20"/>
              </w:rPr>
            </w:pPr>
            <w:r>
              <w:rPr>
                <w:sz w:val="20"/>
              </w:rPr>
              <w:t>Federal Net Operating loss</w:t>
            </w:r>
          </w:p>
        </w:tc>
        <w:tc>
          <w:tcPr>
            <w:tcW w:w="60" w:type="dxa"/>
            <w:tcBorders/>
            <w:shd w:fill="CCEEFF" w:val="clear"/>
            <w:vAlign w:val="center"/>
          </w:tcPr>
          <w:p>
            <w:pPr>
              <w:pStyle w:val="TableContents"/>
              <w:spacing w:before="0" w:after="283"/>
              <w:rPr/>
            </w:pPr>
            <w:r>
              <w:rPr/>
              <w:t> </w:t>
            </w:r>
          </w:p>
        </w:tc>
        <w:tc>
          <w:tcPr>
            <w:tcW w:w="189" w:type="dxa"/>
            <w:tcBorders>
              <w:bottom w:val="single" w:sz="8" w:space="0" w:color="000000"/>
            </w:tcBorders>
            <w:shd w:fill="CCEEFF" w:val="clear"/>
            <w:tcMar>
              <w:bottom w:w="28" w:type="dxa"/>
            </w:tcMar>
            <w:vAlign w:val="center"/>
          </w:tcPr>
          <w:p>
            <w:pPr>
              <w:pStyle w:val="TableContents"/>
              <w:spacing w:before="0" w:after="283"/>
              <w:rPr/>
            </w:pPr>
            <w:r>
              <w:rPr/>
              <w:t> </w:t>
            </w:r>
          </w:p>
        </w:tc>
        <w:tc>
          <w:tcPr>
            <w:tcW w:w="986"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2,137</w:t>
            </w:r>
          </w:p>
        </w:tc>
        <w:tc>
          <w:tcPr>
            <w:tcW w:w="95" w:type="dxa"/>
            <w:tcBorders/>
            <w:shd w:fill="CCEEFF" w:val="clear"/>
            <w:vAlign w:val="center"/>
          </w:tcPr>
          <w:p>
            <w:pPr>
              <w:pStyle w:val="TableContents"/>
              <w:spacing w:before="0" w:after="283"/>
              <w:rPr/>
            </w:pPr>
            <w:r>
              <w:rPr/>
              <w:t> </w:t>
            </w:r>
          </w:p>
        </w:tc>
      </w:tr>
      <w:tr>
        <w:trPr/>
        <w:tc>
          <w:tcPr>
            <w:tcW w:w="3125" w:type="dxa"/>
            <w:tcBorders/>
            <w:shd w:fill="FFFFFF" w:val="clear"/>
            <w:vAlign w:val="center"/>
          </w:tcPr>
          <w:p>
            <w:pPr>
              <w:pStyle w:val="TableContents"/>
              <w:spacing w:before="0" w:after="283"/>
              <w:rPr>
                <w:sz w:val="20"/>
              </w:rPr>
            </w:pPr>
            <w:r>
              <w:rPr>
                <w:sz w:val="20"/>
              </w:rPr>
              <w:t>Total deferred tax asset</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rPr/>
            </w:pPr>
            <w:r>
              <w:rPr/>
              <w:t> </w:t>
            </w:r>
          </w:p>
        </w:tc>
        <w:tc>
          <w:tcPr>
            <w:tcW w:w="986" w:type="dxa"/>
            <w:tcBorders/>
            <w:shd w:fill="FFFFFF" w:val="clear"/>
            <w:vAlign w:val="center"/>
          </w:tcPr>
          <w:p>
            <w:pPr>
              <w:pStyle w:val="TableContents"/>
              <w:spacing w:before="0" w:after="283"/>
              <w:jc w:val="right"/>
              <w:rPr>
                <w:sz w:val="20"/>
              </w:rPr>
            </w:pPr>
            <w:r>
              <w:rPr>
                <w:sz w:val="20"/>
              </w:rPr>
              <w:t>13,837</w:t>
            </w:r>
          </w:p>
        </w:tc>
        <w:tc>
          <w:tcPr>
            <w:tcW w:w="95" w:type="dxa"/>
            <w:tcBorders/>
            <w:shd w:fill="FFFFFF"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283"/>
              <w:rPr>
                <w:sz w:val="20"/>
              </w:rPr>
            </w:pPr>
            <w:r>
              <w:rPr>
                <w:sz w:val="20"/>
              </w:rPr>
              <w:t>Valuation allowance</w:t>
            </w:r>
          </w:p>
        </w:tc>
        <w:tc>
          <w:tcPr>
            <w:tcW w:w="60" w:type="dxa"/>
            <w:tcBorders/>
            <w:shd w:fill="CCEEFF" w:val="clear"/>
            <w:vAlign w:val="center"/>
          </w:tcPr>
          <w:p>
            <w:pPr>
              <w:pStyle w:val="TableContents"/>
              <w:spacing w:before="0" w:after="283"/>
              <w:rPr/>
            </w:pPr>
            <w:r>
              <w:rPr/>
              <w:t> </w:t>
            </w:r>
          </w:p>
        </w:tc>
        <w:tc>
          <w:tcPr>
            <w:tcW w:w="189" w:type="dxa"/>
            <w:tcBorders>
              <w:bottom w:val="single" w:sz="8" w:space="0" w:color="000000"/>
            </w:tcBorders>
            <w:shd w:fill="CCEEFF" w:val="clear"/>
            <w:tcMar>
              <w:bottom w:w="28" w:type="dxa"/>
            </w:tcMar>
            <w:vAlign w:val="center"/>
          </w:tcPr>
          <w:p>
            <w:pPr>
              <w:pStyle w:val="TableContents"/>
              <w:spacing w:before="0" w:after="283"/>
              <w:rPr/>
            </w:pPr>
            <w:r>
              <w:rPr/>
              <w:t> </w:t>
            </w:r>
          </w:p>
        </w:tc>
        <w:tc>
          <w:tcPr>
            <w:tcW w:w="986" w:type="dxa"/>
            <w:tcBorders>
              <w:bottom w:val="single" w:sz="8" w:space="0" w:color="000000"/>
            </w:tcBorders>
            <w:shd w:fill="CCEEFF" w:val="clear"/>
            <w:tcMar>
              <w:bottom w:w="28" w:type="dxa"/>
            </w:tcMar>
            <w:vAlign w:val="center"/>
          </w:tcPr>
          <w:p>
            <w:pPr>
              <w:pStyle w:val="TableContents"/>
              <w:spacing w:before="0" w:after="283"/>
              <w:jc w:val="right"/>
              <w:rPr>
                <w:sz w:val="20"/>
              </w:rPr>
            </w:pPr>
            <w:r>
              <w:rPr>
                <w:sz w:val="20"/>
              </w:rPr>
              <w:t>(13,837</w:t>
            </w:r>
          </w:p>
        </w:tc>
        <w:tc>
          <w:tcPr>
            <w:tcW w:w="95" w:type="dxa"/>
            <w:tcBorders/>
            <w:shd w:fill="CCEEFF" w:val="clear"/>
            <w:vAlign w:val="center"/>
          </w:tcPr>
          <w:p>
            <w:pPr>
              <w:pStyle w:val="TableContents"/>
              <w:spacing w:before="0" w:after="283"/>
              <w:rPr>
                <w:sz w:val="20"/>
              </w:rPr>
            </w:pPr>
            <w:r>
              <w:rPr>
                <w:sz w:val="20"/>
              </w:rPr>
              <w:t>)</w:t>
            </w:r>
          </w:p>
        </w:tc>
      </w:tr>
      <w:tr>
        <w:trPr/>
        <w:tc>
          <w:tcPr>
            <w:tcW w:w="3125" w:type="dxa"/>
            <w:tcBorders/>
            <w:shd w:fill="FFFFFF" w:val="clear"/>
            <w:vAlign w:val="center"/>
          </w:tcPr>
          <w:p>
            <w:pPr>
              <w:pStyle w:val="TableContents"/>
              <w:spacing w:before="0" w:after="283"/>
              <w:rPr>
                <w:b/>
                <w:sz w:val="20"/>
              </w:rPr>
            </w:pPr>
            <w:r>
              <w:rPr>
                <w:b/>
                <w:sz w:val="20"/>
              </w:rPr>
              <w:t>Deferred tax asset, net of allowance</w:t>
            </w:r>
          </w:p>
        </w:tc>
        <w:tc>
          <w:tcPr>
            <w:tcW w:w="60" w:type="dxa"/>
            <w:tcBorders/>
            <w:shd w:fill="FFFFFF" w:val="clear"/>
            <w:vAlign w:val="center"/>
          </w:tcPr>
          <w:p>
            <w:pPr>
              <w:pStyle w:val="TableContents"/>
              <w:spacing w:before="0" w:after="283"/>
              <w:rPr/>
            </w:pPr>
            <w:r>
              <w:rPr/>
              <w:t> </w:t>
            </w:r>
          </w:p>
        </w:tc>
        <w:tc>
          <w:tcPr>
            <w:tcW w:w="189" w:type="dxa"/>
            <w:tcBorders>
              <w:bottom w:val="double" w:sz="6" w:space="0" w:color="000000"/>
            </w:tcBorders>
            <w:shd w:fill="FFFFFF" w:val="clear"/>
            <w:tcMar>
              <w:bottom w:w="28" w:type="dxa"/>
            </w:tcMar>
            <w:vAlign w:val="center"/>
          </w:tcPr>
          <w:p>
            <w:pPr>
              <w:pStyle w:val="TableContents"/>
              <w:spacing w:before="0" w:after="283"/>
              <w:rPr>
                <w:sz w:val="20"/>
              </w:rPr>
            </w:pPr>
            <w:r>
              <w:rPr>
                <w:sz w:val="20"/>
              </w:rPr>
              <w:t>$</w:t>
            </w:r>
          </w:p>
        </w:tc>
        <w:tc>
          <w:tcPr>
            <w:tcW w:w="986"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F-17</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consists of the following:</w:t>
      </w:r>
    </w:p>
    <w:p>
      <w:pPr>
        <w:pStyle w:val="TextBody"/>
        <w:spacing w:before="0" w:after="0"/>
        <w:ind w:left="0" w:right="0" w:hanging="0"/>
        <w:rPr>
          <w:caps w:val="false"/>
          <w:smallCaps w:val="false"/>
        </w:rPr>
      </w:pPr>
      <w:r>
        <w:rPr>
          <w:caps w:val="false"/>
          <w:smallCaps w:val="false"/>
        </w:rPr>
        <w:t> </w:t>
      </w:r>
    </w:p>
    <w:tbl>
      <w:tblPr>
        <w:tblW w:w="3899" w:type="dxa"/>
        <w:jc w:val="left"/>
        <w:tblInd w:w="0" w:type="dxa"/>
        <w:tblCellMar>
          <w:top w:w="0" w:type="dxa"/>
          <w:left w:w="0" w:type="dxa"/>
          <w:bottom w:w="0" w:type="dxa"/>
          <w:right w:w="0" w:type="dxa"/>
        </w:tblCellMar>
      </w:tblPr>
      <w:tblGrid>
        <w:gridCol w:w="2570"/>
        <w:gridCol w:w="60"/>
        <w:gridCol w:w="189"/>
        <w:gridCol w:w="985"/>
        <w:gridCol w:w="95"/>
      </w:tblGrid>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w:t>
              <w:br/>
              <w:t>2021</w:t>
            </w:r>
          </w:p>
        </w:tc>
        <w:tc>
          <w:tcPr>
            <w:tcW w:w="9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283"/>
              <w:rPr>
                <w:sz w:val="20"/>
              </w:rPr>
            </w:pPr>
            <w:r>
              <w:rPr>
                <w:sz w:val="20"/>
              </w:rPr>
              <w:t>Federal</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98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2570" w:type="dxa"/>
            <w:tcBorders/>
            <w:shd w:fill="FFFFFF" w:val="clear"/>
            <w:vAlign w:val="center"/>
          </w:tcPr>
          <w:p>
            <w:pPr>
              <w:pStyle w:val="TableContents"/>
              <w:spacing w:before="0" w:after="283"/>
              <w:rPr>
                <w:sz w:val="20"/>
              </w:rPr>
            </w:pPr>
            <w:r>
              <w:rPr>
                <w:sz w:val="20"/>
              </w:rPr>
              <w:t>Current</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jc w:val="left"/>
              <w:rPr>
                <w:sz w:val="20"/>
              </w:rPr>
            </w:pPr>
            <w:r>
              <w:rPr>
                <w:sz w:val="20"/>
              </w:rPr>
              <w:t>$</w:t>
            </w:r>
          </w:p>
        </w:tc>
        <w:tc>
          <w:tcPr>
            <w:tcW w:w="98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r>
      <w:tr>
        <w:trPr/>
        <w:tc>
          <w:tcPr>
            <w:tcW w:w="2570" w:type="dxa"/>
            <w:tcBorders/>
            <w:shd w:fill="CCEEFF" w:val="clear"/>
            <w:vAlign w:val="center"/>
          </w:tcPr>
          <w:p>
            <w:pPr>
              <w:pStyle w:val="TableContents"/>
              <w:spacing w:before="0" w:after="283"/>
              <w:rPr>
                <w:sz w:val="20"/>
              </w:rPr>
            </w:pPr>
            <w:r>
              <w:rPr>
                <w:sz w:val="20"/>
              </w:rPr>
              <w:t>Deferred</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985" w:type="dxa"/>
            <w:tcBorders/>
            <w:shd w:fill="CCEEFF" w:val="clear"/>
            <w:vAlign w:val="center"/>
          </w:tcPr>
          <w:p>
            <w:pPr>
              <w:pStyle w:val="TableContents"/>
              <w:spacing w:before="0" w:after="283"/>
              <w:jc w:val="right"/>
              <w:rPr>
                <w:sz w:val="20"/>
              </w:rPr>
            </w:pPr>
            <w:r>
              <w:rPr>
                <w:sz w:val="20"/>
              </w:rPr>
              <w:t>(13,837</w:t>
            </w:r>
          </w:p>
        </w:tc>
        <w:tc>
          <w:tcPr>
            <w:tcW w:w="95" w:type="dxa"/>
            <w:tcBorders/>
            <w:shd w:fill="CCEEFF" w:val="clear"/>
            <w:vAlign w:val="center"/>
          </w:tcPr>
          <w:p>
            <w:pPr>
              <w:pStyle w:val="TableContents"/>
              <w:spacing w:before="0" w:after="283"/>
              <w:jc w:val="left"/>
              <w:rPr>
                <w:sz w:val="20"/>
              </w:rPr>
            </w:pPr>
            <w:r>
              <w:rPr>
                <w:sz w:val="20"/>
              </w:rPr>
              <w:t>)</w:t>
            </w:r>
          </w:p>
        </w:tc>
      </w:tr>
      <w:tr>
        <w:trPr/>
        <w:tc>
          <w:tcPr>
            <w:tcW w:w="2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jc w:val="left"/>
              <w:rPr/>
            </w:pPr>
            <w:r>
              <w:rPr/>
              <w:t> </w:t>
            </w:r>
          </w:p>
        </w:tc>
        <w:tc>
          <w:tcPr>
            <w:tcW w:w="98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2570" w:type="dxa"/>
            <w:tcBorders/>
            <w:shd w:fill="CCEEFF" w:val="clear"/>
            <w:vAlign w:val="center"/>
          </w:tcPr>
          <w:p>
            <w:pPr>
              <w:pStyle w:val="TableContents"/>
              <w:spacing w:before="0" w:after="283"/>
              <w:rPr>
                <w:sz w:val="20"/>
              </w:rPr>
            </w:pPr>
            <w:r>
              <w:rPr>
                <w:sz w:val="20"/>
              </w:rPr>
              <w:t>State</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98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2570" w:type="dxa"/>
            <w:tcBorders/>
            <w:shd w:fill="FFFFFF" w:val="clear"/>
            <w:vAlign w:val="center"/>
          </w:tcPr>
          <w:p>
            <w:pPr>
              <w:pStyle w:val="TableContents"/>
              <w:spacing w:before="0" w:after="283"/>
              <w:rPr>
                <w:sz w:val="20"/>
              </w:rPr>
            </w:pPr>
            <w:r>
              <w:rPr>
                <w:sz w:val="20"/>
              </w:rPr>
              <w:t>Current</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jc w:val="left"/>
              <w:rPr/>
            </w:pPr>
            <w:r>
              <w:rPr/>
              <w:t> </w:t>
            </w:r>
          </w:p>
        </w:tc>
        <w:tc>
          <w:tcPr>
            <w:tcW w:w="98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r>
      <w:tr>
        <w:trPr/>
        <w:tc>
          <w:tcPr>
            <w:tcW w:w="2570" w:type="dxa"/>
            <w:tcBorders/>
            <w:shd w:fill="CCEEFF" w:val="clear"/>
            <w:vAlign w:val="center"/>
          </w:tcPr>
          <w:p>
            <w:pPr>
              <w:pStyle w:val="TableContents"/>
              <w:spacing w:before="0" w:after="283"/>
              <w:rPr>
                <w:sz w:val="20"/>
              </w:rPr>
            </w:pPr>
            <w:r>
              <w:rPr>
                <w:sz w:val="20"/>
              </w:rPr>
              <w:t>Deferred</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98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r>
      <w:tr>
        <w:trPr/>
        <w:tc>
          <w:tcPr>
            <w:tcW w:w="2570" w:type="dxa"/>
            <w:tcBorders/>
            <w:shd w:fill="FFFFFF" w:val="clear"/>
            <w:vAlign w:val="center"/>
          </w:tcPr>
          <w:p>
            <w:pPr>
              <w:pStyle w:val="TableContents"/>
              <w:spacing w:before="0" w:after="283"/>
              <w:jc w:val="left"/>
              <w:rPr>
                <w:sz w:val="20"/>
              </w:rPr>
            </w:pPr>
            <w:r>
              <w:rPr>
                <w:sz w:val="20"/>
              </w:rPr>
              <w:t>Change in valuation allowance</w:t>
            </w:r>
          </w:p>
        </w:tc>
        <w:tc>
          <w:tcPr>
            <w:tcW w:w="60" w:type="dxa"/>
            <w:tcBorders/>
            <w:shd w:fill="FFFFFF" w:val="clear"/>
            <w:vAlign w:val="center"/>
          </w:tcPr>
          <w:p>
            <w:pPr>
              <w:pStyle w:val="TableContents"/>
              <w:spacing w:before="0" w:after="283"/>
              <w:rPr/>
            </w:pPr>
            <w:r>
              <w:rPr/>
              <w:t> </w:t>
            </w:r>
          </w:p>
        </w:tc>
        <w:tc>
          <w:tcPr>
            <w:tcW w:w="189"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985"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13,837</w:t>
            </w:r>
          </w:p>
        </w:tc>
        <w:tc>
          <w:tcPr>
            <w:tcW w:w="95" w:type="dxa"/>
            <w:tcBorders/>
            <w:shd w:fill="FFFFFF" w:val="clear"/>
            <w:vAlign w:val="center"/>
          </w:tcPr>
          <w:p>
            <w:pPr>
              <w:pStyle w:val="TableContents"/>
              <w:spacing w:before="0" w:after="283"/>
              <w:jc w:val="left"/>
              <w:rPr/>
            </w:pPr>
            <w:r>
              <w:rPr/>
              <w:t> </w:t>
            </w:r>
          </w:p>
        </w:tc>
      </w:tr>
      <w:tr>
        <w:trPr/>
        <w:tc>
          <w:tcPr>
            <w:tcW w:w="2570" w:type="dxa"/>
            <w:tcBorders/>
            <w:shd w:fill="CCEEFF" w:val="clear"/>
            <w:vAlign w:val="center"/>
          </w:tcPr>
          <w:p>
            <w:pPr>
              <w:pStyle w:val="TableContents"/>
              <w:spacing w:before="0" w:after="283"/>
              <w:jc w:val="left"/>
              <w:rPr>
                <w:b/>
                <w:sz w:val="20"/>
              </w:rPr>
            </w:pPr>
            <w:r>
              <w:rPr>
                <w:b/>
                <w:sz w:val="20"/>
              </w:rPr>
              <w:t>Income tax provision</w:t>
            </w:r>
          </w:p>
        </w:tc>
        <w:tc>
          <w:tcPr>
            <w:tcW w:w="60" w:type="dxa"/>
            <w:tcBorders/>
            <w:shd w:fill="CCEEFF" w:val="clear"/>
            <w:vAlign w:val="center"/>
          </w:tcPr>
          <w:p>
            <w:pPr>
              <w:pStyle w:val="TableContents"/>
              <w:spacing w:before="0" w:after="283"/>
              <w:rPr/>
            </w:pPr>
            <w:r>
              <w:rPr/>
              <w:t> </w:t>
            </w:r>
          </w:p>
        </w:tc>
        <w:tc>
          <w:tcPr>
            <w:tcW w:w="189" w:type="dxa"/>
            <w:tcBorders>
              <w:bottom w:val="double" w:sz="6" w:space="0" w:color="000000"/>
            </w:tcBorders>
            <w:shd w:fill="CCEEFF" w:val="clear"/>
            <w:tcMar>
              <w:bottom w:w="28" w:type="dxa"/>
            </w:tcMar>
            <w:vAlign w:val="center"/>
          </w:tcPr>
          <w:p>
            <w:pPr>
              <w:pStyle w:val="TableContents"/>
              <w:spacing w:before="0" w:after="283"/>
              <w:jc w:val="left"/>
              <w:rPr>
                <w:b w:val="false"/>
                <w:i w:val="false"/>
                <w:caps w:val="false"/>
                <w:smallCaps w:val="false"/>
                <w:sz w:val="20"/>
              </w:rPr>
            </w:pPr>
            <w:r>
              <w:rPr>
                <w:b w:val="false"/>
                <w:i w:val="false"/>
                <w:caps w:val="false"/>
                <w:smallCaps w:val="false"/>
                <w:sz w:val="20"/>
              </w:rPr>
              <w:t>$</w:t>
            </w:r>
          </w:p>
        </w:tc>
        <w:tc>
          <w:tcPr>
            <w:tcW w:w="985"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had $10,178 of U.S. federal operating loss carryovers available to offset future taxable income, which do not expire.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March 2, 2021 to December 31, 2021, the change in the valuation allowance was $13,837.</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federal income tax rate to the Company’s effective tax rate at December 31, 2021 are as follows:</w:t>
      </w:r>
    </w:p>
    <w:p>
      <w:pPr>
        <w:pStyle w:val="TextBody"/>
        <w:spacing w:before="0" w:after="0"/>
        <w:ind w:left="0" w:right="0" w:firstLine="720"/>
        <w:rPr>
          <w:caps w:val="false"/>
          <w:smallCaps w:val="false"/>
        </w:rPr>
      </w:pPr>
      <w:r>
        <w:rPr>
          <w:caps w:val="false"/>
          <w:smallCaps w:val="false"/>
        </w:rPr>
        <w:t> </w:t>
      </w:r>
    </w:p>
    <w:tbl>
      <w:tblPr>
        <w:tblW w:w="4410" w:type="dxa"/>
        <w:jc w:val="left"/>
        <w:tblInd w:w="0" w:type="dxa"/>
        <w:tblCellMar>
          <w:top w:w="0" w:type="dxa"/>
          <w:left w:w="0" w:type="dxa"/>
          <w:bottom w:w="0" w:type="dxa"/>
          <w:right w:w="0" w:type="dxa"/>
        </w:tblCellMar>
      </w:tblPr>
      <w:tblGrid>
        <w:gridCol w:w="2975"/>
        <w:gridCol w:w="60"/>
        <w:gridCol w:w="141"/>
        <w:gridCol w:w="1034"/>
        <w:gridCol w:w="200"/>
      </w:tblGrid>
      <w:tr>
        <w:trPr/>
        <w:tc>
          <w:tcPr>
            <w:tcW w:w="29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December 31,</w:t>
              <w:br/>
              <w:t>2021</w:t>
            </w:r>
          </w:p>
        </w:tc>
        <w:tc>
          <w:tcPr>
            <w:tcW w:w="200" w:type="dxa"/>
            <w:tcBorders/>
            <w:shd w:fill="auto" w:val="clear"/>
            <w:vAlign w:val="center"/>
          </w:tcPr>
          <w:p>
            <w:pPr>
              <w:pStyle w:val="TableContents"/>
              <w:spacing w:before="0" w:after="283"/>
              <w:rPr/>
            </w:pPr>
            <w:r>
              <w:rPr/>
              <w:t> </w:t>
            </w:r>
          </w:p>
        </w:tc>
      </w:tr>
      <w:tr>
        <w:trPr/>
        <w:tc>
          <w:tcPr>
            <w:tcW w:w="2975" w:type="dxa"/>
            <w:tcBorders/>
            <w:shd w:fill="CCEEFF" w:val="clear"/>
            <w:vAlign w:val="center"/>
          </w:tcPr>
          <w:p>
            <w:pPr>
              <w:pStyle w:val="TableContents"/>
              <w:spacing w:before="0" w:after="283"/>
              <w:jc w:val="left"/>
              <w:rPr>
                <w:sz w:val="20"/>
              </w:rPr>
            </w:pPr>
            <w:r>
              <w:rPr>
                <w:sz w:val="20"/>
              </w:rPr>
              <w:t>Statutory federal income tax rate</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034" w:type="dxa"/>
            <w:tcBorders/>
            <w:shd w:fill="CCEEFF" w:val="clear"/>
            <w:vAlign w:val="center"/>
          </w:tcPr>
          <w:p>
            <w:pPr>
              <w:pStyle w:val="TableContents"/>
              <w:spacing w:before="0" w:after="283"/>
              <w:jc w:val="right"/>
              <w:rPr>
                <w:sz w:val="20"/>
              </w:rPr>
            </w:pPr>
            <w:r>
              <w:rPr>
                <w:sz w:val="20"/>
              </w:rPr>
              <w:t>21.0</w:t>
            </w:r>
          </w:p>
        </w:tc>
        <w:tc>
          <w:tcPr>
            <w:tcW w:w="200" w:type="dxa"/>
            <w:tcBorders/>
            <w:shd w:fill="CCEEFF" w:val="clear"/>
            <w:vAlign w:val="center"/>
          </w:tcPr>
          <w:p>
            <w:pPr>
              <w:pStyle w:val="TableContents"/>
              <w:spacing w:before="0" w:after="283"/>
              <w:jc w:val="left"/>
              <w:rPr>
                <w:sz w:val="20"/>
              </w:rPr>
            </w:pPr>
            <w:r>
              <w:rPr>
                <w:sz w:val="20"/>
              </w:rPr>
              <w:t>%</w:t>
            </w:r>
          </w:p>
        </w:tc>
      </w:tr>
      <w:tr>
        <w:trPr/>
        <w:tc>
          <w:tcPr>
            <w:tcW w:w="2975" w:type="dxa"/>
            <w:tcBorders/>
            <w:shd w:fill="FFFFFF" w:val="clear"/>
            <w:vAlign w:val="center"/>
          </w:tcPr>
          <w:p>
            <w:pPr>
              <w:pStyle w:val="TableContents"/>
              <w:spacing w:before="0" w:after="283"/>
              <w:jc w:val="left"/>
              <w:rPr>
                <w:sz w:val="20"/>
              </w:rPr>
            </w:pPr>
            <w:r>
              <w:rPr>
                <w:sz w:val="20"/>
              </w:rPr>
              <w:t>State taxes, net of federal tax benefit</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jc w:val="left"/>
              <w:rPr/>
            </w:pPr>
            <w:r>
              <w:rPr/>
              <w:t> </w:t>
            </w:r>
          </w:p>
        </w:tc>
        <w:tc>
          <w:tcPr>
            <w:tcW w:w="1034" w:type="dxa"/>
            <w:tcBorders/>
            <w:shd w:fill="FFFFFF" w:val="clear"/>
            <w:vAlign w:val="center"/>
          </w:tcPr>
          <w:p>
            <w:pPr>
              <w:pStyle w:val="TableContents"/>
              <w:spacing w:before="0" w:after="283"/>
              <w:jc w:val="right"/>
              <w:rPr>
                <w:sz w:val="20"/>
              </w:rPr>
            </w:pPr>
            <w:r>
              <w:rPr>
                <w:sz w:val="20"/>
              </w:rPr>
              <w:t>0.0</w:t>
            </w:r>
          </w:p>
        </w:tc>
        <w:tc>
          <w:tcPr>
            <w:tcW w:w="200" w:type="dxa"/>
            <w:tcBorders/>
            <w:shd w:fill="FFFFFF" w:val="clear"/>
            <w:vAlign w:val="center"/>
          </w:tcPr>
          <w:p>
            <w:pPr>
              <w:pStyle w:val="TableContents"/>
              <w:spacing w:before="0" w:after="283"/>
              <w:jc w:val="left"/>
              <w:rPr>
                <w:sz w:val="20"/>
              </w:rPr>
            </w:pPr>
            <w:r>
              <w:rPr>
                <w:sz w:val="20"/>
              </w:rPr>
              <w:t>%</w:t>
            </w:r>
          </w:p>
        </w:tc>
      </w:tr>
      <w:tr>
        <w:trPr/>
        <w:tc>
          <w:tcPr>
            <w:tcW w:w="2975" w:type="dxa"/>
            <w:tcBorders/>
            <w:shd w:fill="CCEEFF" w:val="clear"/>
            <w:vAlign w:val="center"/>
          </w:tcPr>
          <w:p>
            <w:pPr>
              <w:pStyle w:val="TableContents"/>
              <w:spacing w:before="0" w:after="283"/>
              <w:jc w:val="left"/>
              <w:rPr>
                <w:sz w:val="20"/>
              </w:rPr>
            </w:pPr>
            <w:r>
              <w:rPr>
                <w:sz w:val="20"/>
              </w:rPr>
              <w:t>Permanent Book/Tax Differences</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034" w:type="dxa"/>
            <w:tcBorders/>
            <w:shd w:fill="CCEEFF" w:val="clear"/>
            <w:vAlign w:val="center"/>
          </w:tcPr>
          <w:p>
            <w:pPr>
              <w:pStyle w:val="TableContents"/>
              <w:spacing w:before="0" w:after="283"/>
              <w:jc w:val="right"/>
              <w:rPr>
                <w:sz w:val="20"/>
              </w:rPr>
            </w:pPr>
            <w:r>
              <w:rPr>
                <w:sz w:val="20"/>
              </w:rPr>
              <w:t>0.0</w:t>
            </w:r>
          </w:p>
        </w:tc>
        <w:tc>
          <w:tcPr>
            <w:tcW w:w="200" w:type="dxa"/>
            <w:tcBorders/>
            <w:shd w:fill="CCEEFF" w:val="clear"/>
            <w:vAlign w:val="center"/>
          </w:tcPr>
          <w:p>
            <w:pPr>
              <w:pStyle w:val="TableContents"/>
              <w:spacing w:before="0" w:after="283"/>
              <w:jc w:val="left"/>
              <w:rPr>
                <w:sz w:val="20"/>
              </w:rPr>
            </w:pPr>
            <w:r>
              <w:rPr>
                <w:sz w:val="20"/>
              </w:rPr>
              <w:t>%</w:t>
            </w:r>
          </w:p>
        </w:tc>
      </w:tr>
      <w:tr>
        <w:trPr/>
        <w:tc>
          <w:tcPr>
            <w:tcW w:w="2975" w:type="dxa"/>
            <w:tcBorders/>
            <w:shd w:fill="FFFFFF" w:val="clear"/>
            <w:vAlign w:val="center"/>
          </w:tcPr>
          <w:p>
            <w:pPr>
              <w:pStyle w:val="TableContents"/>
              <w:spacing w:before="0" w:after="283"/>
              <w:jc w:val="left"/>
              <w:rPr>
                <w:sz w:val="20"/>
              </w:rPr>
            </w:pPr>
            <w:r>
              <w:rPr>
                <w:sz w:val="20"/>
              </w:rPr>
              <w:t>Change in valuation allowance</w:t>
            </w:r>
          </w:p>
        </w:tc>
        <w:tc>
          <w:tcPr>
            <w:tcW w:w="60" w:type="dxa"/>
            <w:tcBorders/>
            <w:shd w:fill="FFFFFF" w:val="clear"/>
            <w:vAlign w:val="center"/>
          </w:tcPr>
          <w:p>
            <w:pPr>
              <w:pStyle w:val="TableContents"/>
              <w:spacing w:before="0" w:after="283"/>
              <w:rPr/>
            </w:pPr>
            <w:r>
              <w:rPr/>
              <w:t> </w:t>
            </w:r>
          </w:p>
        </w:tc>
        <w:tc>
          <w:tcPr>
            <w:tcW w:w="14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spacing w:before="0" w:after="283"/>
              <w:jc w:val="right"/>
              <w:rPr>
                <w:sz w:val="20"/>
              </w:rPr>
            </w:pPr>
            <w:r>
              <w:rPr>
                <w:sz w:val="20"/>
              </w:rPr>
              <w:t>-21.0</w:t>
            </w:r>
          </w:p>
        </w:tc>
        <w:tc>
          <w:tcPr>
            <w:tcW w:w="200" w:type="dxa"/>
            <w:tcBorders/>
            <w:shd w:fill="FFFFFF" w:val="clear"/>
            <w:vAlign w:val="center"/>
          </w:tcPr>
          <w:p>
            <w:pPr>
              <w:pStyle w:val="TableContents"/>
              <w:spacing w:before="0" w:after="283"/>
              <w:jc w:val="left"/>
              <w:rPr>
                <w:sz w:val="20"/>
              </w:rPr>
            </w:pPr>
            <w:r>
              <w:rPr>
                <w:sz w:val="20"/>
              </w:rPr>
              <w:t>%</w:t>
            </w:r>
          </w:p>
        </w:tc>
      </w:tr>
      <w:tr>
        <w:trPr/>
        <w:tc>
          <w:tcPr>
            <w:tcW w:w="2975" w:type="dxa"/>
            <w:tcBorders/>
            <w:shd w:fill="CCEEFF" w:val="clear"/>
            <w:vAlign w:val="center"/>
          </w:tcPr>
          <w:p>
            <w:pPr>
              <w:pStyle w:val="TableContents"/>
              <w:spacing w:before="0" w:after="283"/>
              <w:jc w:val="left"/>
              <w:rPr>
                <w:b/>
                <w:sz w:val="20"/>
              </w:rPr>
            </w:pPr>
            <w:r>
              <w:rPr>
                <w:b/>
                <w:sz w:val="20"/>
              </w:rPr>
              <w:t>Income tax provision</w:t>
            </w:r>
          </w:p>
        </w:tc>
        <w:tc>
          <w:tcPr>
            <w:tcW w:w="60" w:type="dxa"/>
            <w:tcBorders/>
            <w:shd w:fill="CCEEFF" w:val="clear"/>
            <w:vAlign w:val="center"/>
          </w:tcPr>
          <w:p>
            <w:pPr>
              <w:pStyle w:val="TableContents"/>
              <w:spacing w:before="0" w:after="283"/>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034"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200" w:type="dxa"/>
            <w:tcBorders/>
            <w:shd w:fill="CCEEFF" w:val="clear"/>
            <w:vAlign w:val="center"/>
          </w:tcPr>
          <w:p>
            <w:pPr>
              <w:pStyle w:val="TableContents"/>
              <w:spacing w:before="0" w:after="283"/>
              <w:jc w:val="left"/>
              <w:rPr>
                <w:sz w:val="20"/>
              </w:rPr>
            </w:pPr>
            <w:r>
              <w:rPr>
                <w:sz w:val="20"/>
              </w:rPr>
              <w:t>%</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federal jurisdiction and is subject to examination since inception.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F-18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Note 9 - Fair Value Measurements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pStyle w:val="TextBody"/>
        <w:spacing w:before="0" w:after="0"/>
        <w:ind w:left="0" w:right="0" w:hanging="0"/>
        <w:jc w:val="both"/>
        <w:rPr>
          <w:caps w:val="false"/>
          <w:smallCaps w:val="false"/>
        </w:rPr>
      </w:pPr>
      <w:r>
        <w:rPr>
          <w:caps w:val="false"/>
          <w:smallCaps w:val="false"/>
        </w:rPr>
        <w:t> </w:t>
      </w:r>
    </w:p>
    <w:tbl>
      <w:tblPr>
        <w:tblW w:w="9404" w:type="dxa"/>
        <w:jc w:val="left"/>
        <w:tblInd w:w="0" w:type="dxa"/>
        <w:tblCellMar>
          <w:top w:w="0" w:type="dxa"/>
          <w:left w:w="0" w:type="dxa"/>
          <w:bottom w:w="0" w:type="dxa"/>
          <w:right w:w="0" w:type="dxa"/>
        </w:tblCellMar>
      </w:tblPr>
      <w:tblGrid>
        <w:gridCol w:w="3905"/>
        <w:gridCol w:w="60"/>
        <w:gridCol w:w="173"/>
        <w:gridCol w:w="1466"/>
        <w:gridCol w:w="60"/>
        <w:gridCol w:w="60"/>
        <w:gridCol w:w="125"/>
        <w:gridCol w:w="1055"/>
        <w:gridCol w:w="60"/>
        <w:gridCol w:w="60"/>
        <w:gridCol w:w="322"/>
        <w:gridCol w:w="673"/>
        <w:gridCol w:w="60"/>
        <w:gridCol w:w="60"/>
        <w:gridCol w:w="385"/>
        <w:gridCol w:w="805"/>
        <w:gridCol w:w="75"/>
      </w:tblGrid>
      <w:tr>
        <w:trPr/>
        <w:tc>
          <w:tcPr>
            <w:tcW w:w="390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Prices In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7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0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Money Market Fund held in Trust Account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291,813,399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291,813,399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22"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85"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291,813,399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291,813,399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8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5" w:type="dxa"/>
            <w:tcBorders>
              <w:bottom w:val="double" w:sz="6"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Representative Shares were valued with a Probability Weighted Expected Return Model (“PWERM”). The PWERM factors in the stock price, the timing of the business combination, and the timing of the lapse of the transfer restrictions. The fair value was the discounted cash flow from the sale of the securities at the time the restrictions terminated. The expected return was the probability weighted and discounted for lack of marketability.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used in the PWERM for the representative shares valuation as of December 31, 2021 were as follows:</w:t>
      </w:r>
    </w:p>
    <w:p>
      <w:pPr>
        <w:pStyle w:val="TextBody"/>
        <w:spacing w:before="0" w:after="0"/>
        <w:ind w:left="0" w:right="0" w:hanging="0"/>
        <w:rPr>
          <w:caps w:val="false"/>
          <w:smallCaps w:val="false"/>
        </w:rPr>
      </w:pPr>
      <w:r>
        <w:rPr>
          <w:caps w:val="false"/>
          <w:smallCaps w:val="false"/>
        </w:rPr>
        <w:t> </w:t>
      </w:r>
    </w:p>
    <w:tbl>
      <w:tblPr>
        <w:tblW w:w="4454" w:type="dxa"/>
        <w:jc w:val="left"/>
        <w:tblInd w:w="0" w:type="dxa"/>
        <w:tblCellMar>
          <w:top w:w="0" w:type="dxa"/>
          <w:left w:w="0" w:type="dxa"/>
          <w:bottom w:w="28" w:type="dxa"/>
          <w:right w:w="0" w:type="dxa"/>
        </w:tblCellMar>
      </w:tblPr>
      <w:tblGrid>
        <w:gridCol w:w="2975"/>
        <w:gridCol w:w="60"/>
        <w:gridCol w:w="301"/>
        <w:gridCol w:w="918"/>
        <w:gridCol w:w="200"/>
      </w:tblGrid>
      <w:tr>
        <w:trPr/>
        <w:tc>
          <w:tcPr>
            <w:tcW w:w="297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1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15, </w:t>
              <w:br/>
              <w:t>2021</w:t>
            </w:r>
          </w:p>
        </w:tc>
        <w:tc>
          <w:tcPr>
            <w:tcW w:w="20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29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Likelihood of business combination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(years)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0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01"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 was issued. Based on the Company’s review, the Company did not identify any subsequent events that would have required adjustment or disclosure in the financial statement.</w:t>
      </w:r>
    </w:p>
    <w:p>
      <w:pPr>
        <w:pStyle w:val="TextBody"/>
        <w:spacing w:before="0" w:after="0"/>
        <w:ind w:left="14" w:right="14" w:hanging="0"/>
        <w:jc w:val="both"/>
        <w:rPr>
          <w:caps w:val="false"/>
          <w:smallCaps w:val="false"/>
        </w:rPr>
      </w:pPr>
      <w:r>
        <w:rPr>
          <w:caps w:val="false"/>
          <w:smallCaps w:val="false"/>
        </w:rPr>
        <w:t> </w:t>
      </w:r>
    </w:p>
    <w:p>
      <w:pPr>
        <w:pStyle w:val="TextBody"/>
        <w:spacing w:before="0" w:after="0"/>
        <w:ind w:left="14" w:right="14" w:hanging="0"/>
        <w:jc w:val="center"/>
        <w:rPr>
          <w:sz w:val="20"/>
          <w:bdr w:val="single" w:sz="8" w:space="1" w:color="000000"/>
        </w:rPr>
      </w:pPr>
      <w:r>
        <w:rPr>
          <w:sz w:val="20"/>
          <w:bdr w:val="single" w:sz="8" w:space="1" w:color="000000"/>
        </w:rPr>
        <w:t>F-19</w:t>
      </w:r>
    </w:p>
    <w:p>
      <w:pPr>
        <w:pStyle w:val="TextBody"/>
        <w:spacing w:before="0" w:after="0"/>
        <w:ind w:left="14" w:right="14" w:hanging="0"/>
        <w:jc w:val="both"/>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caps w:val="false"/>
          <w:smallCaps w:val="false"/>
        </w:rPr>
      </w:pPr>
      <w:bookmarkStart w:id="33" w:name="tm2210770d1_ex4-5.htm"/>
      <w:bookmarkStart w:id="34" w:name="kstm2210770d1_ex45"/>
      <w:bookmarkEnd w:id="33"/>
      <w:bookmarkEnd w:id="34"/>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BurTech Acquisition Corp. 30,079,500 shares of Class A common stock, par value $0.0001 per share, and 9,487,500 shares of Class B common stock, par value $0.0001 per share, issued and outstanding. We have three classes of securities registered under Section 12 of the Securities Exchange Act of 1934, as amended (the “Exchange Act”): (1) our units; (2) our common stock; and (3) our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units, common stock, and warrants is a summary and does not purport to be complete. It is subject to and qualified in its entirety by reference to our Second Amended and Restated Certificate of Incorporation, which is incorporated by reference as an exhibit to the Annual Report on Form 10-K of which this Exhibit 4.5 is a part.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not otherwise defined herein shall have the meaning assigned to them in the Annual Report on Form 10-K of which this Exhibit 4.5 is a part.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has an offering price of $10.00 and consists of one share of Class A common stock and one redeemable warrant. Each warrant entitles the holder to purchase one share of common stock. Pursuant to the warrant agreement, a warrant holder may exercise his, her or its warrants only for a whole number of shares of common stock. No fractional warrants will be issued upon separation of the units and only whole warrants will trade.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warrants comprising the units began separate trading on January 31, 2022.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units are identical to the units sold in the initial public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39,567,000 shares of our common stock outstanding including: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29,648,250 shares of our Class A common stock underlying the units sold in the initial public offering and the private placement;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431,250 shares of our Class A common stock issued to the representative of the underwriters;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9,487,500 shares of our Class B common stock held by our initial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has purchased an aggregate of 898.250 placement units at a price of $10.00 per unit, for an aggregate purchase price of $8,982,500. The initial stockholders will hold an aggregate of approximately 26.6% of the issued and outstanding common stock following the offering and the expiration of the underwriters’ over-allotment option (including the placement shares to be issued to the sponsor, excluding representative shares and assuming they do not purchase any units in the initial public offering or the public market). Our initial stockholders hold 24.81% of the issued and outstanding shares of our common stock (excluding the shares of Class A common stock issued to the representative or its designees, the placement units and underlying securities of the foregoing and assuming they do not purchase any units in the initial public offering) upon the consummation of the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 securities to certain permitted transferees, such permitted transferees will agree, as a condition to such transfer, to waive these same redemption rights. Also, our sponsor has committed to purchase 804,500 placement units (or up to 898,250 placement units if the over-allotment option is exercised in full) at the price of $10.00 per unit in a private placement that will occur simultaneously with the completion of the initial public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participation of our sponsor, officers, directors or their affiliates in privately-negotiated transactions (as described in the public offering prospectus dated December 10, 2021),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the initial public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the initial public offering (including in open market and privately negotiated transactions) in favor of our initial business combination. As a result, in addition to our initial stockholders’ founder shares and placement shares, we would need no additional public shares sold in the initial public offering to be voted in favor of an initial business combination (assuming only the minimum number of shares representing a quorum are voted) in order to have our initial business combination approved (assuming the over-allotment option is not exercised and that the initial stockholders do not purchase any units in the initial public offering or units or shares in the after-market and excluding the representative’s shares). In the event that all shares of our outstanding common stock are voted, we would need 8,160,251 or 32.64%, of the 25,000,000 public shares sold in the initial public offering to be voted in favor of an initial business combination in order to have our initial business combination approved (assuming the over-allotment option is not exercised, that the initial stockholders do not purchase any units in the initial public offering or units or shares in the after-market and excluding the representative’s shares). Additionally, each public stockholder may elect to redeem its public shares irrespective of whether they vote for or against the proposed transaction (subject to the limitation described in the preceding paragraph).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certificate of incorporation, if we are unable to complete our initial business combination within 15 months from the closing of the initial public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have entered into a letter agreement with us, pursuant to which they will agree to waive their rights to liquidating distributions from the trust account with respect to any founder shares and placement shares held by them if we fail to complete our initial business combination within 15 months from the closing of the initial public offering. However, if our initial stockholders acquire public shares in or after the initial public offering, they will be entitled to liquidating distributions from the trust account with respect to such public shares if we fail to complete our initial business combination within the prescribed time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 and Placement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and placement shares are identical to the shares of Class A common stock included in the units being sold in the initial public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the initial public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the initial public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the initial public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the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completion of the initial public offering (excluding the shares of Class A common stock issued to the representative or its designees, the placement units and securities underlying the placement units and assuming the initial stockholders do not purchase units in the initial public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 (iii) 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were issued or registered in the initial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Stockholders’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 share of our Class A common stock at a price of $11.50 per share, subject to adjustment as discussed below, at any time commencing on the later of 12 months from the closing of the initial public offering and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expire five years after the completion of our initial business combination, at 5:00 p.m., New York City time, or earlier upon redemption or liquidation.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in the initial public offering, except that they will not be transferable, assignable or saleable until 30 days after the consummation of the initial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whole and not in part;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at a price of $0.01 per warrant;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upon not less than 30 days’ prior written notice of redemption given after the warrants become exercisable (the “30-day redemption period”) to each warrant holder;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the public offering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 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warrants have terms and provisions that are identical to those of the warrants being sold as part of the units in the public offering, including as to exercise price, exercisability and exercise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holders of our placement warrants are entitled to certain registration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the public offering prospectus entitled “Principal Stockholders — Restrictions on Transfers of Founder Shares and Placement Warrants” made to our officers and directors and other persons or entities affiliated with our sponsor.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the securities underlying the placement units and assuming they do not purchase any units in the initial public offering) upon the consummation of the initial public offering. Further, if we incur any indebtedness, our ability to declare dividends may be limited by restrictive covenants we may agree to in connection therewith.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ind w:left="0" w:right="0" w:hanging="0"/>
        <w:rPr/>
      </w:pPr>
      <w:r>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5" w:name="tm2210770d1_ex31-1.htm"/>
      <w:bookmarkStart w:id="36" w:name="kstm2210770d1_ex311"/>
      <w:bookmarkEnd w:id="35"/>
      <w:bookmarkEnd w:id="36"/>
      <w:r>
        <w:rPr>
          <w:rFonts w:ascii="Times New Roman;Times;Serif" w:hAnsi="Times New Roman;Times;Serif"/>
          <w:b/>
          <w:i w:val="false"/>
          <w:caps w:val="false"/>
          <w:smallCaps w:val="false"/>
          <w:sz w:val="20"/>
        </w:rPr>
        <w:t>Exhibit 31.1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OF CHIEF EXECUTIVE OFFICER</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Shahal Khan, certify that: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BurTech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2022</w:t>
        <w:tab/>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 Shahal Khan</w:t>
      </w:r>
      <w:r>
        <w:rPr>
          <w:rFonts w:ascii="Times New Roman;Times;Serif" w:hAnsi="Times New Roman;Times;Serif"/>
          <w:b w:val="false"/>
          <w:i w:val="false"/>
          <w:caps w:val="false"/>
          <w:smallCaps w:val="false"/>
          <w:sz w:val="20"/>
        </w:rPr>
        <w:t>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SHahal Khan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firstLine="720"/>
        <w:jc w:val="right"/>
        <w:rPr>
          <w:caps w:val="false"/>
          <w:smallCaps w:val="false"/>
        </w:rPr>
      </w:pPr>
      <w:r>
        <w:rPr>
          <w:caps w:val="false"/>
          <w:smallCaps w:val="false"/>
        </w:rPr>
        <w:t> </w:t>
      </w:r>
      <w:r>
        <w:br w:type="page"/>
      </w:r>
    </w:p>
    <w:p>
      <w:pPr>
        <w:pStyle w:val="TextBody"/>
        <w:spacing w:before="0" w:after="0"/>
        <w:ind w:left="0" w:right="0" w:hanging="0"/>
        <w:jc w:val="right"/>
        <w:rPr>
          <w:b/>
        </w:rPr>
      </w:pPr>
      <w:bookmarkStart w:id="37" w:name="tm2210770d1_ex31-2.htm"/>
      <w:bookmarkStart w:id="38" w:name="kstm2210770d1_ex312"/>
      <w:bookmarkEnd w:id="37"/>
      <w:bookmarkEnd w:id="38"/>
      <w:r>
        <w:rPr>
          <w:b/>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Roman Livson, certify that: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BurTech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2022</w:t>
        <w:tab/>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Roman Livson</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Roman Livson</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and Financial Officer)</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firstLine="720"/>
        <w:jc w:val="right"/>
        <w:rPr>
          <w:caps w:val="false"/>
          <w:smallCaps w:val="false"/>
        </w:rPr>
      </w:pPr>
      <w:r>
        <w:rPr>
          <w:caps w:val="false"/>
          <w:smallCaps w:val="false"/>
        </w:rPr>
        <w:t> </w:t>
      </w:r>
      <w:r>
        <w:br w:type="page"/>
      </w:r>
    </w:p>
    <w:p>
      <w:pPr>
        <w:pStyle w:val="TextBody"/>
        <w:spacing w:before="0" w:after="0"/>
        <w:ind w:left="0" w:right="0" w:hanging="0"/>
        <w:jc w:val="right"/>
        <w:rPr>
          <w:b/>
        </w:rPr>
      </w:pPr>
      <w:bookmarkStart w:id="39" w:name="tm2210770d1_ex32.htm"/>
      <w:bookmarkStart w:id="40" w:name="kstm2210770d1_ex32"/>
      <w:bookmarkEnd w:id="39"/>
      <w:bookmarkEnd w:id="40"/>
      <w:r>
        <w:rPr>
          <w:b/>
        </w:rPr>
        <w:t>Exhibit 32</w:t>
      </w:r>
    </w:p>
    <w:p>
      <w:pPr>
        <w:pStyle w:val="TextBody"/>
        <w:spacing w:before="0" w:after="0"/>
        <w:ind w:left="0" w:right="0" w:hanging="0"/>
        <w:jc w:val="right"/>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906 OF THE SARBANES-OXLEY ACT OF 2002</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BurTech Acquisition Corp. (the “Company”) on Form 10-K for the year ended December 31, 2021 as filed with the Securities and Exchange Commission (the “Report”), each of the undersigned, in the capacities and on the dates indicated below, hereby certifies pursuant to 18 U.S.C. Section 1350, as adopted pursuant to Section 906 of the Sarbanes-Oxley Act of 2002,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Shahal Khan</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Shahal Khan</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Roman Livson</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Roman Livson</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right"/>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1638/000110465921150569/tm2135631d1_ex1-1.htm" TargetMode="External"/><Relationship Id="rId3" Type="http://schemas.openxmlformats.org/officeDocument/2006/relationships/hyperlink" Target="http://www.sec.gov/Archives/edgar/data/1871638/000110465921150569/tm2135631d1_ex1-1.htm" TargetMode="External"/><Relationship Id="rId4" Type="http://schemas.openxmlformats.org/officeDocument/2006/relationships/hyperlink" Target="http://www.sec.gov/Archives/edgar/data/1871638/000110465921150569/tm2135631d1_ex3-1.htm" TargetMode="External"/><Relationship Id="rId5" Type="http://schemas.openxmlformats.org/officeDocument/2006/relationships/hyperlink" Target="http://www.sec.gov/Archives/edgar/data/1871638/000110465921150569/tm2135631d1_ex3-1.htm" TargetMode="External"/><Relationship Id="rId6" Type="http://schemas.openxmlformats.org/officeDocument/2006/relationships/hyperlink" Target="http://www.sec.gov/Archives/edgar/data/1871638/000110465921107433/tm2124406d1_ex3-3.htm" TargetMode="External"/><Relationship Id="rId7" Type="http://schemas.openxmlformats.org/officeDocument/2006/relationships/hyperlink" Target="http://www.sec.gov/Archives/edgar/data/1871638/000110465921107433/tm2124406d1_ex3-3.htm" TargetMode="External"/><Relationship Id="rId8" Type="http://schemas.openxmlformats.org/officeDocument/2006/relationships/hyperlink" Target="http://www.sec.gov/Archives/edgar/data/1871638/000110465921141949/tm2124406d5_ex4-1.htm" TargetMode="External"/><Relationship Id="rId9" Type="http://schemas.openxmlformats.org/officeDocument/2006/relationships/hyperlink" Target="http://www.sec.gov/Archives/edgar/data/1871638/000110465921141949/tm2124406d5_ex4-1.htm" TargetMode="External"/><Relationship Id="rId10" Type="http://schemas.openxmlformats.org/officeDocument/2006/relationships/hyperlink" Target="http://www.sec.gov/Archives/edgar/data/1871638/000110465921141949/tm2124406d5_ex4-2.htm" TargetMode="External"/><Relationship Id="rId11" Type="http://schemas.openxmlformats.org/officeDocument/2006/relationships/hyperlink" Target="http://www.sec.gov/Archives/edgar/data/1871638/000110465921141949/tm2124406d5_ex4-2.htm" TargetMode="External"/><Relationship Id="rId12" Type="http://schemas.openxmlformats.org/officeDocument/2006/relationships/hyperlink" Target="http://www.sec.gov/Archives/edgar/data/1871638/000110465921141949/tm2124406d5_ex4-3.htm" TargetMode="External"/><Relationship Id="rId13" Type="http://schemas.openxmlformats.org/officeDocument/2006/relationships/hyperlink" Target="http://www.sec.gov/Archives/edgar/data/1871638/000110465921141949/tm2124406d5_ex4-3.htm" TargetMode="External"/><Relationship Id="rId14" Type="http://schemas.openxmlformats.org/officeDocument/2006/relationships/hyperlink" Target="http://www.sec.gov/Archives/edgar/data/1871638/000110465921150569/tm2135631d1_ex4-1.htm" TargetMode="External"/><Relationship Id="rId15" Type="http://schemas.openxmlformats.org/officeDocument/2006/relationships/hyperlink" Target="http://www.sec.gov/Archives/edgar/data/1871638/000110465921150569/tm2135631d1_ex4-1.htm" TargetMode="External"/><Relationship Id="rId16" Type="http://schemas.openxmlformats.org/officeDocument/2006/relationships/hyperlink" Target="http://www.sec.gov/Archives/edgar/data/1871638/000110465921107433/tm2124406d1_ex10-2.htm" TargetMode="External"/><Relationship Id="rId17" Type="http://schemas.openxmlformats.org/officeDocument/2006/relationships/hyperlink" Target="http://www.sec.gov/Archives/edgar/data/1871638/000110465921107433/tm2124406d1_ex10-2.htm" TargetMode="External"/><Relationship Id="rId18" Type="http://schemas.openxmlformats.org/officeDocument/2006/relationships/hyperlink" Target="http://www.sec.gov/Archives/edgar/data/1871638/000110465921107433/tm2124406d1_ex10-5.htm" TargetMode="External"/><Relationship Id="rId19" Type="http://schemas.openxmlformats.org/officeDocument/2006/relationships/hyperlink" Target="http://www.sec.gov/Archives/edgar/data/1871638/000110465921107433/tm2124406d1_ex10-5.htm" TargetMode="External"/><Relationship Id="rId20" Type="http://schemas.openxmlformats.org/officeDocument/2006/relationships/hyperlink" Target="http://www.sec.gov/Archives/edgar/data/1871638/000110465921150569/tm2135631d1_ex10-2.htm" TargetMode="External"/><Relationship Id="rId21" Type="http://schemas.openxmlformats.org/officeDocument/2006/relationships/hyperlink" Target="http://www.sec.gov/Archives/edgar/data/1871638/000110465921150569/tm2135631d1_ex10-2.htm" TargetMode="External"/><Relationship Id="rId22" Type="http://schemas.openxmlformats.org/officeDocument/2006/relationships/hyperlink" Target="http://www.sec.gov/Archives/edgar/data/1871638/000110465921150569/tm2135631d1_ex10-3.htm" TargetMode="External"/><Relationship Id="rId23" Type="http://schemas.openxmlformats.org/officeDocument/2006/relationships/hyperlink" Target="http://www.sec.gov/Archives/edgar/data/1871638/000110465921150569/tm2135631d1_ex10-3.htm" TargetMode="External"/><Relationship Id="rId24" Type="http://schemas.openxmlformats.org/officeDocument/2006/relationships/hyperlink" Target="http://www.sec.gov/Archives/edgar/data/1871638/000110465921150569/tm2135631d1_ex10-1.htm" TargetMode="External"/><Relationship Id="rId25" Type="http://schemas.openxmlformats.org/officeDocument/2006/relationships/hyperlink" Target="http://www.sec.gov/Archives/edgar/data/1871638/000110465921150569/tm2135631d1_ex10-1.htm" TargetMode="External"/><Relationship Id="rId26" Type="http://schemas.openxmlformats.org/officeDocument/2006/relationships/hyperlink" Target="http://www.sec.gov/Archives/edgar/data/1871638/000110465921150569/tm2135631d1_ex10-4.htm" TargetMode="External"/><Relationship Id="rId27" Type="http://schemas.openxmlformats.org/officeDocument/2006/relationships/hyperlink" Target="http://www.sec.gov/Archives/edgar/data/1871638/000110465921150569/tm2135631d1_ex10-4.htm" TargetMode="External"/><Relationship Id="rId28" Type="http://schemas.openxmlformats.org/officeDocument/2006/relationships/hyperlink" Target="http://www.sec.gov/Archives/edgar/data/0001866547/000149315222000323/ex10-5.htm" TargetMode="External"/><Relationship Id="rId29" Type="http://schemas.openxmlformats.org/officeDocument/2006/relationships/hyperlink" Target="http://www.sec.gov/Archives/edgar/data/0001866547/000149315222000323/ex10-5.htm" TargetMode="External"/><Relationship Id="rId30" Type="http://schemas.openxmlformats.org/officeDocument/2006/relationships/hyperlink" Target="http://www.sec.gov/Archives/edgar/data/0001866547/000149315222000323/ex10-6.htm" TargetMode="External"/><Relationship Id="rId31" Type="http://schemas.openxmlformats.org/officeDocument/2006/relationships/hyperlink" Target="http://www.sec.gov/Archives/edgar/data/0001866547/000149315222000323/ex10-6.htm" TargetMode="External"/><Relationship Id="rId32" Type="http://schemas.openxmlformats.org/officeDocument/2006/relationships/hyperlink" Target="http://www.sec.gov/Archives/edgar/data/1871638/000110465921141949/tm2124406d5_ex14.htm" TargetMode="External"/><Relationship Id="rId33" Type="http://schemas.openxmlformats.org/officeDocument/2006/relationships/hyperlink" Target="http://www.sec.gov/Archives/edgar/data/1871638/000110465921141949/tm2124406d5_ex14.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35966</Words>
  <CharactersWithSpaces>231098</CharactersWithSpaces>
  <Paragraphs>3017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