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6996430" cy="808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080375"/>
                    </a:xfrm>
                    <a:prstGeom prst="rect">
                      <a:avLst/>
                    </a:prstGeom>
                    <a:noFill/>
                  </pic:spPr>
                </pic:pic>
              </a:graphicData>
            </a:graphic>
          </wp:anchor>
        </w:drawing>
      </w:r>
    </w:p>
    <w:p>
      <w:pPr>
        <w:spacing w:after="0" w:line="1152"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Cannestra Anthony</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BLAIZE HOLDINGS, INC.</w:t>
            </w:r>
          </w:p>
        </w:tc>
        <w:tc>
          <w:tcPr>
            <w:tcW w:w="122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04/06/2026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0"/>
          <w:szCs w:val="20"/>
          <w:color w:val="auto"/>
        </w:rPr>
      </w:pPr>
    </w:p>
    <w:p>
      <w:pPr>
        <w:sectPr>
          <w:pgSz w:w="11900" w:h="16838" w:orient="portrait"/>
          <w:cols w:equalWidth="0" w:num="2">
            <w:col w:w="7680" w:space="61"/>
            <w:col w:w="3339"/>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660" w:type="dxa"/>
            <w:vAlign w:val="bottom"/>
            <w:gridSpan w:val="7"/>
          </w:tcPr>
          <w:p>
            <w:pPr>
              <w:jc w:val="right"/>
              <w:ind w:right="235"/>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EL DORADO</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95762</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HILLS</w:t>
            </w:r>
          </w:p>
        </w:tc>
        <w:tc>
          <w:tcPr>
            <w:tcW w:w="6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5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73"/>
              <w:spacing w:after="0"/>
              <w:rPr>
                <w:sz w:val="20"/>
                <w:szCs w:val="20"/>
                <w:color w:val="auto"/>
              </w:rPr>
            </w:pPr>
            <w:r>
              <w:rPr>
                <w:rFonts w:ascii="Times New Roman" w:cs="Times New Roman" w:eastAsia="Times New Roman" w:hAnsi="Times New Roman"/>
                <w:sz w:val="16"/>
                <w:szCs w:val="16"/>
                <w:color w:val="0000FF"/>
              </w:rPr>
              <w:t>04/06/2026</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w w:val="86"/>
              </w:rPr>
              <w:t>M</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60"/>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73"/>
              <w:spacing w:after="0"/>
              <w:rPr>
                <w:sz w:val="20"/>
                <w:szCs w:val="20"/>
                <w:color w:val="auto"/>
              </w:rPr>
            </w:pPr>
            <w:r>
              <w:rPr>
                <w:rFonts w:ascii="Times New Roman" w:cs="Times New Roman" w:eastAsia="Times New Roman" w:hAnsi="Times New Roman"/>
                <w:sz w:val="16"/>
                <w:szCs w:val="16"/>
                <w:color w:val="0000FF"/>
              </w:rPr>
              <w:t>04/06/2026</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1"/>
                <w:szCs w:val="21"/>
                <w:color w:val="008000"/>
                <w:vertAlign w:val="superscript"/>
              </w:rPr>
              <w:t>(3)</w:t>
            </w:r>
          </w:p>
        </w:tc>
        <w:tc>
          <w:tcPr>
            <w:tcW w:w="54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1.75</w:t>
            </w:r>
            <w:r>
              <w:rPr>
                <w:rFonts w:ascii="Times New Roman" w:cs="Times New Roman" w:eastAsia="Times New Roman" w:hAnsi="Times New Roman"/>
                <w:sz w:val="21"/>
                <w:szCs w:val="21"/>
                <w:color w:val="008000"/>
                <w:vertAlign w:val="superscript"/>
              </w:rPr>
              <w:t>(4)</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01/13/2030</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91,327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14.62</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12/13/2028</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jc w:val="center"/>
              <w:ind w:left="200"/>
              <w:spacing w:after="0" w:line="139" w:lineRule="exact"/>
              <w:rPr>
                <w:sz w:val="20"/>
                <w:szCs w:val="20"/>
                <w:color w:val="auto"/>
              </w:rPr>
            </w:pPr>
            <w:r>
              <w:rPr>
                <w:rFonts w:ascii="Times New Roman" w:cs="Times New Roman" w:eastAsia="Times New Roman" w:hAnsi="Times New Roman"/>
                <w:sz w:val="13"/>
                <w:szCs w:val="13"/>
                <w:color w:val="0000FF"/>
              </w:rPr>
              <w:t>8,824</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rPr>
              <w:t>212,169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09/18/2033</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9"/>
              </w:rPr>
              <w:t>212,169</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5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50,000</w:t>
            </w:r>
            <w:r>
              <w:rPr>
                <w:rFonts w:ascii="Times New Roman" w:cs="Times New Roman" w:eastAsia="Times New Roman" w:hAnsi="Times New Roman"/>
                <w:sz w:val="21"/>
                <w:szCs w:val="21"/>
                <w:color w:val="008000"/>
                <w:vertAlign w:val="superscript"/>
              </w:rPr>
              <w:t>(1)</w:t>
            </w: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5"/>
                <w:szCs w:val="5"/>
                <w:color w:val="auto"/>
              </w:rPr>
            </w:pPr>
          </w:p>
        </w:tc>
        <w:tc>
          <w:tcPr>
            <w:tcW w:w="1040" w:type="dxa"/>
            <w:vAlign w:val="bottom"/>
            <w:vMerge w:val="restart"/>
          </w:tcPr>
          <w:p>
            <w:pPr>
              <w:ind w:left="240"/>
              <w:spacing w:after="0" w:line="139" w:lineRule="exact"/>
              <w:rPr>
                <w:sz w:val="20"/>
                <w:szCs w:val="20"/>
                <w:color w:val="auto"/>
              </w:rPr>
            </w:pPr>
            <w:r>
              <w:rPr>
                <w:rFonts w:ascii="Times New Roman" w:cs="Times New Roman" w:eastAsia="Times New Roman" w:hAnsi="Times New Roman"/>
                <w:sz w:val="13"/>
                <w:szCs w:val="13"/>
                <w:color w:val="0000FF"/>
              </w:rPr>
              <w:t>04/06/2026</w:t>
            </w:r>
          </w:p>
        </w:tc>
        <w:tc>
          <w:tcPr>
            <w:tcW w:w="1080" w:type="dxa"/>
            <w:vAlign w:val="bottom"/>
          </w:tcPr>
          <w:p>
            <w:pPr>
              <w:spacing w:after="0"/>
              <w:rPr>
                <w:sz w:val="5"/>
                <w:szCs w:val="5"/>
                <w:color w:val="auto"/>
              </w:rPr>
            </w:pPr>
          </w:p>
        </w:tc>
        <w:tc>
          <w:tcPr>
            <w:tcW w:w="740" w:type="dxa"/>
            <w:vAlign w:val="bottom"/>
            <w:gridSpan w:val="2"/>
            <w:vMerge w:val="restart"/>
          </w:tcPr>
          <w:p>
            <w:pPr>
              <w:jc w:val="center"/>
              <w:ind w:right="257"/>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10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09/18/2033</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162,169</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rPr>
              <w:t>350,970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10/23/2024</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9"/>
              </w:rPr>
              <w:t>350,970</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5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rPr>
              <w:t>146,237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10/23/2034</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9"/>
              </w:rPr>
              <w:t>146,237</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5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rPr>
              <w:t>212,500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9"/>
              </w:rPr>
              <w:t>212,500</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5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87"/>
              </w:rPr>
              <w:t>(10)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75,258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75,258</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-4942840</wp:posOffset>
            </wp:positionV>
            <wp:extent cx="28575" cy="494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9485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exercise of 50,000 stock options underlying 50,000 shares of the Issuer's common stock was effected pursuant to a Rule 10b5-1 trading plan adopted by the reporting person on December 11, 2025 (the "10b5-1 trading plan").</w:t>
      </w:r>
    </w:p>
    <w:p>
      <w:pPr>
        <w:spacing w:after="0" w:line="21"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reporting person's prior Form 4 filings, earnout shares and unvested restricted stock units had been reported in Table I. These holdings have been moved to Table II, and there have been no transactions in such holdings since the reporting person's last Form 4 filing.</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the reporting person's Rule 10b5-1 trading plan.</w:t>
      </w:r>
    </w:p>
    <w:p>
      <w:pPr>
        <w:spacing w:after="0" w:line="40" w:lineRule="exact"/>
        <w:rPr>
          <w:rFonts w:ascii="Times New Roman" w:cs="Times New Roman" w:eastAsia="Times New Roman" w:hAnsi="Times New Roman"/>
          <w:sz w:val="13"/>
          <w:szCs w:val="13"/>
          <w:color w:val="008000"/>
        </w:rPr>
      </w:pPr>
    </w:p>
    <w:p>
      <w:pPr>
        <w:ind w:left="1" w:right="26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$1.72 to $1.79, inclusive. Upon request by the SEC staff, the Issuer, or any security holder of the Issuer, full information regarding the number of shares sold at each separate price will be provided.</w:t>
      </w:r>
    </w:p>
    <w:p>
      <w:pPr>
        <w:spacing w:after="0" w:line="21" w:lineRule="exact"/>
        <w:rPr>
          <w:rFonts w:ascii="Times New Roman" w:cs="Times New Roman" w:eastAsia="Times New Roman" w:hAnsi="Times New Roman"/>
          <w:sz w:val="13"/>
          <w:szCs w:val="13"/>
          <w:color w:val="008000"/>
        </w:rPr>
      </w:pPr>
    </w:p>
    <w:p>
      <w:pPr>
        <w:ind w:left="1" w:right="60" w:hanging="1"/>
        <w:spacing w:after="0" w:line="28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January 13, 2025, the date of the Issuer's business combination, the reporting person received earnout shares in respect of the Issuer's business combination. Each eanout share represents a contingent right to receive one share of the Issuer's common stock if the trading price of the Issuer's common stock exceeds certain thresholds for 20 of 30 consecutive trading days post-closing of the Issuer's business combination.</w:t>
      </w:r>
    </w:p>
    <w:p>
      <w:pPr>
        <w:spacing w:after="0" w:line="1" w:lineRule="exact"/>
        <w:rPr>
          <w:rFonts w:ascii="Times New Roman" w:cs="Times New Roman" w:eastAsia="Times New Roman" w:hAnsi="Times New Roman"/>
          <w:sz w:val="12"/>
          <w:szCs w:val="12"/>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to purchase one share of the Issuer's common stock for each stock option is fully vested and exercisable.</w:t>
      </w:r>
    </w:p>
    <w:p>
      <w:pPr>
        <w:spacing w:after="0" w:line="40" w:lineRule="exact"/>
        <w:rPr>
          <w:rFonts w:ascii="Times New Roman" w:cs="Times New Roman" w:eastAsia="Times New Roman" w:hAnsi="Times New Roman"/>
          <w:sz w:val="13"/>
          <w:szCs w:val="13"/>
          <w:color w:val="008000"/>
        </w:rPr>
      </w:pPr>
    </w:p>
    <w:p>
      <w:pPr>
        <w:jc w:val="both"/>
        <w:ind w:left="1" w:hanging="1"/>
        <w:spacing w:after="0" w:line="26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among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0" w:lineRule="exact"/>
        <w:rPr>
          <w:rFonts w:ascii="Times New Roman" w:cs="Times New Roman" w:eastAsia="Times New Roman" w:hAnsi="Times New Roman"/>
          <w:sz w:val="12"/>
          <w:szCs w:val="12"/>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 w:right="12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are time-based restricted stock units that vest in four equal quarterly installments commencing June 1, 2028. Vested shares will be delivered to the reporting person not later than 60 days after the vesting date.</w:t>
      </w:r>
    </w:p>
    <w:p>
      <w:pPr>
        <w:spacing w:after="0" w:line="21" w:lineRule="exact"/>
        <w:rPr>
          <w:rFonts w:ascii="Times New Roman" w:cs="Times New Roman" w:eastAsia="Times New Roman" w:hAnsi="Times New Roman"/>
          <w:sz w:val="13"/>
          <w:szCs w:val="13"/>
          <w:color w:val="008000"/>
        </w:rPr>
      </w:pPr>
    </w:p>
    <w:p>
      <w:pPr>
        <w:ind w:left="1" w:right="24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granted at the Issuer's 2025 Annual Meeting under the Non-Employee Director Compensation Program, which vest at the earlier of one year or the Issuer's next Annual Meeting. Vested shares will be delivered to the reporting person not later than 60 days after the vesting date.</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Harminder Sehmi, as</w:t>
            </w:r>
          </w:p>
        </w:tc>
        <w:tc>
          <w:tcPr>
            <w:tcW w:w="420" w:type="dxa"/>
            <w:vAlign w:val="bottom"/>
          </w:tcPr>
          <w:p>
            <w:pPr>
              <w:spacing w:after="0"/>
              <w:rPr>
                <w:sz w:val="16"/>
                <w:szCs w:val="16"/>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04/08/2026</w:t>
            </w:r>
          </w:p>
        </w:tc>
        <w:tc>
          <w:tcPr>
            <w:tcW w:w="0" w:type="dxa"/>
            <w:vAlign w:val="bottom"/>
          </w:tcPr>
          <w:p>
            <w:pPr>
              <w:spacing w:after="0"/>
              <w:rPr>
                <w:sz w:val="1"/>
                <w:szCs w:val="1"/>
                <w:color w:val="auto"/>
              </w:rPr>
            </w:pPr>
          </w:p>
        </w:tc>
      </w:tr>
      <w:tr>
        <w:trPr>
          <w:trHeight w:val="81"/>
        </w:trPr>
        <w:tc>
          <w:tcPr>
            <w:tcW w:w="11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0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1"/>
      </w:cols>
      <w:pgMar w:left="499"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8317"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2026-04-08T11:16:24Z</dcterms:created>
  <dcterms:modified xsi:type="dcterms:W3CDTF">2026-04-08T11:16:24Z</dcterms:modified>
</cp:coreProperties>
</file>