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13G/A</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1)*</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BurTech Acquisition Corp</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4040"/>
        <w:spacing w:after="0"/>
        <w:rPr>
          <w:sz w:val="20"/>
          <w:szCs w:val="20"/>
          <w:color w:val="auto"/>
        </w:rPr>
      </w:pPr>
      <w:r>
        <w:rPr>
          <w:rFonts w:ascii="Arial" w:cs="Arial" w:eastAsia="Arial" w:hAnsi="Arial"/>
          <w:sz w:val="22"/>
          <w:szCs w:val="22"/>
          <w:b w:val="1"/>
          <w:bCs w:val="1"/>
          <w:u w:val="single" w:color="auto"/>
          <w:color w:val="auto"/>
        </w:rPr>
        <w:t>Common Stock, $0.0001 par value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123013104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December 31, 2022</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[_] Rule 13d-1(b)</w:t>
      </w:r>
    </w:p>
    <w:p>
      <w:pPr>
        <w:spacing w:after="0" w:line="206" w:lineRule="exact"/>
        <w:rPr>
          <w:sz w:val="24"/>
          <w:szCs w:val="24"/>
          <w:color w:val="auto"/>
        </w:rPr>
      </w:pPr>
    </w:p>
    <w:p>
      <w:pPr>
        <w:jc w:val="both"/>
        <w:ind w:left="660" w:right="898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[_] Rule 13d-1(d)</w:t>
      </w: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13G/A</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b w:val="1"/>
                <w:bCs w:val="1"/>
                <w:color w:val="auto"/>
              </w:rPr>
              <w:t>CUSIP No.</w:t>
            </w:r>
          </w:p>
        </w:tc>
        <w:tc>
          <w:tcPr>
            <w:tcW w:w="2220" w:type="dxa"/>
            <w:vAlign w:val="bottom"/>
            <w:tcBorders>
              <w:top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rPr>
              <w:t>123013104</w:t>
            </w:r>
          </w:p>
        </w:tc>
      </w:tr>
      <w:tr>
        <w:trPr>
          <w:trHeight w:val="41"/>
        </w:trPr>
        <w:tc>
          <w:tcPr>
            <w:tcW w:w="1160" w:type="dxa"/>
            <w:vAlign w:val="bottom"/>
            <w:tcBorders>
              <w:left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r>
    </w:tbl>
    <w:p>
      <w:pPr>
        <w:spacing w:after="0" w:line="238" w:lineRule="exact"/>
        <w:rPr>
          <w:sz w:val="20"/>
          <w:szCs w:val="20"/>
          <w:color w:val="auto"/>
        </w:rPr>
      </w:pPr>
    </w:p>
    <w:p>
      <w:pPr>
        <w:ind w:left="660" w:hanging="567"/>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186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Saba Capital Management, L.P.</w:t>
      </w:r>
    </w:p>
    <w:p>
      <w:pPr>
        <w:spacing w:after="0" w:line="23" w:lineRule="exact"/>
        <w:rPr>
          <w:sz w:val="20"/>
          <w:szCs w:val="20"/>
          <w:color w:val="auto"/>
        </w:rPr>
      </w:pPr>
    </w:p>
    <w:p>
      <w:pPr>
        <w:ind w:left="660" w:hanging="567"/>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4" w:lineRule="exact"/>
        <w:rPr>
          <w:rFonts w:ascii="Arial" w:cs="Arial" w:eastAsia="Arial" w:hAnsi="Arial"/>
          <w:sz w:val="18"/>
          <w:szCs w:val="18"/>
          <w:b w:val="1"/>
          <w:bCs w:val="1"/>
          <w:color w:val="auto"/>
        </w:rPr>
      </w:pPr>
    </w:p>
    <w:p>
      <w:pPr>
        <w:ind w:left="1140" w:hanging="282"/>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160" w:hanging="30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sz w:val="20"/>
          <w:szCs w:val="20"/>
          <w:color w:val="auto"/>
        </w:rPr>
      </w:pPr>
    </w:p>
    <w:p>
      <w:pPr>
        <w:ind w:left="660" w:hanging="567"/>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0" w:lineRule="exact"/>
        <w:rPr>
          <w:sz w:val="20"/>
          <w:szCs w:val="20"/>
          <w:color w:val="auto"/>
        </w:rPr>
      </w:pPr>
    </w:p>
    <w:p>
      <w:pPr>
        <w:ind w:left="660" w:hanging="567"/>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b w:val="1"/>
          <w:bCs w:val="1"/>
          <w:color w:val="auto"/>
        </w:rPr>
        <w:t>Sole Voting Power</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5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1"/>
        </w:trPr>
        <w:tc>
          <w:tcPr>
            <w:tcW w:w="1540" w:type="dxa"/>
            <w:vAlign w:val="bottom"/>
            <w:vMerge w:val="continue"/>
          </w:tcPr>
          <w:p>
            <w:pPr>
              <w:spacing w:after="0"/>
              <w:rPr>
                <w:sz w:val="16"/>
                <w:szCs w:val="16"/>
                <w:color w:val="auto"/>
              </w:rPr>
            </w:pPr>
          </w:p>
        </w:tc>
        <w:tc>
          <w:tcPr>
            <w:tcW w:w="4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6</w:t>
            </w:r>
          </w:p>
        </w:tc>
        <w:tc>
          <w:tcPr>
            <w:tcW w:w="91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Shares</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Beneficially</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2,644,807</w:t>
            </w:r>
          </w:p>
        </w:tc>
        <w:tc>
          <w:tcPr>
            <w:tcW w:w="0" w:type="dxa"/>
            <w:vAlign w:val="bottom"/>
          </w:tcPr>
          <w:p>
            <w:pPr>
              <w:spacing w:after="0"/>
              <w:rPr>
                <w:sz w:val="1"/>
                <w:szCs w:val="1"/>
                <w:color w:val="auto"/>
              </w:rPr>
            </w:pPr>
          </w:p>
        </w:tc>
      </w:tr>
      <w:tr>
        <w:trPr>
          <w:trHeight w:val="178"/>
        </w:trPr>
        <w:tc>
          <w:tcPr>
            <w:tcW w:w="154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42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7</w:t>
            </w:r>
          </w:p>
        </w:tc>
        <w:tc>
          <w:tcPr>
            <w:tcW w:w="9120" w:type="dxa"/>
            <w:vAlign w:val="bottom"/>
          </w:tcPr>
          <w:p>
            <w:pPr>
              <w:ind w:left="22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Reporting Person</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With:</w:t>
            </w:r>
          </w:p>
        </w:tc>
        <w:tc>
          <w:tcPr>
            <w:tcW w:w="42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8</w:t>
            </w:r>
          </w:p>
        </w:tc>
        <w:tc>
          <w:tcPr>
            <w:tcW w:w="9120" w:type="dxa"/>
            <w:vAlign w:val="bottom"/>
          </w:tcPr>
          <w:p>
            <w:pPr>
              <w:ind w:left="2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2,644,807</w:t>
      </w:r>
    </w:p>
    <w:p>
      <w:pPr>
        <w:spacing w:after="0" w:line="23" w:lineRule="exact"/>
        <w:rPr>
          <w:sz w:val="20"/>
          <w:szCs w:val="20"/>
          <w:color w:val="auto"/>
        </w:rPr>
      </w:pPr>
    </w:p>
    <w:p>
      <w:pPr>
        <w:ind w:left="660" w:hanging="567"/>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2,644,807</w:t>
      </w:r>
    </w:p>
    <w:p>
      <w:pPr>
        <w:spacing w:after="0" w:line="23" w:lineRule="exact"/>
        <w:rPr>
          <w:sz w:val="20"/>
          <w:szCs w:val="20"/>
          <w:color w:val="auto"/>
        </w:rPr>
      </w:pPr>
    </w:p>
    <w:p>
      <w:pPr>
        <w:ind w:left="660" w:right="3900" w:hanging="567"/>
        <w:spacing w:after="0" w:line="383"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660" w:right="6780" w:hanging="567"/>
        <w:spacing w:after="0" w:line="383"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9.2%</w:t>
      </w:r>
    </w:p>
    <w:p>
      <w:pPr>
        <w:ind w:left="660" w:right="7200" w:hanging="567"/>
        <w:spacing w:after="0" w:line="50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PN; IA</w:t>
      </w:r>
    </w:p>
    <w:p>
      <w:pPr>
        <w:ind w:right="500"/>
        <w:spacing w:after="0" w:line="250" w:lineRule="auto"/>
        <w:rPr>
          <w:sz w:val="20"/>
          <w:szCs w:val="20"/>
          <w:color w:val="auto"/>
        </w:rPr>
      </w:pPr>
      <w:r>
        <w:rPr>
          <w:rFonts w:ascii="Arial" w:cs="Arial" w:eastAsia="Arial" w:hAnsi="Arial"/>
          <w:sz w:val="22"/>
          <w:szCs w:val="22"/>
          <w:color w:val="auto"/>
        </w:rPr>
        <w:t>The percentages used herein are calculated based upon 28,750,000 shares of common stock outstanding as of November 14, 2022, as disclosed in the company's 10-Q filed November 14, 2022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SCHEDULE 13G/A</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b w:val="1"/>
                <w:bCs w:val="1"/>
                <w:color w:val="auto"/>
              </w:rPr>
              <w:t>CUSIP No.</w:t>
            </w:r>
          </w:p>
        </w:tc>
        <w:tc>
          <w:tcPr>
            <w:tcW w:w="2220" w:type="dxa"/>
            <w:vAlign w:val="bottom"/>
            <w:tcBorders>
              <w:top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rPr>
              <w:t>123013104</w:t>
            </w:r>
          </w:p>
        </w:tc>
      </w:tr>
      <w:tr>
        <w:trPr>
          <w:trHeight w:val="41"/>
        </w:trPr>
        <w:tc>
          <w:tcPr>
            <w:tcW w:w="1160" w:type="dxa"/>
            <w:vAlign w:val="bottom"/>
            <w:tcBorders>
              <w:left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r>
    </w:tbl>
    <w:p>
      <w:pPr>
        <w:spacing w:after="0" w:line="238" w:lineRule="exact"/>
        <w:rPr>
          <w:sz w:val="20"/>
          <w:szCs w:val="20"/>
          <w:color w:val="auto"/>
        </w:rPr>
      </w:pPr>
    </w:p>
    <w:p>
      <w:pPr>
        <w:ind w:left="660" w:hanging="567"/>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186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Boaz R. Weinstein</w:t>
      </w:r>
    </w:p>
    <w:p>
      <w:pPr>
        <w:spacing w:after="0" w:line="23" w:lineRule="exact"/>
        <w:rPr>
          <w:sz w:val="20"/>
          <w:szCs w:val="20"/>
          <w:color w:val="auto"/>
        </w:rPr>
      </w:pPr>
    </w:p>
    <w:p>
      <w:pPr>
        <w:ind w:left="660" w:hanging="567"/>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4" w:lineRule="exact"/>
        <w:rPr>
          <w:rFonts w:ascii="Arial" w:cs="Arial" w:eastAsia="Arial" w:hAnsi="Arial"/>
          <w:sz w:val="18"/>
          <w:szCs w:val="18"/>
          <w:b w:val="1"/>
          <w:bCs w:val="1"/>
          <w:color w:val="auto"/>
        </w:rPr>
      </w:pPr>
    </w:p>
    <w:p>
      <w:pPr>
        <w:ind w:left="1140" w:hanging="282"/>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160" w:hanging="302"/>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sz w:val="20"/>
          <w:szCs w:val="20"/>
          <w:color w:val="auto"/>
        </w:rPr>
      </w:pPr>
    </w:p>
    <w:p>
      <w:pPr>
        <w:ind w:left="660" w:hanging="567"/>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0" w:lineRule="exact"/>
        <w:rPr>
          <w:sz w:val="20"/>
          <w:szCs w:val="20"/>
          <w:color w:val="auto"/>
        </w:rPr>
      </w:pPr>
    </w:p>
    <w:p>
      <w:pPr>
        <w:ind w:left="660" w:hanging="567"/>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23"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b w:val="1"/>
          <w:bCs w:val="1"/>
          <w:color w:val="auto"/>
        </w:rPr>
        <w:t>Sole Voting Power</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5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1"/>
        </w:trPr>
        <w:tc>
          <w:tcPr>
            <w:tcW w:w="1540" w:type="dxa"/>
            <w:vAlign w:val="bottom"/>
            <w:vMerge w:val="continue"/>
          </w:tcPr>
          <w:p>
            <w:pPr>
              <w:spacing w:after="0"/>
              <w:rPr>
                <w:sz w:val="16"/>
                <w:szCs w:val="16"/>
                <w:color w:val="auto"/>
              </w:rPr>
            </w:pPr>
          </w:p>
        </w:tc>
        <w:tc>
          <w:tcPr>
            <w:tcW w:w="4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6</w:t>
            </w:r>
          </w:p>
        </w:tc>
        <w:tc>
          <w:tcPr>
            <w:tcW w:w="91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Shares</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Beneficially</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2,644,807</w:t>
            </w:r>
          </w:p>
        </w:tc>
        <w:tc>
          <w:tcPr>
            <w:tcW w:w="0" w:type="dxa"/>
            <w:vAlign w:val="bottom"/>
          </w:tcPr>
          <w:p>
            <w:pPr>
              <w:spacing w:after="0"/>
              <w:rPr>
                <w:sz w:val="1"/>
                <w:szCs w:val="1"/>
                <w:color w:val="auto"/>
              </w:rPr>
            </w:pPr>
          </w:p>
        </w:tc>
      </w:tr>
      <w:tr>
        <w:trPr>
          <w:trHeight w:val="178"/>
        </w:trPr>
        <w:tc>
          <w:tcPr>
            <w:tcW w:w="154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42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7</w:t>
            </w:r>
          </w:p>
        </w:tc>
        <w:tc>
          <w:tcPr>
            <w:tcW w:w="9120" w:type="dxa"/>
            <w:vAlign w:val="bottom"/>
          </w:tcPr>
          <w:p>
            <w:pPr>
              <w:ind w:left="22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Reporting Person</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With:</w:t>
            </w:r>
          </w:p>
        </w:tc>
        <w:tc>
          <w:tcPr>
            <w:tcW w:w="42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8</w:t>
            </w:r>
          </w:p>
        </w:tc>
        <w:tc>
          <w:tcPr>
            <w:tcW w:w="9120" w:type="dxa"/>
            <w:vAlign w:val="bottom"/>
          </w:tcPr>
          <w:p>
            <w:pPr>
              <w:ind w:left="2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2,644,807</w:t>
      </w:r>
    </w:p>
    <w:p>
      <w:pPr>
        <w:spacing w:after="0" w:line="23" w:lineRule="exact"/>
        <w:rPr>
          <w:sz w:val="20"/>
          <w:szCs w:val="20"/>
          <w:color w:val="auto"/>
        </w:rPr>
      </w:pPr>
    </w:p>
    <w:p>
      <w:pPr>
        <w:ind w:left="660" w:hanging="567"/>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2,644,807</w:t>
      </w:r>
    </w:p>
    <w:p>
      <w:pPr>
        <w:spacing w:after="0" w:line="23" w:lineRule="exact"/>
        <w:rPr>
          <w:sz w:val="20"/>
          <w:szCs w:val="20"/>
          <w:color w:val="auto"/>
        </w:rPr>
      </w:pPr>
    </w:p>
    <w:p>
      <w:pPr>
        <w:ind w:left="660" w:right="3900" w:hanging="567"/>
        <w:spacing w:after="0" w:line="383"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660" w:right="6780" w:hanging="567"/>
        <w:spacing w:after="0" w:line="383"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9.2%</w:t>
      </w:r>
    </w:p>
    <w:p>
      <w:pPr>
        <w:ind w:left="660" w:hanging="567"/>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2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31"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The percentages used herein are calculated based upon 28,750,000 shares of common stock outstanding as of November 14, 2022, as disclosed in the company's 10-Q filed November 14, 2022.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11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b w:val="1"/>
                <w:bCs w:val="1"/>
                <w:color w:val="auto"/>
              </w:rPr>
              <w:t>CUSIP No.</w:t>
            </w:r>
          </w:p>
        </w:tc>
        <w:tc>
          <w:tcPr>
            <w:tcW w:w="2220" w:type="dxa"/>
            <w:vAlign w:val="bottom"/>
            <w:tcBorders>
              <w:top w:val="single" w:sz="8" w:color="auto"/>
              <w:right w:val="single" w:sz="8" w:color="auto"/>
            </w:tcBorders>
          </w:tcPr>
          <w:p>
            <w:pPr>
              <w:jc w:val="right"/>
              <w:ind w:right="1070"/>
              <w:spacing w:after="0"/>
              <w:rPr>
                <w:sz w:val="20"/>
                <w:szCs w:val="20"/>
                <w:color w:val="auto"/>
              </w:rPr>
            </w:pPr>
            <w:r>
              <w:rPr>
                <w:rFonts w:ascii="Arial" w:cs="Arial" w:eastAsia="Arial" w:hAnsi="Arial"/>
                <w:sz w:val="18"/>
                <w:szCs w:val="18"/>
                <w:color w:val="auto"/>
              </w:rPr>
              <w:t>123013104</w:t>
            </w:r>
          </w:p>
        </w:tc>
      </w:tr>
      <w:tr>
        <w:trPr>
          <w:trHeight w:val="41"/>
        </w:trPr>
        <w:tc>
          <w:tcPr>
            <w:tcW w:w="1160" w:type="dxa"/>
            <w:vAlign w:val="bottom"/>
            <w:tcBorders>
              <w:left w:val="single" w:sz="8" w:color="auto"/>
              <w:bottom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r>
    </w:tbl>
    <w:p>
      <w:pPr>
        <w:spacing w:after="0" w:line="238" w:lineRule="exact"/>
        <w:rPr>
          <w:sz w:val="20"/>
          <w:szCs w:val="20"/>
          <w:color w:val="auto"/>
        </w:rPr>
      </w:pPr>
    </w:p>
    <w:p>
      <w:pPr>
        <w:ind w:left="660" w:hanging="567"/>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186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Saba Capital Management GP, LLC</w:t>
      </w:r>
    </w:p>
    <w:p>
      <w:pPr>
        <w:spacing w:after="0" w:line="23" w:lineRule="exact"/>
        <w:rPr>
          <w:sz w:val="20"/>
          <w:szCs w:val="20"/>
          <w:color w:val="auto"/>
        </w:rPr>
      </w:pPr>
    </w:p>
    <w:p>
      <w:pPr>
        <w:ind w:left="660" w:hanging="567"/>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4" w:lineRule="exact"/>
        <w:rPr>
          <w:rFonts w:ascii="Arial" w:cs="Arial" w:eastAsia="Arial" w:hAnsi="Arial"/>
          <w:sz w:val="18"/>
          <w:szCs w:val="18"/>
          <w:b w:val="1"/>
          <w:bCs w:val="1"/>
          <w:color w:val="auto"/>
        </w:rPr>
      </w:pPr>
    </w:p>
    <w:p>
      <w:pPr>
        <w:ind w:left="1140" w:hanging="282"/>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160" w:hanging="302"/>
        <w:spacing w:after="0"/>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sz w:val="20"/>
          <w:szCs w:val="20"/>
          <w:color w:val="auto"/>
        </w:rPr>
      </w:pPr>
    </w:p>
    <w:p>
      <w:pPr>
        <w:ind w:left="660" w:hanging="567"/>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0" w:lineRule="exact"/>
        <w:rPr>
          <w:sz w:val="20"/>
          <w:szCs w:val="20"/>
          <w:color w:val="auto"/>
        </w:rPr>
      </w:pPr>
    </w:p>
    <w:p>
      <w:pPr>
        <w:ind w:left="660" w:hanging="567"/>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b w:val="1"/>
          <w:bCs w:val="1"/>
          <w:color w:val="auto"/>
        </w:rPr>
      </w:pPr>
    </w:p>
    <w:p>
      <w:pPr>
        <w:ind w:left="18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b w:val="1"/>
          <w:bCs w:val="1"/>
          <w:color w:val="auto"/>
        </w:rPr>
        <w:t>Sole Voting Power</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5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1"/>
        </w:trPr>
        <w:tc>
          <w:tcPr>
            <w:tcW w:w="1540" w:type="dxa"/>
            <w:vAlign w:val="bottom"/>
            <w:vMerge w:val="continue"/>
          </w:tcPr>
          <w:p>
            <w:pPr>
              <w:spacing w:after="0"/>
              <w:rPr>
                <w:sz w:val="16"/>
                <w:szCs w:val="16"/>
                <w:color w:val="auto"/>
              </w:rPr>
            </w:pPr>
          </w:p>
        </w:tc>
        <w:tc>
          <w:tcPr>
            <w:tcW w:w="4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6</w:t>
            </w:r>
          </w:p>
        </w:tc>
        <w:tc>
          <w:tcPr>
            <w:tcW w:w="91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Shares</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Beneficially</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2,644,807</w:t>
            </w:r>
          </w:p>
        </w:tc>
        <w:tc>
          <w:tcPr>
            <w:tcW w:w="0" w:type="dxa"/>
            <w:vAlign w:val="bottom"/>
          </w:tcPr>
          <w:p>
            <w:pPr>
              <w:spacing w:after="0"/>
              <w:rPr>
                <w:sz w:val="1"/>
                <w:szCs w:val="1"/>
                <w:color w:val="auto"/>
              </w:rPr>
            </w:pPr>
          </w:p>
        </w:tc>
      </w:tr>
      <w:tr>
        <w:trPr>
          <w:trHeight w:val="178"/>
        </w:trPr>
        <w:tc>
          <w:tcPr>
            <w:tcW w:w="154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42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7</w:t>
            </w:r>
          </w:p>
        </w:tc>
        <w:tc>
          <w:tcPr>
            <w:tcW w:w="9120" w:type="dxa"/>
            <w:vAlign w:val="bottom"/>
          </w:tcPr>
          <w:p>
            <w:pPr>
              <w:ind w:left="22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Reporting Person</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With:</w:t>
            </w:r>
          </w:p>
        </w:tc>
        <w:tc>
          <w:tcPr>
            <w:tcW w:w="42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8</w:t>
            </w:r>
          </w:p>
        </w:tc>
        <w:tc>
          <w:tcPr>
            <w:tcW w:w="9120" w:type="dxa"/>
            <w:vAlign w:val="bottom"/>
          </w:tcPr>
          <w:p>
            <w:pPr>
              <w:ind w:left="2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2,644,807</w:t>
      </w:r>
    </w:p>
    <w:p>
      <w:pPr>
        <w:spacing w:after="0" w:line="23" w:lineRule="exact"/>
        <w:rPr>
          <w:sz w:val="20"/>
          <w:szCs w:val="20"/>
          <w:color w:val="auto"/>
        </w:rPr>
      </w:pPr>
    </w:p>
    <w:p>
      <w:pPr>
        <w:ind w:left="660" w:hanging="567"/>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2,644,807</w:t>
      </w:r>
    </w:p>
    <w:p>
      <w:pPr>
        <w:spacing w:after="0" w:line="23" w:lineRule="exact"/>
        <w:rPr>
          <w:sz w:val="20"/>
          <w:szCs w:val="20"/>
          <w:color w:val="auto"/>
        </w:rPr>
      </w:pPr>
    </w:p>
    <w:p>
      <w:pPr>
        <w:ind w:left="660" w:right="3900" w:hanging="567"/>
        <w:spacing w:after="0" w:line="383"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660" w:right="6780" w:hanging="567"/>
        <w:spacing w:after="0" w:line="383"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9.2%</w:t>
      </w:r>
    </w:p>
    <w:p>
      <w:pPr>
        <w:ind w:left="660" w:hanging="567"/>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2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percentages used herein are calculated based upon 28,750,000 shares of common stock outstanding as of November 14, 2022, as disclosed in the company's 10-Q filed November 14, 2022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1.</w:t>
      </w:r>
    </w:p>
    <w:p>
      <w:pPr>
        <w:spacing w:after="0" w:line="207" w:lineRule="exact"/>
        <w:rPr>
          <w:sz w:val="20"/>
          <w:szCs w:val="20"/>
          <w:color w:val="auto"/>
        </w:rPr>
      </w:pPr>
    </w:p>
    <w:p>
      <w:pPr>
        <w:ind w:left="700" w:hanging="692"/>
        <w:spacing w:after="0"/>
        <w:tabs>
          <w:tab w:leader="none" w:pos="7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BurTech Acquisition Corp</w:t>
      </w:r>
    </w:p>
    <w:p>
      <w:pPr>
        <w:spacing w:after="0" w:line="206" w:lineRule="exact"/>
        <w:rPr>
          <w:rFonts w:ascii="Arial" w:cs="Arial" w:eastAsia="Arial" w:hAnsi="Arial"/>
          <w:sz w:val="22"/>
          <w:szCs w:val="22"/>
          <w:b w:val="1"/>
          <w:bCs w:val="1"/>
          <w:color w:val="auto"/>
        </w:rPr>
      </w:pPr>
    </w:p>
    <w:p>
      <w:pPr>
        <w:ind w:left="700" w:hanging="692"/>
        <w:spacing w:after="0"/>
        <w:tabs>
          <w:tab w:leader="none" w:pos="700"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color w:val="auto"/>
        </w:rPr>
        <w:t>Address of Issuer's Principal Executive Offices</w:t>
      </w:r>
      <w:r>
        <w:rPr>
          <w:rFonts w:ascii="Arial" w:cs="Arial" w:eastAsia="Arial" w:hAnsi="Arial"/>
          <w:sz w:val="21"/>
          <w:szCs w:val="21"/>
          <w:color w:val="auto"/>
        </w:rPr>
        <w:t>: 1300 Pennsylvania Ave Nw, Ste 700, Washington, DC 20004</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06" w:lineRule="exact"/>
        <w:rPr>
          <w:sz w:val="20"/>
          <w:szCs w:val="20"/>
          <w:color w:val="auto"/>
        </w:rPr>
      </w:pPr>
    </w:p>
    <w:p>
      <w:pPr>
        <w:jc w:val="both"/>
        <w:ind w:left="660" w:hanging="328"/>
        <w:spacing w:after="0" w:line="276" w:lineRule="auto"/>
        <w:tabs>
          <w:tab w:leader="none" w:pos="698" w:val="left"/>
        </w:tabs>
        <w:numPr>
          <w:ilvl w:val="1"/>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Saba Capital Management, L.P., a Delaware limited partnership ("Saba Capital"), Saba Capital</w:t>
      </w:r>
      <w:r>
        <w:rPr>
          <w:rFonts w:ascii="Arial" w:cs="Arial" w:eastAsia="Arial" w:hAnsi="Arial"/>
          <w:sz w:val="19"/>
          <w:szCs w:val="19"/>
          <w:b w:val="1"/>
          <w:bCs w:val="1"/>
          <w:color w:val="auto"/>
        </w:rPr>
        <w:t xml:space="preserve"> </w:t>
      </w:r>
      <w:r>
        <w:rPr>
          <w:rFonts w:ascii="Arial" w:cs="Arial" w:eastAsia="Arial" w:hAnsi="Arial"/>
          <w:sz w:val="19"/>
          <w:szCs w:val="19"/>
          <w:color w:val="auto"/>
        </w:rPr>
        <w:t>Management GP, LLC, a Delaware limited liability company ("Saba GP"), and Mr. Boaz R. Weinstein (together, the "Reporting Persons"). The Reporting Persons have entered into a Joint Filing Agreement, dated December 23 2021, pursuant to which the Reporting Persons have agreed to file this statement and any subsequent amendments hereto jointly in accordance with the provisions of Rule 13d-1(k)(1) under the Act. Any disclosures herein with respect to persons other than the Reporting Persons are made on information and belief after making inquiry to the appropriate party. The filing of this statement should not be construed as an admission that any of the forgoing persons or the Reporting Persons is, for the purposes of Section 13 of the Act, the beneficial owner of the Common Stock reported herein.</w:t>
      </w:r>
    </w:p>
    <w:p>
      <w:pPr>
        <w:spacing w:after="0" w:line="149" w:lineRule="exact"/>
        <w:rPr>
          <w:rFonts w:ascii="Arial" w:cs="Arial" w:eastAsia="Arial" w:hAnsi="Arial"/>
          <w:sz w:val="19"/>
          <w:szCs w:val="19"/>
          <w:color w:val="auto"/>
        </w:rPr>
      </w:pPr>
    </w:p>
    <w:p>
      <w:pPr>
        <w:ind w:left="660" w:hanging="652"/>
        <w:spacing w:after="0" w:line="256" w:lineRule="auto"/>
        <w:tabs>
          <w:tab w:leader="none" w:pos="708"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The address of the business office of each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Reporting Persons is 405 Lexington Avenue, 58th Floor, New York, New York 10174.</w:t>
      </w:r>
    </w:p>
    <w:p>
      <w:pPr>
        <w:spacing w:after="0" w:line="162" w:lineRule="exact"/>
        <w:rPr>
          <w:rFonts w:ascii="Arial" w:cs="Arial" w:eastAsia="Arial" w:hAnsi="Arial"/>
          <w:sz w:val="22"/>
          <w:szCs w:val="22"/>
          <w:b w:val="1"/>
          <w:bCs w:val="1"/>
          <w:color w:val="auto"/>
        </w:rPr>
      </w:pPr>
    </w:p>
    <w:p>
      <w:pPr>
        <w:jc w:val="both"/>
        <w:ind w:left="660" w:hanging="652"/>
        <w:spacing w:after="0" w:line="243" w:lineRule="auto"/>
        <w:tabs>
          <w:tab w:leader="none" w:pos="702"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w:t>
      </w:r>
      <w:r>
        <w:rPr>
          <w:rFonts w:ascii="Arial" w:cs="Arial" w:eastAsia="Arial" w:hAnsi="Arial"/>
          <w:sz w:val="22"/>
          <w:szCs w:val="22"/>
          <w:color w:val="auto"/>
        </w:rPr>
        <w:t>Saba Capital is organized as a limited partnership under the laws of the State of Delaware. Saba GP is</w:t>
      </w:r>
      <w:r>
        <w:rPr>
          <w:rFonts w:ascii="Arial" w:cs="Arial" w:eastAsia="Arial" w:hAnsi="Arial"/>
          <w:sz w:val="22"/>
          <w:szCs w:val="22"/>
          <w:b w:val="1"/>
          <w:bCs w:val="1"/>
          <w:color w:val="auto"/>
        </w:rPr>
        <w:t xml:space="preserve"> </w:t>
      </w:r>
      <w:r>
        <w:rPr>
          <w:rFonts w:ascii="Arial" w:cs="Arial" w:eastAsia="Arial" w:hAnsi="Arial"/>
          <w:sz w:val="22"/>
          <w:szCs w:val="22"/>
          <w:color w:val="auto"/>
        </w:rPr>
        <w:t>organized as a limited liability company under the laws of the State of Delaware. Mr. Weinstein is a citizen of the United States.</w:t>
      </w:r>
    </w:p>
    <w:p>
      <w:pPr>
        <w:spacing w:after="0" w:line="176" w:lineRule="exact"/>
        <w:rPr>
          <w:rFonts w:ascii="Arial" w:cs="Arial" w:eastAsia="Arial" w:hAnsi="Arial"/>
          <w:sz w:val="22"/>
          <w:szCs w:val="22"/>
          <w:b w:val="1"/>
          <w:bCs w:val="1"/>
          <w:color w:val="auto"/>
        </w:rPr>
      </w:pPr>
    </w:p>
    <w:p>
      <w:pPr>
        <w:ind w:left="700" w:hanging="368"/>
        <w:spacing w:after="0"/>
        <w:tabs>
          <w:tab w:leader="none" w:pos="700" w:val="left"/>
        </w:tabs>
        <w:numPr>
          <w:ilvl w:val="1"/>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Title and Class of Securities: </w:t>
      </w:r>
      <w:r>
        <w:rPr>
          <w:rFonts w:ascii="Arial" w:cs="Arial" w:eastAsia="Arial" w:hAnsi="Arial"/>
          <w:sz w:val="22"/>
          <w:szCs w:val="22"/>
          <w:color w:val="auto"/>
        </w:rPr>
        <w:t>Common stock, $0.0001 Par Value (the "Common Stock").</w:t>
      </w:r>
    </w:p>
    <w:p>
      <w:pPr>
        <w:spacing w:after="0" w:line="206" w:lineRule="exact"/>
        <w:rPr>
          <w:rFonts w:ascii="Arial" w:cs="Arial" w:eastAsia="Arial" w:hAnsi="Arial"/>
          <w:sz w:val="22"/>
          <w:szCs w:val="22"/>
          <w:b w:val="1"/>
          <w:bCs w:val="1"/>
          <w:color w:val="auto"/>
        </w:rPr>
      </w:pPr>
    </w:p>
    <w:p>
      <w:pPr>
        <w:ind w:left="700" w:hanging="368"/>
        <w:spacing w:after="0"/>
        <w:tabs>
          <w:tab w:leader="none" w:pos="700" w:val="left"/>
        </w:tabs>
        <w:numPr>
          <w:ilvl w:val="1"/>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CUSIP No.:   </w:t>
      </w:r>
      <w:r>
        <w:rPr>
          <w:rFonts w:ascii="Arial" w:cs="Arial" w:eastAsia="Arial" w:hAnsi="Arial"/>
          <w:sz w:val="22"/>
          <w:szCs w:val="22"/>
          <w:color w:val="auto"/>
        </w:rPr>
        <w:t>123013104</w:t>
      </w:r>
    </w:p>
    <w:p>
      <w:pPr>
        <w:spacing w:after="0" w:line="20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 240.13d-1(b) or 240.13d-2(b) or (c), check whether the person filing is a:</w:t>
      </w:r>
    </w:p>
    <w:p>
      <w:pPr>
        <w:spacing w:after="0" w:line="212" w:lineRule="exact"/>
        <w:rPr>
          <w:sz w:val="20"/>
          <w:szCs w:val="20"/>
          <w:color w:val="auto"/>
        </w:rPr>
      </w:pPr>
    </w:p>
    <w:p>
      <w:pPr>
        <w:ind w:left="1380" w:hanging="724"/>
        <w:spacing w:after="0"/>
        <w:tabs>
          <w:tab w:leader="none" w:pos="13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80" w:hanging="724"/>
        <w:spacing w:after="0"/>
        <w:tabs>
          <w:tab w:leader="none" w:pos="13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80" w:hanging="724"/>
        <w:spacing w:after="0"/>
        <w:tabs>
          <w:tab w:leader="none" w:pos="13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80" w:hanging="724"/>
        <w:spacing w:after="0"/>
        <w:tabs>
          <w:tab w:leader="none" w:pos="13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80" w:hanging="724"/>
        <w:spacing w:after="0"/>
        <w:tabs>
          <w:tab w:leader="none" w:pos="13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investment adviser in accordance with Rule 13d-1(b)(1)(ii)(E);</w:t>
      </w:r>
    </w:p>
    <w:p>
      <w:pPr>
        <w:spacing w:after="0" w:line="206" w:lineRule="exact"/>
        <w:rPr>
          <w:rFonts w:ascii="Arial" w:cs="Arial" w:eastAsia="Arial" w:hAnsi="Arial"/>
          <w:sz w:val="22"/>
          <w:szCs w:val="22"/>
          <w:color w:val="auto"/>
        </w:rPr>
      </w:pPr>
    </w:p>
    <w:p>
      <w:pPr>
        <w:ind w:left="1360" w:hanging="704"/>
        <w:spacing w:after="0"/>
        <w:tabs>
          <w:tab w:leader="none" w:pos="13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1380" w:hanging="724"/>
        <w:spacing w:after="0"/>
        <w:tabs>
          <w:tab w:leader="none" w:pos="13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2040" w:right="140" w:hanging="1384"/>
        <w:spacing w:after="0" w:line="455" w:lineRule="auto"/>
        <w:tabs>
          <w:tab w:leader="none" w:pos="-1719" w:val="left"/>
        </w:tabs>
        <w:numPr>
          <w:ilvl w:val="0"/>
          <w:numId w:val="23"/>
        </w:numPr>
        <w:rPr>
          <w:rFonts w:ascii="Arial" w:cs="Arial" w:eastAsia="Arial" w:hAnsi="Arial"/>
          <w:sz w:val="22"/>
          <w:szCs w:val="22"/>
          <w:color w:val="auto"/>
        </w:rPr>
      </w:pPr>
      <w:r>
        <w:rPr>
          <w:rFonts w:ascii="Arial" w:cs="Arial" w:eastAsia="Arial" w:hAnsi="Arial"/>
          <w:sz w:val="22"/>
          <w:szCs w:val="22"/>
          <w:color w:val="auto"/>
        </w:rPr>
        <w:t>[_]A savings associations as defined in Section 3(b) of the Federal Deposit Insurance Act (12 U.S.C. 1813); 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left="1960" w:hanging="1304"/>
        <w:spacing w:after="0" w:line="251" w:lineRule="auto"/>
        <w:tabs>
          <w:tab w:leader="none" w:pos="1372" w:val="left"/>
        </w:tabs>
        <w:numPr>
          <w:ilvl w:val="0"/>
          <w:numId w:val="24"/>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3" w:lineRule="exact"/>
        <w:rPr>
          <w:rFonts w:ascii="Arial" w:cs="Arial" w:eastAsia="Arial" w:hAnsi="Arial"/>
          <w:sz w:val="22"/>
          <w:szCs w:val="22"/>
          <w:color w:val="auto"/>
        </w:rPr>
      </w:pPr>
    </w:p>
    <w:p>
      <w:pPr>
        <w:ind w:left="1360" w:hanging="704"/>
        <w:spacing w:after="0"/>
        <w:tabs>
          <w:tab w:leader="none" w:pos="1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non-U.S. institution in accordance with Rule 240.13d-1(b)(1)(ii)(J);</w:t>
      </w:r>
    </w:p>
    <w:p>
      <w:pPr>
        <w:spacing w:after="0" w:line="206" w:lineRule="exact"/>
        <w:rPr>
          <w:rFonts w:ascii="Arial" w:cs="Arial" w:eastAsia="Arial" w:hAnsi="Arial"/>
          <w:sz w:val="22"/>
          <w:szCs w:val="22"/>
          <w:color w:val="auto"/>
        </w:rPr>
      </w:pPr>
    </w:p>
    <w:p>
      <w:pPr>
        <w:ind w:left="1960" w:right="20" w:hanging="1304"/>
        <w:spacing w:after="0" w:line="250" w:lineRule="auto"/>
        <w:tabs>
          <w:tab w:leader="none" w:pos="1384" w:val="left"/>
        </w:tabs>
        <w:numPr>
          <w:ilvl w:val="0"/>
          <w:numId w:val="24"/>
        </w:numPr>
        <w:rPr>
          <w:rFonts w:ascii="Arial" w:cs="Arial" w:eastAsia="Arial" w:hAnsi="Arial"/>
          <w:sz w:val="22"/>
          <w:szCs w:val="22"/>
          <w:color w:val="auto"/>
        </w:rPr>
      </w:pPr>
      <w:r>
        <w:rPr>
          <w:rFonts w:ascii="Arial" w:cs="Arial" w:eastAsia="Arial" w:hAnsi="Arial"/>
          <w:sz w:val="22"/>
          <w:szCs w:val="22"/>
          <w:color w:val="auto"/>
        </w:rPr>
        <w:t>[_]Group, in accordance with Rule 240.13d-1(b)(1)(ii)(K). If filing as a non-U.S. institution in accordance with Rule 240.13d-1(b)(1)(ii)(J), please specify the type of institution: ____</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06" w:lineRule="exact"/>
        <w:rPr>
          <w:sz w:val="20"/>
          <w:szCs w:val="20"/>
          <w:color w:val="auto"/>
        </w:rPr>
      </w:pPr>
    </w:p>
    <w:p>
      <w:pPr>
        <w:ind w:left="660" w:right="20" w:hanging="652"/>
        <w:spacing w:after="0" w:line="334" w:lineRule="auto"/>
        <w:tabs>
          <w:tab w:leader="none" w:pos="696"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Amount Beneficially Owned: </w:t>
      </w:r>
      <w:r>
        <w:rPr>
          <w:rFonts w:ascii="Arial" w:cs="Arial" w:eastAsia="Arial" w:hAnsi="Arial"/>
          <w:sz w:val="19"/>
          <w:szCs w:val="19"/>
          <w:color w:val="auto"/>
        </w:rPr>
        <w:t>The information required by Items 4(a) - (c) is set forth in Rows (5) - (11) of the cover</w:t>
      </w:r>
      <w:r>
        <w:rPr>
          <w:rFonts w:ascii="Arial" w:cs="Arial" w:eastAsia="Arial" w:hAnsi="Arial"/>
          <w:sz w:val="19"/>
          <w:szCs w:val="19"/>
          <w:b w:val="1"/>
          <w:bCs w:val="1"/>
          <w:color w:val="auto"/>
        </w:rPr>
        <w:t xml:space="preserve"> </w:t>
      </w:r>
      <w:r>
        <w:rPr>
          <w:rFonts w:ascii="Arial" w:cs="Arial" w:eastAsia="Arial" w:hAnsi="Arial"/>
          <w:sz w:val="19"/>
          <w:szCs w:val="19"/>
          <w:color w:val="auto"/>
        </w:rPr>
        <w:t>page for each Reporting Person hereto and is incorporated herein by reference for each such Reporting Person.</w:t>
      </w:r>
    </w:p>
    <w:p>
      <w:pPr>
        <w:spacing w:after="0" w:line="94"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 N/A</w:t>
      </w:r>
    </w:p>
    <w:p>
      <w:pPr>
        <w:spacing w:after="0" w:line="206" w:lineRule="exact"/>
        <w:rPr>
          <w:sz w:val="20"/>
          <w:szCs w:val="20"/>
          <w:color w:val="auto"/>
        </w:rPr>
      </w:pPr>
    </w:p>
    <w:p>
      <w:pPr>
        <w:ind w:left="800" w:hanging="791"/>
        <w:spacing w:after="0" w:line="280" w:lineRule="auto"/>
        <w:tabs>
          <w:tab w:leader="none" w:pos="7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color w:val="auto"/>
        </w:rPr>
        <w:t xml:space="preserve">Ownership of more than Five Percent on Behalf of Another Person. </w:t>
      </w:r>
      <w:r>
        <w:rPr>
          <w:rFonts w:ascii="Arial" w:cs="Arial" w:eastAsia="Arial" w:hAnsi="Arial"/>
          <w:sz w:val="21"/>
          <w:szCs w:val="21"/>
          <w:color w:val="auto"/>
        </w:rPr>
        <w:t>The funds and accounts advised by Saba</w:t>
      </w:r>
      <w:r>
        <w:rPr>
          <w:rFonts w:ascii="Arial" w:cs="Arial" w:eastAsia="Arial" w:hAnsi="Arial"/>
          <w:sz w:val="21"/>
          <w:szCs w:val="21"/>
          <w:b w:val="1"/>
          <w:bCs w:val="1"/>
          <w:color w:val="auto"/>
        </w:rPr>
        <w:t xml:space="preserve"> </w:t>
      </w:r>
      <w:r>
        <w:rPr>
          <w:rFonts w:ascii="Arial" w:cs="Arial" w:eastAsia="Arial" w:hAnsi="Arial"/>
          <w:sz w:val="21"/>
          <w:szCs w:val="21"/>
          <w:color w:val="auto"/>
        </w:rPr>
        <w:t>Capital have the right to receive the dividends from and proceeds of sales from the Common Stock.</w:t>
      </w:r>
    </w:p>
    <w:p>
      <w:pPr>
        <w:spacing w:after="0" w:line="139" w:lineRule="exact"/>
        <w:rPr>
          <w:sz w:val="20"/>
          <w:szCs w:val="20"/>
          <w:color w:val="auto"/>
        </w:rPr>
      </w:pPr>
    </w:p>
    <w:p>
      <w:pPr>
        <w:ind w:left="800" w:hanging="791"/>
        <w:spacing w:after="0" w:line="256" w:lineRule="auto"/>
        <w:tabs>
          <w:tab w:leader="none" w:pos="78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 N/A</w:t>
      </w:r>
    </w:p>
    <w:p>
      <w:pPr>
        <w:spacing w:after="0" w:line="162" w:lineRule="exact"/>
        <w:rPr>
          <w:sz w:val="20"/>
          <w:szCs w:val="20"/>
          <w:color w:val="auto"/>
        </w:rPr>
      </w:pPr>
    </w:p>
    <w:p>
      <w:pPr>
        <w:ind w:right="4640"/>
        <w:spacing w:after="0" w:line="437" w:lineRule="auto"/>
        <w:rPr>
          <w:sz w:val="20"/>
          <w:szCs w:val="20"/>
          <w:color w:val="auto"/>
        </w:rPr>
      </w:pPr>
      <w:r>
        <w:rPr>
          <w:rFonts w:ascii="Arial" w:cs="Arial" w:eastAsia="Arial" w:hAnsi="Arial"/>
          <w:sz w:val="22"/>
          <w:szCs w:val="22"/>
          <w:b w:val="1"/>
          <w:bCs w:val="1"/>
          <w:color w:val="auto"/>
        </w:rPr>
        <w:t>Item 8. Identification and classification of members of the group. N/A Item 9. Notice of Dissolution of Group. N/A Item 10. Certifications.</w:t>
      </w:r>
    </w:p>
    <w:p>
      <w:pPr>
        <w:spacing w:after="0" w:line="1" w:lineRule="exact"/>
        <w:rPr>
          <w:sz w:val="20"/>
          <w:szCs w:val="20"/>
          <w:color w:val="auto"/>
        </w:rPr>
      </w:pPr>
    </w:p>
    <w:p>
      <w:pPr>
        <w:jc w:val="both"/>
        <w:ind w:left="800"/>
        <w:spacing w:after="0" w:line="238" w:lineRule="auto"/>
        <w:rPr>
          <w:sz w:val="20"/>
          <w:szCs w:val="20"/>
          <w:color w:val="auto"/>
        </w:rPr>
      </w:pPr>
      <w:r>
        <w:rPr>
          <w:rFonts w:ascii="Arial" w:cs="Arial" w:eastAsia="Arial" w:hAnsi="Arial"/>
          <w:sz w:val="22"/>
          <w:szCs w:val="22"/>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r>
        <w:rPr>
          <w:rFonts w:ascii="Arial" w:cs="Arial" w:eastAsia="Arial" w:hAnsi="Arial"/>
          <w:sz w:val="22"/>
          <w:szCs w:val="22"/>
          <w:i w:val="1"/>
          <w:iCs w:val="1"/>
          <w:color w:val="auto"/>
        </w:rPr>
        <w:t xml:space="preserve"> </w:t>
      </w:r>
      <w:r>
        <w:rPr>
          <w:rFonts w:ascii="Arial" w:cs="Arial" w:eastAsia="Arial" w:hAnsi="Arial"/>
          <w:sz w:val="22"/>
          <w:szCs w:val="22"/>
          <w:color w:val="auto"/>
        </w:rPr>
        <w:t>Michael D'Angelo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Michael D'Angelo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Boaz R. Weinstein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Michael D'Angelo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Title: Attorney-in-fact***</w:t>
      </w:r>
    </w:p>
    <w:p>
      <w:pPr>
        <w:spacing w:after="0" w:line="206" w:lineRule="exact"/>
        <w:rPr>
          <w:sz w:val="20"/>
          <w:szCs w:val="20"/>
          <w:color w:val="auto"/>
        </w:rPr>
      </w:pPr>
    </w:p>
    <w:p>
      <w:pPr>
        <w:ind w:left="5140" w:right="5120" w:hanging="5132"/>
        <w:spacing w:after="0" w:line="1069" w:lineRule="auto"/>
        <w:tabs>
          <w:tab w:leader="none" w:pos="391" w:val="left"/>
        </w:tabs>
        <w:numPr>
          <w:ilvl w:val="0"/>
          <w:numId w:val="26"/>
        </w:numPr>
        <w:rPr>
          <w:rFonts w:ascii="Arial" w:cs="Arial" w:eastAsia="Arial" w:hAnsi="Arial"/>
          <w:sz w:val="19"/>
          <w:szCs w:val="19"/>
          <w:color w:val="auto"/>
        </w:rPr>
      </w:pPr>
      <w:r>
        <w:rPr>
          <w:rFonts w:ascii="Arial" w:cs="Arial" w:eastAsia="Arial" w:hAnsi="Arial"/>
          <w:sz w:val="19"/>
          <w:szCs w:val="19"/>
          <w:color w:val="auto"/>
        </w:rPr>
        <w:t>Pursuant to a Power of Attorney dated as of November 16, 2015 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2"/>
      <w:numFmt w:val="bullet"/>
      <w:start w:val="1"/>
    </w:lvl>
    <w:lvl w:ilvl="1">
      <w:lvlJc w:val="left"/>
      <w:lvlText w:val="(%2)"/>
      <w:numFmt w:val="lowerLetter"/>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4"/>
      <w:numFmt w:val="bullet"/>
      <w:start w:val="1"/>
    </w:lvl>
  </w:abstractNum>
  <w:abstractNum w:abstractNumId="5">
    <w:nsid w:val="6B68079A"/>
    <w:multiLevelType w:val="hybridMultilevel"/>
    <w:lvl w:ilvl="0">
      <w:lvlJc w:val="left"/>
      <w:lvlText w:val="9"/>
      <w:numFmt w:val="bullet"/>
      <w:start w:val="1"/>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bullet"/>
      <w:start w:val="1"/>
    </w:lvl>
  </w:abstractNum>
  <w:abstractNum w:abstractNumId="8">
    <w:nsid w:val="519B500D"/>
    <w:multiLevelType w:val="hybridMultilevel"/>
    <w:lvl w:ilvl="0">
      <w:lvlJc w:val="left"/>
      <w:lvlText w:val="2"/>
      <w:numFmt w:val="bullet"/>
      <w:start w:val="1"/>
    </w:lvl>
    <w:lvl w:ilvl="1">
      <w:lvlJc w:val="left"/>
      <w:lvlText w:val="(%2)"/>
      <w:numFmt w:val="lowerLetter"/>
      <w:start w:val="1"/>
    </w:lvl>
  </w:abstractNum>
  <w:abstractNum w:abstractNumId="9">
    <w:nsid w:val="431BD7B7"/>
    <w:multiLevelType w:val="hybridMultilevel"/>
    <w:lvl w:ilvl="0">
      <w:lvlJc w:val="left"/>
      <w:lvlText w:val="3"/>
      <w:numFmt w:val="bullet"/>
      <w:start w:val="1"/>
    </w:lvl>
  </w:abstractNum>
  <w:abstractNum w:abstractNumId="10">
    <w:nsid w:val="3F2DBA31"/>
    <w:multiLevelType w:val="hybridMultilevel"/>
    <w:lvl w:ilvl="0">
      <w:lvlJc w:val="left"/>
      <w:lvlText w:val="4"/>
      <w:numFmt w:val="bullet"/>
      <w:start w:val="1"/>
    </w:lvl>
  </w:abstractNum>
  <w:abstractNum w:abstractNumId="11">
    <w:nsid w:val="7C83E458"/>
    <w:multiLevelType w:val="hybridMultilevel"/>
    <w:lvl w:ilvl="0">
      <w:lvlJc w:val="left"/>
      <w:lvlText w:val="9"/>
      <w:numFmt w:val="bullet"/>
      <w:start w:val="1"/>
    </w:lvl>
  </w:abstractNum>
  <w:abstractNum w:abstractNumId="12">
    <w:nsid w:val="257130A3"/>
    <w:multiLevelType w:val="hybridMultilevel"/>
    <w:lvl w:ilvl="0">
      <w:lvlJc w:val="left"/>
      <w:lvlText w:val="%1"/>
      <w:numFmt w:val="decimal"/>
      <w:start w:val="10"/>
    </w:lvl>
  </w:abstractNum>
  <w:abstractNum w:abstractNumId="13">
    <w:nsid w:val="62BBD95A"/>
    <w:multiLevelType w:val="hybridMultilevel"/>
    <w:lvl w:ilvl="0">
      <w:lvlJc w:val="left"/>
      <w:lvlText w:val="1"/>
      <w:numFmt w:val="bullet"/>
      <w:start w:val="1"/>
    </w:lvl>
  </w:abstractNum>
  <w:abstractNum w:abstractNumId="14">
    <w:nsid w:val="436C6125"/>
    <w:multiLevelType w:val="hybridMultilevel"/>
    <w:lvl w:ilvl="0">
      <w:lvlJc w:val="left"/>
      <w:lvlText w:val="2"/>
      <w:numFmt w:val="bullet"/>
      <w:start w:val="1"/>
    </w:lvl>
    <w:lvl w:ilvl="1">
      <w:lvlJc w:val="left"/>
      <w:lvlText w:val="(%2)"/>
      <w:numFmt w:val="lowerLetter"/>
      <w:start w:val="1"/>
    </w:lvl>
  </w:abstractNum>
  <w:abstractNum w:abstractNumId="15">
    <w:nsid w:val="628C895D"/>
    <w:multiLevelType w:val="hybridMultilevel"/>
    <w:lvl w:ilvl="0">
      <w:lvlJc w:val="left"/>
      <w:lvlText w:val="3"/>
      <w:numFmt w:val="bullet"/>
      <w:start w:val="1"/>
    </w:lvl>
  </w:abstractNum>
  <w:abstractNum w:abstractNumId="16">
    <w:nsid w:val="333AB105"/>
    <w:multiLevelType w:val="hybridMultilevel"/>
    <w:lvl w:ilvl="0">
      <w:lvlJc w:val="left"/>
      <w:lvlText w:val="4"/>
      <w:numFmt w:val="bullet"/>
      <w:start w:val="1"/>
    </w:lvl>
  </w:abstractNum>
  <w:abstractNum w:abstractNumId="17">
    <w:nsid w:val="721DA317"/>
    <w:multiLevelType w:val="hybridMultilevel"/>
    <w:lvl w:ilvl="0">
      <w:lvlJc w:val="left"/>
      <w:lvlText w:val="9"/>
      <w:numFmt w:val="bullet"/>
      <w:start w:val="1"/>
    </w:lvl>
  </w:abstractNum>
  <w:abstractNum w:abstractNumId="18">
    <w:nsid w:val="2443A858"/>
    <w:multiLevelType w:val="hybridMultilevel"/>
    <w:lvl w:ilvl="0">
      <w:lvlJc w:val="left"/>
      <w:lvlText w:val="%1"/>
      <w:numFmt w:val="decimal"/>
      <w:start w:val="10"/>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lvl w:ilvl="1">
      <w:lvlJc w:val="left"/>
      <w:lvlText w:val="(%2)"/>
      <w:numFmt w:val="lowerLetter"/>
      <w:start w:val="1"/>
    </w:lvl>
  </w:abstractNum>
  <w:abstractNum w:abstractNumId="21">
    <w:nsid w:val="75A2A8D4"/>
    <w:multiLevelType w:val="hybridMultilevel"/>
    <w:lvl w:ilvl="0">
      <w:lvlJc w:val="left"/>
      <w:lvlText w:val="(%1)"/>
      <w:numFmt w:val="lowerLetter"/>
      <w:start w:val="2"/>
    </w:lvl>
    <w:lvl w:ilvl="1">
      <w:lvlJc w:val="left"/>
      <w:lvlText w:val="(%2)"/>
      <w:numFmt w:val="lowerLetter"/>
      <w:start w:val="4"/>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9"/>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2023-02-14T05:53:27Z</dcterms:created>
  <dcterms:modified xsi:type="dcterms:W3CDTF">2023-02-14T05:53:27Z</dcterms:modified>
</cp:coreProperties>
</file>