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8-K</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December 23, 2024</w:t>
      </w:r>
    </w:p>
    <w:p>
      <w:pPr>
        <w:spacing w:after="0" w:line="20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BURTECH ACQUISITION CORP.</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1" w:lineRule="exact"/>
        <w:rPr>
          <w:sz w:val="24"/>
          <w:szCs w:val="24"/>
          <w:color w:val="auto"/>
        </w:rPr>
      </w:pPr>
    </w:p>
    <w:tbl>
      <w:tblPr>
        <w:tblLayout w:type="fixed"/>
        <w:tblInd w:w="0" w:type="dxa"/>
        <w:tblCellMar>
          <w:top w:w="0" w:type="dxa"/>
          <w:left w:w="0" w:type="dxa"/>
          <w:bottom w:w="0" w:type="dxa"/>
          <w:right w:w="0" w:type="dxa"/>
        </w:tblCellMar>
      </w:tblPr>
      <w:tr>
        <w:trPr>
          <w:trHeight w:val="245"/>
        </w:trPr>
        <w:tc>
          <w:tcPr>
            <w:tcW w:w="3140" w:type="dxa"/>
            <w:vAlign w:val="bottom"/>
          </w:tcPr>
          <w:p>
            <w:pPr>
              <w:jc w:val="center"/>
              <w:ind w:left="61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4400" w:type="dxa"/>
            <w:vAlign w:val="bottom"/>
            <w:gridSpan w:val="3"/>
          </w:tcPr>
          <w:p>
            <w:pPr>
              <w:jc w:val="center"/>
              <w:ind w:left="730"/>
              <w:spacing w:after="0"/>
              <w:rPr>
                <w:sz w:val="20"/>
                <w:szCs w:val="20"/>
                <w:color w:val="auto"/>
              </w:rPr>
            </w:pPr>
            <w:r>
              <w:rPr>
                <w:rFonts w:ascii="Times New Roman" w:cs="Times New Roman" w:eastAsia="Times New Roman" w:hAnsi="Times New Roman"/>
                <w:sz w:val="18"/>
                <w:szCs w:val="18"/>
                <w:b w:val="1"/>
                <w:bCs w:val="1"/>
                <w:color w:val="auto"/>
                <w:w w:val="99"/>
              </w:rPr>
              <w:t>001-41139</w:t>
            </w: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940" w:type="dxa"/>
            <w:vAlign w:val="bottom"/>
          </w:tcPr>
          <w:p>
            <w:pPr>
              <w:jc w:val="center"/>
              <w:ind w:right="570"/>
              <w:spacing w:after="0"/>
              <w:rPr>
                <w:sz w:val="20"/>
                <w:szCs w:val="20"/>
                <w:color w:val="auto"/>
              </w:rPr>
            </w:pPr>
            <w:r>
              <w:rPr>
                <w:rFonts w:ascii="Times New Roman" w:cs="Times New Roman" w:eastAsia="Times New Roman" w:hAnsi="Times New Roman"/>
                <w:sz w:val="18"/>
                <w:szCs w:val="18"/>
                <w:b w:val="1"/>
                <w:bCs w:val="1"/>
                <w:color w:val="auto"/>
              </w:rPr>
              <w:t>86-2708752</w:t>
            </w:r>
          </w:p>
        </w:tc>
      </w:tr>
      <w:tr>
        <w:trPr>
          <w:trHeight w:val="198"/>
        </w:trPr>
        <w:tc>
          <w:tcPr>
            <w:tcW w:w="3140" w:type="dxa"/>
            <w:vAlign w:val="bottom"/>
            <w:tcBorders>
              <w:top w:val="single" w:sz="8" w:color="auto"/>
            </w:tcBorders>
          </w:tcPr>
          <w:p>
            <w:pPr>
              <w:jc w:val="center"/>
              <w:ind w:left="610"/>
              <w:spacing w:after="0" w:line="198" w:lineRule="exact"/>
              <w:rPr>
                <w:sz w:val="20"/>
                <w:szCs w:val="20"/>
                <w:color w:val="auto"/>
              </w:rPr>
            </w:pPr>
            <w:r>
              <w:rPr>
                <w:rFonts w:ascii="Times New Roman" w:cs="Times New Roman" w:eastAsia="Times New Roman" w:hAnsi="Times New Roman"/>
                <w:sz w:val="18"/>
                <w:szCs w:val="18"/>
                <w:color w:val="auto"/>
                <w:w w:val="99"/>
              </w:rPr>
              <w:t>(State or other jurisdiction</w:t>
            </w:r>
          </w:p>
        </w:tc>
        <w:tc>
          <w:tcPr>
            <w:tcW w:w="6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60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rPr>
              <w:t>(Commission</w:t>
            </w:r>
          </w:p>
        </w:tc>
        <w:tc>
          <w:tcPr>
            <w:tcW w:w="100" w:type="dxa"/>
            <w:vAlign w:val="bottom"/>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2940" w:type="dxa"/>
            <w:vAlign w:val="bottom"/>
            <w:tcBorders>
              <w:top w:val="single" w:sz="8" w:color="auto"/>
            </w:tcBorders>
          </w:tcPr>
          <w:p>
            <w:pPr>
              <w:jc w:val="center"/>
              <w:ind w:right="550"/>
              <w:spacing w:after="0" w:line="198" w:lineRule="exact"/>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3140" w:type="dxa"/>
            <w:vAlign w:val="bottom"/>
          </w:tcPr>
          <w:p>
            <w:pPr>
              <w:jc w:val="center"/>
              <w:ind w:left="610"/>
              <w:spacing w:after="0"/>
              <w:rPr>
                <w:sz w:val="20"/>
                <w:szCs w:val="20"/>
                <w:color w:val="auto"/>
              </w:rPr>
            </w:pPr>
            <w:r>
              <w:rPr>
                <w:rFonts w:ascii="Times New Roman" w:cs="Times New Roman" w:eastAsia="Times New Roman" w:hAnsi="Times New Roman"/>
                <w:sz w:val="18"/>
                <w:szCs w:val="18"/>
                <w:color w:val="auto"/>
              </w:rPr>
              <w:t>of incorporation)</w:t>
            </w: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360" w:type="dxa"/>
            <w:vAlign w:val="bottom"/>
            <w:gridSpan w:val="3"/>
          </w:tcPr>
          <w:p>
            <w:pPr>
              <w:jc w:val="center"/>
              <w:ind w:right="740"/>
              <w:spacing w:after="0"/>
              <w:rPr>
                <w:sz w:val="20"/>
                <w:szCs w:val="20"/>
                <w:color w:val="auto"/>
              </w:rPr>
            </w:pPr>
            <w:r>
              <w:rPr>
                <w:rFonts w:ascii="Times New Roman" w:cs="Times New Roman" w:eastAsia="Times New Roman" w:hAnsi="Times New Roman"/>
                <w:sz w:val="18"/>
                <w:szCs w:val="18"/>
                <w:color w:val="auto"/>
              </w:rPr>
              <w:t>File Number)</w:t>
            </w:r>
          </w:p>
        </w:tc>
        <w:tc>
          <w:tcPr>
            <w:tcW w:w="2940" w:type="dxa"/>
            <w:vAlign w:val="bottom"/>
          </w:tcPr>
          <w:p>
            <w:pPr>
              <w:jc w:val="center"/>
              <w:ind w:right="550"/>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410"/>
        </w:trPr>
        <w:tc>
          <w:tcPr>
            <w:tcW w:w="3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360" w:type="dxa"/>
            <w:vAlign w:val="bottom"/>
            <w:gridSpan w:val="3"/>
          </w:tcPr>
          <w:p>
            <w:pPr>
              <w:jc w:val="center"/>
              <w:ind w:right="980"/>
              <w:spacing w:after="0"/>
              <w:rPr>
                <w:sz w:val="20"/>
                <w:szCs w:val="20"/>
                <w:color w:val="auto"/>
              </w:rPr>
            </w:pPr>
            <w:r>
              <w:rPr>
                <w:rFonts w:ascii="Times New Roman" w:cs="Times New Roman" w:eastAsia="Times New Roman" w:hAnsi="Times New Roman"/>
                <w:sz w:val="18"/>
                <w:szCs w:val="18"/>
                <w:b w:val="1"/>
                <w:bCs w:val="1"/>
                <w:color w:val="auto"/>
                <w:w w:val="99"/>
              </w:rPr>
              <w:t>1300 Pennsylvania Ave NW, Suite 700</w:t>
            </w:r>
          </w:p>
        </w:tc>
        <w:tc>
          <w:tcPr>
            <w:tcW w:w="2940" w:type="dxa"/>
            <w:vAlign w:val="bottom"/>
          </w:tcPr>
          <w:p>
            <w:pPr>
              <w:spacing w:after="0"/>
              <w:rPr>
                <w:sz w:val="24"/>
                <w:szCs w:val="24"/>
                <w:color w:val="auto"/>
              </w:rPr>
            </w:pPr>
          </w:p>
        </w:tc>
      </w:tr>
      <w:tr>
        <w:trPr>
          <w:trHeight w:val="220"/>
        </w:trPr>
        <w:tc>
          <w:tcPr>
            <w:tcW w:w="31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360" w:type="dxa"/>
            <w:vAlign w:val="bottom"/>
            <w:gridSpan w:val="3"/>
          </w:tcPr>
          <w:p>
            <w:pPr>
              <w:jc w:val="center"/>
              <w:ind w:right="1000"/>
              <w:spacing w:after="0"/>
              <w:rPr>
                <w:sz w:val="20"/>
                <w:szCs w:val="20"/>
                <w:color w:val="auto"/>
              </w:rPr>
            </w:pPr>
            <w:r>
              <w:rPr>
                <w:rFonts w:ascii="Times New Roman" w:cs="Times New Roman" w:eastAsia="Times New Roman" w:hAnsi="Times New Roman"/>
                <w:sz w:val="18"/>
                <w:szCs w:val="18"/>
                <w:b w:val="1"/>
                <w:bCs w:val="1"/>
                <w:color w:val="auto"/>
                <w:w w:val="99"/>
              </w:rPr>
              <w:t>Washington, DC 20004</w:t>
            </w:r>
          </w:p>
        </w:tc>
        <w:tc>
          <w:tcPr>
            <w:tcW w:w="2940" w:type="dxa"/>
            <w:vAlign w:val="bottom"/>
          </w:tcPr>
          <w:p>
            <w:pPr>
              <w:spacing w:after="0"/>
              <w:rPr>
                <w:sz w:val="19"/>
                <w:szCs w:val="19"/>
                <w:color w:val="auto"/>
              </w:rPr>
            </w:pPr>
          </w:p>
        </w:tc>
      </w:tr>
      <w:tr>
        <w:trPr>
          <w:trHeight w:val="234"/>
        </w:trPr>
        <w:tc>
          <w:tcPr>
            <w:tcW w:w="3140" w:type="dxa"/>
            <w:vAlign w:val="bottom"/>
          </w:tcPr>
          <w:p>
            <w:pPr>
              <w:spacing w:after="0"/>
              <w:rPr>
                <w:sz w:val="20"/>
                <w:szCs w:val="20"/>
                <w:color w:val="auto"/>
              </w:rPr>
            </w:pPr>
          </w:p>
        </w:tc>
        <w:tc>
          <w:tcPr>
            <w:tcW w:w="5160" w:type="dxa"/>
            <w:vAlign w:val="bottom"/>
            <w:gridSpan w:val="5"/>
          </w:tcPr>
          <w:p>
            <w:pPr>
              <w:jc w:val="center"/>
              <w:ind w:right="200"/>
              <w:spacing w:after="0"/>
              <w:rPr>
                <w:sz w:val="20"/>
                <w:szCs w:val="20"/>
                <w:color w:val="auto"/>
              </w:rPr>
            </w:pPr>
            <w:r>
              <w:rPr>
                <w:rFonts w:ascii="Times New Roman" w:cs="Times New Roman" w:eastAsia="Times New Roman" w:hAnsi="Times New Roman"/>
                <w:sz w:val="18"/>
                <w:szCs w:val="18"/>
                <w:color w:val="auto"/>
              </w:rPr>
              <w:t>(Address of principal executive offices, including zip code)</w:t>
            </w:r>
          </w:p>
        </w:tc>
        <w:tc>
          <w:tcPr>
            <w:tcW w:w="2940" w:type="dxa"/>
            <w:vAlign w:val="bottom"/>
          </w:tcPr>
          <w:p>
            <w:pPr>
              <w:spacing w:after="0"/>
              <w:rPr>
                <w:sz w:val="20"/>
                <w:szCs w:val="20"/>
                <w:color w:val="auto"/>
              </w:rPr>
            </w:pPr>
          </w:p>
        </w:tc>
      </w:tr>
      <w:tr>
        <w:trPr>
          <w:trHeight w:val="414"/>
        </w:trPr>
        <w:tc>
          <w:tcPr>
            <w:tcW w:w="3140" w:type="dxa"/>
            <w:vAlign w:val="bottom"/>
          </w:tcPr>
          <w:p>
            <w:pPr>
              <w:spacing w:after="0"/>
              <w:rPr>
                <w:sz w:val="24"/>
                <w:szCs w:val="24"/>
                <w:color w:val="auto"/>
              </w:rPr>
            </w:pPr>
          </w:p>
        </w:tc>
        <w:tc>
          <w:tcPr>
            <w:tcW w:w="4400" w:type="dxa"/>
            <w:vAlign w:val="bottom"/>
            <w:gridSpan w:val="3"/>
          </w:tcPr>
          <w:p>
            <w:pPr>
              <w:jc w:val="center"/>
              <w:ind w:left="470"/>
              <w:spacing w:after="0"/>
              <w:rPr>
                <w:sz w:val="20"/>
                <w:szCs w:val="20"/>
                <w:color w:val="auto"/>
              </w:rPr>
            </w:pPr>
            <w:r>
              <w:rPr>
                <w:rFonts w:ascii="Times New Roman" w:cs="Times New Roman" w:eastAsia="Times New Roman" w:hAnsi="Times New Roman"/>
                <w:sz w:val="18"/>
                <w:szCs w:val="18"/>
                <w:color w:val="auto"/>
                <w:w w:val="99"/>
              </w:rPr>
              <w:t>(202) 600-5757</w:t>
            </w: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940" w:type="dxa"/>
            <w:vAlign w:val="bottom"/>
          </w:tcPr>
          <w:p>
            <w:pPr>
              <w:spacing w:after="0"/>
              <w:rPr>
                <w:sz w:val="24"/>
                <w:szCs w:val="24"/>
                <w:color w:val="auto"/>
              </w:rPr>
            </w:pPr>
          </w:p>
        </w:tc>
      </w:tr>
      <w:tr>
        <w:trPr>
          <w:trHeight w:val="234"/>
        </w:trPr>
        <w:tc>
          <w:tcPr>
            <w:tcW w:w="3140" w:type="dxa"/>
            <w:vAlign w:val="bottom"/>
          </w:tcPr>
          <w:p>
            <w:pPr>
              <w:spacing w:after="0"/>
              <w:rPr>
                <w:sz w:val="20"/>
                <w:szCs w:val="20"/>
                <w:color w:val="auto"/>
              </w:rPr>
            </w:pPr>
          </w:p>
        </w:tc>
        <w:tc>
          <w:tcPr>
            <w:tcW w:w="5160" w:type="dxa"/>
            <w:vAlign w:val="bottom"/>
            <w:gridSpan w:val="5"/>
          </w:tcPr>
          <w:p>
            <w:pPr>
              <w:jc w:val="center"/>
              <w:ind w:right="180"/>
              <w:spacing w:after="0"/>
              <w:rPr>
                <w:sz w:val="20"/>
                <w:szCs w:val="20"/>
                <w:color w:val="auto"/>
              </w:rPr>
            </w:pPr>
            <w:r>
              <w:rPr>
                <w:rFonts w:ascii="Times New Roman" w:cs="Times New Roman" w:eastAsia="Times New Roman" w:hAnsi="Times New Roman"/>
                <w:sz w:val="18"/>
                <w:szCs w:val="18"/>
                <w:color w:val="auto"/>
                <w:w w:val="99"/>
              </w:rPr>
              <w:t>Registrant’s telephone number, including area code:</w:t>
            </w:r>
          </w:p>
        </w:tc>
        <w:tc>
          <w:tcPr>
            <w:tcW w:w="2940" w:type="dxa"/>
            <w:vAlign w:val="bottom"/>
          </w:tcPr>
          <w:p>
            <w:pPr>
              <w:spacing w:after="0"/>
              <w:rPr>
                <w:sz w:val="20"/>
                <w:szCs w:val="20"/>
                <w:color w:val="auto"/>
              </w:rPr>
            </w:pPr>
          </w:p>
        </w:tc>
      </w:tr>
      <w:tr>
        <w:trPr>
          <w:trHeight w:val="414"/>
        </w:trPr>
        <w:tc>
          <w:tcPr>
            <w:tcW w:w="3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360" w:type="dxa"/>
            <w:vAlign w:val="bottom"/>
            <w:gridSpan w:val="3"/>
          </w:tcPr>
          <w:p>
            <w:pPr>
              <w:jc w:val="center"/>
              <w:ind w:right="980"/>
              <w:spacing w:after="0"/>
              <w:rPr>
                <w:sz w:val="20"/>
                <w:szCs w:val="20"/>
                <w:color w:val="auto"/>
              </w:rPr>
            </w:pPr>
            <w:r>
              <w:rPr>
                <w:rFonts w:ascii="Times New Roman" w:cs="Times New Roman" w:eastAsia="Times New Roman" w:hAnsi="Times New Roman"/>
                <w:sz w:val="18"/>
                <w:szCs w:val="18"/>
                <w:b w:val="1"/>
                <w:bCs w:val="1"/>
                <w:color w:val="auto"/>
                <w:w w:val="98"/>
              </w:rPr>
              <w:t>Not Applicable</w:t>
            </w:r>
          </w:p>
        </w:tc>
        <w:tc>
          <w:tcPr>
            <w:tcW w:w="2940" w:type="dxa"/>
            <w:vAlign w:val="bottom"/>
          </w:tcPr>
          <w:p>
            <w:pPr>
              <w:spacing w:after="0"/>
              <w:rPr>
                <w:sz w:val="24"/>
                <w:szCs w:val="24"/>
                <w:color w:val="auto"/>
              </w:rPr>
            </w:pPr>
          </w:p>
        </w:tc>
      </w:tr>
      <w:tr>
        <w:trPr>
          <w:trHeight w:val="234"/>
        </w:trPr>
        <w:tc>
          <w:tcPr>
            <w:tcW w:w="3140" w:type="dxa"/>
            <w:vAlign w:val="bottom"/>
          </w:tcPr>
          <w:p>
            <w:pPr>
              <w:spacing w:after="0"/>
              <w:rPr>
                <w:sz w:val="20"/>
                <w:szCs w:val="20"/>
                <w:color w:val="auto"/>
              </w:rPr>
            </w:pPr>
          </w:p>
        </w:tc>
        <w:tc>
          <w:tcPr>
            <w:tcW w:w="5160" w:type="dxa"/>
            <w:vAlign w:val="bottom"/>
            <w:gridSpan w:val="5"/>
          </w:tcPr>
          <w:p>
            <w:pPr>
              <w:jc w:val="center"/>
              <w:ind w:right="180"/>
              <w:spacing w:after="0"/>
              <w:rPr>
                <w:sz w:val="20"/>
                <w:szCs w:val="20"/>
                <w:color w:val="auto"/>
              </w:rPr>
            </w:pPr>
            <w:r>
              <w:rPr>
                <w:rFonts w:ascii="Times New Roman" w:cs="Times New Roman" w:eastAsia="Times New Roman" w:hAnsi="Times New Roman"/>
                <w:sz w:val="18"/>
                <w:szCs w:val="18"/>
                <w:color w:val="auto"/>
                <w:w w:val="99"/>
              </w:rPr>
              <w:t>(Former name or former address, if changed since last report)</w:t>
            </w:r>
          </w:p>
        </w:tc>
        <w:tc>
          <w:tcPr>
            <w:tcW w:w="2940" w:type="dxa"/>
            <w:vAlign w:val="bottom"/>
          </w:tcPr>
          <w:p>
            <w:pPr>
              <w:spacing w:after="0"/>
              <w:rPr>
                <w:sz w:val="20"/>
                <w:szCs w:val="20"/>
                <w:color w:val="auto"/>
              </w:rPr>
            </w:pPr>
          </w:p>
        </w:tc>
      </w:tr>
    </w:tbl>
    <w:p>
      <w:pPr>
        <w:spacing w:after="0" w:line="198" w:lineRule="exact"/>
        <w:rPr>
          <w:sz w:val="24"/>
          <w:szCs w:val="24"/>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3560" w:right="2860" w:hanging="3552"/>
        <w:spacing w:after="0" w:line="498" w:lineRule="auto"/>
        <w:tabs>
          <w:tab w:leader="none" w:pos="355"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4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Name of each exchange on which</w:t>
            </w:r>
          </w:p>
        </w:tc>
      </w:tr>
      <w:tr>
        <w:trPr>
          <w:trHeight w:val="238"/>
        </w:trPr>
        <w:tc>
          <w:tcPr>
            <w:tcW w:w="4620" w:type="dxa"/>
            <w:vAlign w:val="bottom"/>
            <w:gridSpan w:val="2"/>
          </w:tcPr>
          <w:p>
            <w:pPr>
              <w:ind w:left="158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23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42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registered</w:t>
            </w:r>
          </w:p>
        </w:tc>
      </w:tr>
      <w:tr>
        <w:trPr>
          <w:trHeight w:val="191"/>
        </w:trPr>
        <w:tc>
          <w:tcPr>
            <w:tcW w:w="4500" w:type="dxa"/>
            <w:vAlign w:val="bottom"/>
            <w:tcBorders>
              <w:top w:val="single" w:sz="8" w:color="auto"/>
            </w:tcBorders>
            <w:shd w:val="clear" w:color="auto" w:fill="CCEEFF"/>
          </w:tcPr>
          <w:p>
            <w:pPr>
              <w:spacing w:after="0" w:line="191" w:lineRule="exact"/>
              <w:rPr>
                <w:sz w:val="20"/>
                <w:szCs w:val="20"/>
                <w:color w:val="auto"/>
              </w:rPr>
            </w:pPr>
            <w:r>
              <w:rPr>
                <w:rFonts w:ascii="Times New Roman" w:cs="Times New Roman" w:eastAsia="Times New Roman" w:hAnsi="Times New Roman"/>
                <w:sz w:val="18"/>
                <w:szCs w:val="18"/>
                <w:color w:val="auto"/>
                <w:w w:val="99"/>
              </w:rPr>
              <w:t>Units, each consisting of one share of Class A Common Stock</w:t>
            </w:r>
          </w:p>
        </w:tc>
        <w:tc>
          <w:tcPr>
            <w:tcW w:w="120" w:type="dxa"/>
            <w:vAlign w:val="bottom"/>
            <w:tcBorders>
              <w:top w:val="single" w:sz="8" w:color="CCEEFF"/>
            </w:tcBorders>
            <w:shd w:val="clear" w:color="auto" w:fill="CCEEFF"/>
          </w:tcPr>
          <w:p>
            <w:pPr>
              <w:spacing w:after="0"/>
              <w:rPr>
                <w:sz w:val="16"/>
                <w:szCs w:val="16"/>
                <w:color w:val="auto"/>
              </w:rPr>
            </w:pPr>
          </w:p>
        </w:tc>
        <w:tc>
          <w:tcPr>
            <w:tcW w:w="2240" w:type="dxa"/>
            <w:vAlign w:val="bottom"/>
            <w:tcBorders>
              <w:top w:val="single" w:sz="8" w:color="auto"/>
            </w:tcBorders>
            <w:shd w:val="clear" w:color="auto" w:fill="CCEEFF"/>
          </w:tcPr>
          <w:p>
            <w:pPr>
              <w:jc w:val="center"/>
              <w:spacing w:after="0" w:line="191" w:lineRule="exact"/>
              <w:rPr>
                <w:sz w:val="20"/>
                <w:szCs w:val="20"/>
                <w:color w:val="auto"/>
              </w:rPr>
            </w:pPr>
            <w:r>
              <w:rPr>
                <w:rFonts w:ascii="Times New Roman" w:cs="Times New Roman" w:eastAsia="Times New Roman" w:hAnsi="Times New Roman"/>
                <w:sz w:val="18"/>
                <w:szCs w:val="18"/>
                <w:color w:val="auto"/>
                <w:w w:val="98"/>
              </w:rPr>
              <w:t>BRKHU</w:t>
            </w:r>
          </w:p>
        </w:tc>
        <w:tc>
          <w:tcPr>
            <w:tcW w:w="120" w:type="dxa"/>
            <w:vAlign w:val="bottom"/>
            <w:tcBorders>
              <w:top w:val="single" w:sz="8" w:color="CCEEFF"/>
            </w:tcBorders>
            <w:shd w:val="clear" w:color="auto" w:fill="CCEEFF"/>
          </w:tcPr>
          <w:p>
            <w:pPr>
              <w:spacing w:after="0"/>
              <w:rPr>
                <w:sz w:val="16"/>
                <w:szCs w:val="16"/>
                <w:color w:val="auto"/>
              </w:rPr>
            </w:pPr>
          </w:p>
        </w:tc>
        <w:tc>
          <w:tcPr>
            <w:tcW w:w="4260" w:type="dxa"/>
            <w:vAlign w:val="bottom"/>
            <w:tcBorders>
              <w:top w:val="single" w:sz="8" w:color="auto"/>
            </w:tcBorders>
            <w:shd w:val="clear" w:color="auto" w:fill="CCEEFF"/>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The Nasdaq Stock Market, LLC</w:t>
            </w:r>
          </w:p>
        </w:tc>
      </w:tr>
      <w:tr>
        <w:trPr>
          <w:trHeight w:val="234"/>
        </w:trPr>
        <w:tc>
          <w:tcPr>
            <w:tcW w:w="4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and one Redeemable Warrant</w:t>
            </w:r>
          </w:p>
        </w:tc>
        <w:tc>
          <w:tcPr>
            <w:tcW w:w="22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260" w:type="dxa"/>
            <w:vAlign w:val="bottom"/>
            <w:shd w:val="clear" w:color="auto" w:fill="CCEEFF"/>
          </w:tcPr>
          <w:p>
            <w:pPr>
              <w:spacing w:after="0"/>
              <w:rPr>
                <w:sz w:val="20"/>
                <w:szCs w:val="20"/>
                <w:color w:val="auto"/>
              </w:rPr>
            </w:pPr>
          </w:p>
        </w:tc>
      </w:tr>
      <w:tr>
        <w:trPr>
          <w:trHeight w:val="216"/>
        </w:trPr>
        <w:tc>
          <w:tcPr>
            <w:tcW w:w="4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60" w:type="dxa"/>
            <w:vAlign w:val="bottom"/>
          </w:tcPr>
          <w:p>
            <w:pPr>
              <w:spacing w:after="0"/>
              <w:rPr>
                <w:sz w:val="18"/>
                <w:szCs w:val="18"/>
                <w:color w:val="auto"/>
              </w:rPr>
            </w:pPr>
          </w:p>
        </w:tc>
      </w:tr>
      <w:tr>
        <w:trPr>
          <w:trHeight w:val="216"/>
        </w:trPr>
        <w:tc>
          <w:tcPr>
            <w:tcW w:w="4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Class A Common Stock, par value $0.0001 per share</w:t>
            </w:r>
          </w:p>
        </w:tc>
        <w:tc>
          <w:tcPr>
            <w:tcW w:w="236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BRKH</w:t>
            </w:r>
          </w:p>
        </w:tc>
        <w:tc>
          <w:tcPr>
            <w:tcW w:w="4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r>
        <w:trPr>
          <w:trHeight w:val="216"/>
        </w:trPr>
        <w:tc>
          <w:tcPr>
            <w:tcW w:w="4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60" w:type="dxa"/>
            <w:vAlign w:val="bottom"/>
          </w:tcPr>
          <w:p>
            <w:pPr>
              <w:spacing w:after="0"/>
              <w:rPr>
                <w:sz w:val="18"/>
                <w:szCs w:val="18"/>
                <w:color w:val="auto"/>
              </w:rPr>
            </w:pPr>
          </w:p>
        </w:tc>
      </w:tr>
      <w:tr>
        <w:trPr>
          <w:trHeight w:val="198"/>
        </w:trPr>
        <w:tc>
          <w:tcPr>
            <w:tcW w:w="462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Warrants, each exercisable for one share of Class A Common</w:t>
            </w:r>
          </w:p>
        </w:tc>
        <w:tc>
          <w:tcPr>
            <w:tcW w:w="2360" w:type="dxa"/>
            <w:vAlign w:val="bottom"/>
            <w:gridSpan w:val="2"/>
            <w:shd w:val="clear" w:color="auto" w:fill="CCEEFF"/>
          </w:tcPr>
          <w:p>
            <w:pPr>
              <w:jc w:val="center"/>
              <w:ind w:right="100"/>
              <w:spacing w:after="0" w:line="198" w:lineRule="exact"/>
              <w:rPr>
                <w:sz w:val="20"/>
                <w:szCs w:val="20"/>
                <w:color w:val="auto"/>
              </w:rPr>
            </w:pPr>
            <w:r>
              <w:rPr>
                <w:rFonts w:ascii="Times New Roman" w:cs="Times New Roman" w:eastAsia="Times New Roman" w:hAnsi="Times New Roman"/>
                <w:sz w:val="18"/>
                <w:szCs w:val="18"/>
                <w:color w:val="auto"/>
                <w:w w:val="98"/>
              </w:rPr>
              <w:t>BRKHW</w:t>
            </w:r>
          </w:p>
        </w:tc>
        <w:tc>
          <w:tcPr>
            <w:tcW w:w="4260" w:type="dxa"/>
            <w:vAlign w:val="bottom"/>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The Nasdaq Stock Market, LLC</w:t>
            </w:r>
          </w:p>
        </w:tc>
      </w:tr>
      <w:tr>
        <w:trPr>
          <w:trHeight w:val="234"/>
        </w:trPr>
        <w:tc>
          <w:tcPr>
            <w:tcW w:w="4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 for $11.50 per share</w:t>
            </w:r>
          </w:p>
        </w:tc>
        <w:tc>
          <w:tcPr>
            <w:tcW w:w="22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260" w:type="dxa"/>
            <w:vAlign w:val="bottom"/>
            <w:shd w:val="clear" w:color="auto" w:fill="CCEEFF"/>
          </w:tcPr>
          <w:p>
            <w:pPr>
              <w:spacing w:after="0"/>
              <w:rPr>
                <w:sz w:val="20"/>
                <w:szCs w:val="20"/>
                <w:color w:val="auto"/>
              </w:rPr>
            </w:pPr>
          </w:p>
        </w:tc>
      </w:tr>
    </w:tbl>
    <w:p>
      <w:pPr>
        <w:spacing w:after="0" w:line="198" w:lineRule="exact"/>
        <w:rPr>
          <w:sz w:val="24"/>
          <w:szCs w:val="24"/>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62" w:lineRule="exact"/>
        <w:rPr>
          <w:sz w:val="24"/>
          <w:szCs w:val="24"/>
          <w:color w:val="auto"/>
        </w:rPr>
      </w:pPr>
    </w:p>
    <w:p>
      <w:pPr>
        <w:ind w:left="340"/>
        <w:spacing w:after="0"/>
        <w:rPr>
          <w:sz w:val="20"/>
          <w:szCs w:val="20"/>
          <w:color w:val="auto"/>
        </w:rPr>
      </w:pPr>
      <w:r>
        <w:rPr>
          <w:rFonts w:ascii="Times New Roman" w:cs="Times New Roman" w:eastAsia="Times New Roman" w:hAnsi="Times New Roman"/>
          <w:sz w:val="18"/>
          <w:szCs w:val="18"/>
          <w:color w:val="auto"/>
        </w:rPr>
        <w:t xml:space="preserve">Emerging growth company </w:t>
      </w:r>
      <w:r>
        <w:rPr>
          <w:rFonts w:ascii="Wingdings" w:cs="Wingdings" w:eastAsia="Wingdings" w:hAnsi="Wingdings"/>
          <w:sz w:val="18"/>
          <w:szCs w:val="18"/>
          <w:b w:val="1"/>
          <w:bCs w:val="1"/>
          <w:color w:val="auto"/>
        </w:rPr>
        <w:t>x</w:t>
      </w:r>
    </w:p>
    <w:p>
      <w:pPr>
        <w:spacing w:after="0" w:line="225" w:lineRule="exact"/>
        <w:rPr>
          <w:sz w:val="24"/>
          <w:szCs w:val="24"/>
          <w:color w:val="auto"/>
        </w:rPr>
      </w:pPr>
    </w:p>
    <w:p>
      <w:pPr>
        <w:jc w:val="both"/>
        <w:ind w:firstLine="324"/>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591185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36"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212529"/>
        </w:rPr>
        <w:t>Item 5.07. Submission of Matters to a Vote of Security Holders.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212529"/>
        </w:rPr>
        <w:t>As previously disclosed, on December 22, 2023, BurTech Acquisition Corp. (the “Company” or “BurTech”), BurTech Merger Sub Inc., a Delaware corporation and a direct, wholly owned subsidiary of the Company (“Merger Sub”), Blaize, Inc., a Delaware corporation (“Blaize”), and for the limited purposes set forth therein, Burkhan Capital LLC, a Delaware limited liability company and affiliate of the Company (“Burkhan”), entered into an Agreement and Plan of Merger (as amended on April 22, 2024, October 24, 2024 and November 21, 2024, and as may be further amended and/or amended and restated, the “Merger Agreement”), pursuant to which Merger Sub will merge (the “Merger ”) with and into Blaize, whereupon the separate corporate existence of Merger Sub will cease and Blaize will be the surviving company and continue in existence as a wholly owned subsidiary of the Company, on the terms and subject to the conditions set forth therein (collectively with the other transactions described in the Merger Agreement, the “Business Combination”).</w:t>
      </w:r>
    </w:p>
    <w:p>
      <w:pPr>
        <w:spacing w:after="0" w:line="19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212529"/>
        </w:rPr>
        <w:t>On December 23, 2024, the Company held a special meeting in lieu of the 2024 annual meeting of the stockholders of BurTech (the “Special Meeting”) in connection with the Business Combination and other related matters, as described in the definitive proxy statement filed by the Company with the Securities and Exchange Commission on December 2, 2024 (the “Proxy Statement”). Present at the Special Meeting were holders of 13,260,778 shares of the Company’s common stock (“Common Stock”) in person or by proxy, representing approximately 87.5% of the voting power of the Common Stock as of November 12, 2024, the record date for the Special Meeting (the “Record Date”), and constituting a quorum for the transaction of business. As of the Record Date, there were 15,162,663 shares of Common Stock issued and outstanding.</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212529"/>
        </w:rPr>
        <w:t>At the Special Meeting, the Company’s stockholders approved the Business Combination Proposal, the Organizational Documents Proposal, each of the Advisory Organizational Documents Proposals (on a non-binding advisory basis), the election of each director nominee pursuant to the Election of Directors Proposal, the Equity Incentive Plan Proposal, the Employee Stock Purchase Plan Proposal and the Nasdaq Proposal, in each case as defined and described in greater detail in the Proxy Statement. The Adjournment Proposal, as defined and described in greater detail in the Proxy Statement, was not presented to the Company’s stockholders as the other proposals each received a sufficient number of votes for approval.</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12529"/>
        </w:rPr>
        <w:t>The final results for each of the matters submitted to a vote of the Company’s stockholders at the Special Meeting are as follows:</w:t>
      </w:r>
    </w:p>
    <w:p>
      <w:pPr>
        <w:spacing w:after="0" w:line="221" w:lineRule="exact"/>
        <w:rPr>
          <w:sz w:val="20"/>
          <w:szCs w:val="20"/>
          <w:color w:val="auto"/>
        </w:rPr>
      </w:pPr>
    </w:p>
    <w:p>
      <w:pPr>
        <w:jc w:val="both"/>
        <w:ind w:left="740" w:hanging="476"/>
        <w:spacing w:after="0" w:line="259" w:lineRule="auto"/>
        <w:tabs>
          <w:tab w:leader="none" w:pos="7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Proposal No. 1 — The “Business Combination Proposal”</w:t>
      </w:r>
      <w:r>
        <w:rPr>
          <w:rFonts w:ascii="Times New Roman" w:cs="Times New Roman" w:eastAsia="Times New Roman" w:hAnsi="Times New Roman"/>
          <w:sz w:val="18"/>
          <w:szCs w:val="18"/>
          <w:color w:val="auto"/>
        </w:rPr>
        <w:t> — The proposal to approve and adopt the Agreement and Plan of Merger, dated as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December 22, 2023, as amended on April 22, 2024, October 24, 2024 and November 21, 2024, by and among BurTech, BurTech Merger Sub Inc., Blaize, Inc., and for the limited purposes set forth therein, Burkhan Capital LLC, pursuant to which Merger Sub will merge with and into Blaize, with Blaize surviving the Merger as a wholly owned subsidiary of BurTech, and approve the merger and the other transactions contemplated by the Merger Agreement (the “Business Combination”), was approved. The voting results were as follows:</w:t>
      </w:r>
    </w:p>
    <w:p>
      <w:pPr>
        <w:spacing w:after="0" w:line="179" w:lineRule="exact"/>
        <w:rPr>
          <w:sz w:val="20"/>
          <w:szCs w:val="20"/>
          <w:color w:val="auto"/>
        </w:rPr>
      </w:pPr>
    </w:p>
    <w:tbl>
      <w:tblPr>
        <w:tblLayout w:type="fixed"/>
        <w:tblInd w:w="1140" w:type="dxa"/>
        <w:tblCellMar>
          <w:top w:w="0" w:type="dxa"/>
          <w:left w:w="0" w:type="dxa"/>
          <w:bottom w:w="0" w:type="dxa"/>
          <w:right w:w="0" w:type="dxa"/>
        </w:tblCellMar>
      </w:tblPr>
      <w:tr>
        <w:trPr>
          <w:trHeight w:val="238"/>
        </w:trPr>
        <w:tc>
          <w:tcPr>
            <w:tcW w:w="30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FOR</w:t>
            </w:r>
          </w:p>
        </w:tc>
        <w:tc>
          <w:tcPr>
            <w:tcW w:w="30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AGAINST</w:t>
            </w:r>
          </w:p>
        </w:tc>
        <w:tc>
          <w:tcPr>
            <w:tcW w:w="28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ABSTAIN</w:t>
            </w:r>
          </w:p>
        </w:tc>
      </w:tr>
      <w:tr>
        <w:trPr>
          <w:trHeight w:val="209"/>
        </w:trPr>
        <w:tc>
          <w:tcPr>
            <w:tcW w:w="2880" w:type="dxa"/>
            <w:vAlign w:val="bottom"/>
            <w:tcBorders>
              <w:top w:val="single" w:sz="8" w:color="666666"/>
            </w:tcBorders>
            <w:shd w:val="clear" w:color="auto" w:fill="CCEEFF"/>
          </w:tcPr>
          <w:p>
            <w:pPr>
              <w:jc w:val="right"/>
              <w:ind w:right="950"/>
              <w:spacing w:after="0"/>
              <w:rPr>
                <w:sz w:val="20"/>
                <w:szCs w:val="20"/>
                <w:color w:val="auto"/>
              </w:rPr>
            </w:pPr>
            <w:r>
              <w:rPr>
                <w:rFonts w:ascii="Times New Roman" w:cs="Times New Roman" w:eastAsia="Times New Roman" w:hAnsi="Times New Roman"/>
                <w:sz w:val="18"/>
                <w:szCs w:val="18"/>
                <w:color w:val="auto"/>
              </w:rPr>
              <w:t>13,256,737</w:t>
            </w:r>
          </w:p>
        </w:tc>
        <w:tc>
          <w:tcPr>
            <w:tcW w:w="180" w:type="dxa"/>
            <w:vAlign w:val="bottom"/>
            <w:tcBorders>
              <w:top w:val="single" w:sz="8" w:color="CCEEFF"/>
            </w:tcBorders>
            <w:shd w:val="clear" w:color="auto" w:fill="CCEEFF"/>
          </w:tcPr>
          <w:p>
            <w:pPr>
              <w:spacing w:after="0"/>
              <w:rPr>
                <w:sz w:val="18"/>
                <w:szCs w:val="18"/>
                <w:color w:val="auto"/>
              </w:rPr>
            </w:pPr>
          </w:p>
        </w:tc>
        <w:tc>
          <w:tcPr>
            <w:tcW w:w="2880" w:type="dxa"/>
            <w:vAlign w:val="bottom"/>
            <w:tcBorders>
              <w:top w:val="single" w:sz="8" w:color="666666"/>
            </w:tcBorders>
            <w:shd w:val="clear" w:color="auto" w:fill="CCEEFF"/>
          </w:tcPr>
          <w:p>
            <w:pPr>
              <w:jc w:val="right"/>
              <w:ind w:right="1150"/>
              <w:spacing w:after="0"/>
              <w:rPr>
                <w:sz w:val="20"/>
                <w:szCs w:val="20"/>
                <w:color w:val="auto"/>
              </w:rPr>
            </w:pPr>
            <w:r>
              <w:rPr>
                <w:rFonts w:ascii="Times New Roman" w:cs="Times New Roman" w:eastAsia="Times New Roman" w:hAnsi="Times New Roman"/>
                <w:sz w:val="18"/>
                <w:szCs w:val="18"/>
                <w:color w:val="auto"/>
              </w:rPr>
              <w:t>4,041</w:t>
            </w:r>
          </w:p>
        </w:tc>
        <w:tc>
          <w:tcPr>
            <w:tcW w:w="180" w:type="dxa"/>
            <w:vAlign w:val="bottom"/>
            <w:tcBorders>
              <w:top w:val="single" w:sz="8" w:color="CCEEFF"/>
            </w:tcBorders>
            <w:shd w:val="clear" w:color="auto" w:fill="CCEEFF"/>
          </w:tcPr>
          <w:p>
            <w:pPr>
              <w:spacing w:after="0"/>
              <w:rPr>
                <w:sz w:val="18"/>
                <w:szCs w:val="18"/>
                <w:color w:val="auto"/>
              </w:rPr>
            </w:pPr>
          </w:p>
        </w:tc>
        <w:tc>
          <w:tcPr>
            <w:tcW w:w="2860" w:type="dxa"/>
            <w:vAlign w:val="bottom"/>
            <w:tcBorders>
              <w:top w:val="single" w:sz="8" w:color="666666"/>
            </w:tcBorders>
            <w:shd w:val="clear" w:color="auto" w:fill="CCEEFF"/>
          </w:tcPr>
          <w:p>
            <w:pPr>
              <w:jc w:val="right"/>
              <w:ind w:right="1310"/>
              <w:spacing w:after="0"/>
              <w:rPr>
                <w:sz w:val="20"/>
                <w:szCs w:val="20"/>
                <w:color w:val="auto"/>
              </w:rPr>
            </w:pPr>
            <w:r>
              <w:rPr>
                <w:rFonts w:ascii="Times New Roman" w:cs="Times New Roman" w:eastAsia="Times New Roman" w:hAnsi="Times New Roman"/>
                <w:sz w:val="18"/>
                <w:szCs w:val="18"/>
                <w:color w:val="auto"/>
              </w:rPr>
              <w:t>0</w:t>
            </w:r>
          </w:p>
        </w:tc>
      </w:tr>
    </w:tbl>
    <w:p>
      <w:pPr>
        <w:spacing w:after="0" w:line="200" w:lineRule="exact"/>
        <w:rPr>
          <w:sz w:val="20"/>
          <w:szCs w:val="20"/>
          <w:color w:val="auto"/>
        </w:rPr>
      </w:pPr>
    </w:p>
    <w:p>
      <w:pPr>
        <w:spacing w:after="0" w:line="210" w:lineRule="exact"/>
        <w:rPr>
          <w:sz w:val="20"/>
          <w:szCs w:val="20"/>
          <w:color w:val="auto"/>
        </w:rPr>
      </w:pPr>
    </w:p>
    <w:p>
      <w:pPr>
        <w:jc w:val="both"/>
        <w:ind w:left="740" w:hanging="476"/>
        <w:spacing w:after="0" w:line="268" w:lineRule="auto"/>
        <w:tabs>
          <w:tab w:leader="none" w:pos="7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Proposal No. 2 — The “Organizational Documents Proposal”</w:t>
      </w:r>
      <w:r>
        <w:rPr>
          <w:rFonts w:ascii="Times New Roman" w:cs="Times New Roman" w:eastAsia="Times New Roman" w:hAnsi="Times New Roman"/>
          <w:sz w:val="18"/>
          <w:szCs w:val="18"/>
          <w:color w:val="auto"/>
        </w:rPr>
        <w:t> — The proposal to approve and adopt the proposed Third Amended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Restated Certificate of Incorporation (the “Proposed Charter”) and the proposed Amended and Restated Bylaws (the “Proposed Bylaws”) of the post-Business Combination combined Company (“New Blaize”), was approved. The voting results were as follows: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140" w:type="dxa"/>
            <w:vAlign w:val="bottom"/>
          </w:tcPr>
          <w:p>
            <w:pPr>
              <w:spacing w:after="0"/>
              <w:rPr>
                <w:sz w:val="20"/>
                <w:szCs w:val="20"/>
                <w:color w:val="auto"/>
              </w:rPr>
            </w:pPr>
          </w:p>
        </w:tc>
        <w:tc>
          <w:tcPr>
            <w:tcW w:w="30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FOR</w:t>
            </w:r>
          </w:p>
        </w:tc>
        <w:tc>
          <w:tcPr>
            <w:tcW w:w="30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AGAINST</w:t>
            </w:r>
          </w:p>
        </w:tc>
        <w:tc>
          <w:tcPr>
            <w:tcW w:w="28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ABSTAIN</w:t>
            </w:r>
          </w:p>
        </w:tc>
        <w:tc>
          <w:tcPr>
            <w:tcW w:w="1120" w:type="dxa"/>
            <w:vAlign w:val="bottom"/>
          </w:tcPr>
          <w:p>
            <w:pPr>
              <w:spacing w:after="0"/>
              <w:rPr>
                <w:sz w:val="20"/>
                <w:szCs w:val="20"/>
                <w:color w:val="auto"/>
              </w:rPr>
            </w:pPr>
          </w:p>
        </w:tc>
      </w:tr>
      <w:tr>
        <w:trPr>
          <w:trHeight w:val="210"/>
        </w:trPr>
        <w:tc>
          <w:tcPr>
            <w:tcW w:w="1140" w:type="dxa"/>
            <w:vAlign w:val="bottom"/>
          </w:tcPr>
          <w:p>
            <w:pPr>
              <w:spacing w:after="0"/>
              <w:rPr>
                <w:sz w:val="18"/>
                <w:szCs w:val="18"/>
                <w:color w:val="auto"/>
              </w:rPr>
            </w:pPr>
          </w:p>
        </w:tc>
        <w:tc>
          <w:tcPr>
            <w:tcW w:w="2880" w:type="dxa"/>
            <w:vAlign w:val="bottom"/>
            <w:tcBorders>
              <w:top w:val="single" w:sz="8" w:color="666666"/>
            </w:tcBorders>
            <w:shd w:val="clear" w:color="auto" w:fill="CCEEFF"/>
          </w:tcPr>
          <w:p>
            <w:pPr>
              <w:jc w:val="right"/>
              <w:ind w:right="950"/>
              <w:spacing w:after="0"/>
              <w:rPr>
                <w:sz w:val="20"/>
                <w:szCs w:val="20"/>
                <w:color w:val="auto"/>
              </w:rPr>
            </w:pPr>
            <w:r>
              <w:rPr>
                <w:rFonts w:ascii="Times New Roman" w:cs="Times New Roman" w:eastAsia="Times New Roman" w:hAnsi="Times New Roman"/>
                <w:sz w:val="18"/>
                <w:szCs w:val="18"/>
                <w:color w:val="auto"/>
              </w:rPr>
              <w:t>13,256,692</w:t>
            </w:r>
          </w:p>
        </w:tc>
        <w:tc>
          <w:tcPr>
            <w:tcW w:w="180" w:type="dxa"/>
            <w:vAlign w:val="bottom"/>
            <w:tcBorders>
              <w:top w:val="single" w:sz="8" w:color="CCEEFF"/>
            </w:tcBorders>
            <w:shd w:val="clear" w:color="auto" w:fill="CCEEFF"/>
          </w:tcPr>
          <w:p>
            <w:pPr>
              <w:spacing w:after="0"/>
              <w:rPr>
                <w:sz w:val="18"/>
                <w:szCs w:val="18"/>
                <w:color w:val="auto"/>
              </w:rPr>
            </w:pPr>
          </w:p>
        </w:tc>
        <w:tc>
          <w:tcPr>
            <w:tcW w:w="2880" w:type="dxa"/>
            <w:vAlign w:val="bottom"/>
            <w:tcBorders>
              <w:top w:val="single" w:sz="8" w:color="666666"/>
            </w:tcBorders>
            <w:shd w:val="clear" w:color="auto" w:fill="CCEEFF"/>
          </w:tcPr>
          <w:p>
            <w:pPr>
              <w:jc w:val="right"/>
              <w:ind w:right="1150"/>
              <w:spacing w:after="0"/>
              <w:rPr>
                <w:sz w:val="20"/>
                <w:szCs w:val="20"/>
                <w:color w:val="auto"/>
              </w:rPr>
            </w:pPr>
            <w:r>
              <w:rPr>
                <w:rFonts w:ascii="Times New Roman" w:cs="Times New Roman" w:eastAsia="Times New Roman" w:hAnsi="Times New Roman"/>
                <w:sz w:val="18"/>
                <w:szCs w:val="18"/>
                <w:color w:val="auto"/>
              </w:rPr>
              <w:t>4,086</w:t>
            </w:r>
          </w:p>
        </w:tc>
        <w:tc>
          <w:tcPr>
            <w:tcW w:w="180" w:type="dxa"/>
            <w:vAlign w:val="bottom"/>
            <w:tcBorders>
              <w:top w:val="single" w:sz="8" w:color="CCEEFF"/>
            </w:tcBorders>
            <w:shd w:val="clear" w:color="auto" w:fill="CCEEFF"/>
          </w:tcPr>
          <w:p>
            <w:pPr>
              <w:spacing w:after="0"/>
              <w:rPr>
                <w:sz w:val="18"/>
                <w:szCs w:val="18"/>
                <w:color w:val="auto"/>
              </w:rPr>
            </w:pPr>
          </w:p>
        </w:tc>
        <w:tc>
          <w:tcPr>
            <w:tcW w:w="2860" w:type="dxa"/>
            <w:vAlign w:val="bottom"/>
            <w:tcBorders>
              <w:top w:val="single" w:sz="8" w:color="666666"/>
            </w:tcBorders>
            <w:shd w:val="clear" w:color="auto" w:fill="CCEEFF"/>
          </w:tcPr>
          <w:p>
            <w:pPr>
              <w:jc w:val="right"/>
              <w:ind w:right="1310"/>
              <w:spacing w:after="0"/>
              <w:rPr>
                <w:sz w:val="20"/>
                <w:szCs w:val="20"/>
                <w:color w:val="auto"/>
              </w:rPr>
            </w:pPr>
            <w:r>
              <w:rPr>
                <w:rFonts w:ascii="Times New Roman" w:cs="Times New Roman" w:eastAsia="Times New Roman" w:hAnsi="Times New Roman"/>
                <w:sz w:val="18"/>
                <w:szCs w:val="18"/>
                <w:color w:val="auto"/>
              </w:rPr>
              <w:t>0</w:t>
            </w:r>
          </w:p>
        </w:tc>
        <w:tc>
          <w:tcPr>
            <w:tcW w:w="1120" w:type="dxa"/>
            <w:vAlign w:val="bottom"/>
          </w:tcPr>
          <w:p>
            <w:pPr>
              <w:spacing w:after="0"/>
              <w:rPr>
                <w:sz w:val="18"/>
                <w:szCs w:val="18"/>
                <w:color w:val="auto"/>
              </w:rPr>
            </w:pPr>
          </w:p>
        </w:tc>
      </w:tr>
      <w:tr>
        <w:trPr>
          <w:trHeight w:val="675"/>
        </w:trPr>
        <w:tc>
          <w:tcPr>
            <w:tcW w:w="1140" w:type="dxa"/>
            <w:vAlign w:val="bottom"/>
            <w:tcBorders>
              <w:bottom w:val="single" w:sz="8" w:color="auto"/>
            </w:tcBorders>
          </w:tcPr>
          <w:p>
            <w:pPr>
              <w:spacing w:after="0"/>
              <w:rPr>
                <w:sz w:val="24"/>
                <w:szCs w:val="24"/>
                <w:color w:val="auto"/>
              </w:rPr>
            </w:pPr>
          </w:p>
        </w:tc>
        <w:tc>
          <w:tcPr>
            <w:tcW w:w="28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8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8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2" w:name="page3"/>
    <w:bookmarkEnd w:id="2"/>
    <w:p>
      <w:pPr>
        <w:ind w:left="740" w:hanging="476"/>
        <w:spacing w:after="0" w:line="286" w:lineRule="auto"/>
        <w:tabs>
          <w:tab w:leader="none" w:pos="7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Proposals No. 3 — The “Advisory Organizational Documents Proposals</w:t>
      </w:r>
      <w:r>
        <w:rPr>
          <w:rFonts w:ascii="Times New Roman" w:cs="Times New Roman" w:eastAsia="Times New Roman" w:hAnsi="Times New Roman"/>
          <w:sz w:val="18"/>
          <w:szCs w:val="18"/>
          <w:color w:val="auto"/>
        </w:rPr>
        <w:t>” — The proposal to approve, on a non-binding advisory basis,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certain governance provisions in the Proposed Charter and the Proposed Bylaws, were each approved:</w:t>
      </w:r>
    </w:p>
    <w:p>
      <w:pPr>
        <w:spacing w:after="0" w:line="154" w:lineRule="exact"/>
        <w:rPr>
          <w:rFonts w:ascii="Times New Roman" w:cs="Times New Roman" w:eastAsia="Times New Roman" w:hAnsi="Times New Roman"/>
          <w:sz w:val="18"/>
          <w:szCs w:val="18"/>
          <w:color w:val="auto"/>
        </w:rPr>
      </w:pPr>
    </w:p>
    <w:p>
      <w:pPr>
        <w:ind w:left="1040" w:hanging="627"/>
        <w:spacing w:after="0" w:line="268" w:lineRule="auto"/>
        <w:tabs>
          <w:tab w:leader="none" w:pos="104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Proposal No</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3A</w:t>
      </w:r>
      <w:r>
        <w:rPr>
          <w:rFonts w:ascii="Times New Roman" w:cs="Times New Roman" w:eastAsia="Times New Roman" w:hAnsi="Times New Roman"/>
          <w:sz w:val="18"/>
          <w:szCs w:val="18"/>
          <w:color w:val="auto"/>
        </w:rPr>
        <w:t> — The proposal to increase the authorized shares to 600,000,000 shares of common stock, par value $0.0001 per share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New Blaize and increase the authorized shares of preferred stock to 20,000,000 shares of preferred stock, par value $0.0001 per share of New Blaize, was approved. The voting results were as follows:</w:t>
      </w:r>
    </w:p>
    <w:p>
      <w:pPr>
        <w:spacing w:after="0" w:line="171" w:lineRule="exact"/>
        <w:rPr>
          <w:sz w:val="20"/>
          <w:szCs w:val="20"/>
          <w:color w:val="auto"/>
        </w:rPr>
      </w:pPr>
    </w:p>
    <w:tbl>
      <w:tblPr>
        <w:tblLayout w:type="fixed"/>
        <w:tblInd w:w="1140" w:type="dxa"/>
        <w:tblCellMar>
          <w:top w:w="0" w:type="dxa"/>
          <w:left w:w="0" w:type="dxa"/>
          <w:bottom w:w="0" w:type="dxa"/>
          <w:right w:w="0" w:type="dxa"/>
        </w:tblCellMar>
      </w:tblPr>
      <w:tr>
        <w:trPr>
          <w:trHeight w:val="238"/>
        </w:trPr>
        <w:tc>
          <w:tcPr>
            <w:tcW w:w="30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FOR</w:t>
            </w:r>
          </w:p>
        </w:tc>
        <w:tc>
          <w:tcPr>
            <w:tcW w:w="30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AGAINST</w:t>
            </w:r>
          </w:p>
        </w:tc>
        <w:tc>
          <w:tcPr>
            <w:tcW w:w="28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ABSTAIN</w:t>
            </w:r>
          </w:p>
        </w:tc>
      </w:tr>
      <w:tr>
        <w:trPr>
          <w:trHeight w:val="210"/>
        </w:trPr>
        <w:tc>
          <w:tcPr>
            <w:tcW w:w="2880" w:type="dxa"/>
            <w:vAlign w:val="bottom"/>
            <w:tcBorders>
              <w:top w:val="single" w:sz="8" w:color="666666"/>
            </w:tcBorders>
            <w:shd w:val="clear" w:color="auto" w:fill="CCEEFF"/>
          </w:tcPr>
          <w:p>
            <w:pPr>
              <w:jc w:val="right"/>
              <w:ind w:right="950"/>
              <w:spacing w:after="0"/>
              <w:rPr>
                <w:sz w:val="20"/>
                <w:szCs w:val="20"/>
                <w:color w:val="auto"/>
              </w:rPr>
            </w:pPr>
            <w:r>
              <w:rPr>
                <w:rFonts w:ascii="Times New Roman" w:cs="Times New Roman" w:eastAsia="Times New Roman" w:hAnsi="Times New Roman"/>
                <w:sz w:val="18"/>
                <w:szCs w:val="18"/>
                <w:color w:val="auto"/>
              </w:rPr>
              <w:t>13,254,995</w:t>
            </w:r>
          </w:p>
        </w:tc>
        <w:tc>
          <w:tcPr>
            <w:tcW w:w="180" w:type="dxa"/>
            <w:vAlign w:val="bottom"/>
            <w:tcBorders>
              <w:top w:val="single" w:sz="8" w:color="CCEEFF"/>
            </w:tcBorders>
            <w:shd w:val="clear" w:color="auto" w:fill="CCEEFF"/>
          </w:tcPr>
          <w:p>
            <w:pPr>
              <w:spacing w:after="0"/>
              <w:rPr>
                <w:sz w:val="18"/>
                <w:szCs w:val="18"/>
                <w:color w:val="auto"/>
              </w:rPr>
            </w:pPr>
          </w:p>
        </w:tc>
        <w:tc>
          <w:tcPr>
            <w:tcW w:w="2880" w:type="dxa"/>
            <w:vAlign w:val="bottom"/>
            <w:tcBorders>
              <w:top w:val="single" w:sz="8" w:color="666666"/>
            </w:tcBorders>
            <w:shd w:val="clear" w:color="auto" w:fill="CCEEFF"/>
          </w:tcPr>
          <w:p>
            <w:pPr>
              <w:jc w:val="right"/>
              <w:ind w:right="1150"/>
              <w:spacing w:after="0"/>
              <w:rPr>
                <w:sz w:val="20"/>
                <w:szCs w:val="20"/>
                <w:color w:val="auto"/>
              </w:rPr>
            </w:pPr>
            <w:r>
              <w:rPr>
                <w:rFonts w:ascii="Times New Roman" w:cs="Times New Roman" w:eastAsia="Times New Roman" w:hAnsi="Times New Roman"/>
                <w:sz w:val="18"/>
                <w:szCs w:val="18"/>
                <w:color w:val="auto"/>
              </w:rPr>
              <w:t>5,783</w:t>
            </w:r>
          </w:p>
        </w:tc>
        <w:tc>
          <w:tcPr>
            <w:tcW w:w="180" w:type="dxa"/>
            <w:vAlign w:val="bottom"/>
            <w:tcBorders>
              <w:top w:val="single" w:sz="8" w:color="CCEEFF"/>
            </w:tcBorders>
            <w:shd w:val="clear" w:color="auto" w:fill="CCEEFF"/>
          </w:tcPr>
          <w:p>
            <w:pPr>
              <w:spacing w:after="0"/>
              <w:rPr>
                <w:sz w:val="18"/>
                <w:szCs w:val="18"/>
                <w:color w:val="auto"/>
              </w:rPr>
            </w:pPr>
          </w:p>
        </w:tc>
        <w:tc>
          <w:tcPr>
            <w:tcW w:w="2860" w:type="dxa"/>
            <w:vAlign w:val="bottom"/>
            <w:tcBorders>
              <w:top w:val="single" w:sz="8" w:color="666666"/>
            </w:tcBorders>
            <w:shd w:val="clear" w:color="auto" w:fill="CCEEFF"/>
          </w:tcPr>
          <w:p>
            <w:pPr>
              <w:jc w:val="right"/>
              <w:ind w:right="1310"/>
              <w:spacing w:after="0"/>
              <w:rPr>
                <w:sz w:val="20"/>
                <w:szCs w:val="20"/>
                <w:color w:val="auto"/>
              </w:rPr>
            </w:pPr>
            <w:r>
              <w:rPr>
                <w:rFonts w:ascii="Times New Roman" w:cs="Times New Roman" w:eastAsia="Times New Roman" w:hAnsi="Times New Roman"/>
                <w:sz w:val="18"/>
                <w:szCs w:val="18"/>
                <w:color w:val="auto"/>
              </w:rPr>
              <w:t>0</w:t>
            </w:r>
          </w:p>
        </w:tc>
      </w:tr>
    </w:tbl>
    <w:p>
      <w:pPr>
        <w:spacing w:after="0" w:line="194" w:lineRule="exact"/>
        <w:rPr>
          <w:sz w:val="20"/>
          <w:szCs w:val="20"/>
          <w:color w:val="auto"/>
        </w:rPr>
      </w:pPr>
    </w:p>
    <w:p>
      <w:pPr>
        <w:jc w:val="both"/>
        <w:ind w:left="1060" w:hanging="647"/>
        <w:spacing w:after="0" w:line="268" w:lineRule="auto"/>
        <w:tabs>
          <w:tab w:leader="none" w:pos="10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Proposal No. 3B</w:t>
      </w:r>
      <w:r>
        <w:rPr>
          <w:rFonts w:ascii="Times New Roman" w:cs="Times New Roman" w:eastAsia="Times New Roman" w:hAnsi="Times New Roman"/>
          <w:sz w:val="18"/>
          <w:szCs w:val="18"/>
          <w:color w:val="auto"/>
        </w:rPr>
        <w:t> — The proposal to require an affirmative vote of 662∕3% of the voting power of all then-outstanding shares of New Blaize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Common Stock to alter, amend, or repeal ARTICLES IV, V, VI, VII, VIII, IX and X of the Proposed Charter, was approved. The voting results were as follows:</w:t>
      </w:r>
    </w:p>
    <w:p>
      <w:pPr>
        <w:spacing w:after="0" w:line="171" w:lineRule="exact"/>
        <w:rPr>
          <w:sz w:val="20"/>
          <w:szCs w:val="20"/>
          <w:color w:val="auto"/>
        </w:rPr>
      </w:pPr>
    </w:p>
    <w:tbl>
      <w:tblPr>
        <w:tblLayout w:type="fixed"/>
        <w:tblInd w:w="1140" w:type="dxa"/>
        <w:tblCellMar>
          <w:top w:w="0" w:type="dxa"/>
          <w:left w:w="0" w:type="dxa"/>
          <w:bottom w:w="0" w:type="dxa"/>
          <w:right w:w="0" w:type="dxa"/>
        </w:tblCellMar>
      </w:tblPr>
      <w:tr>
        <w:trPr>
          <w:trHeight w:val="238"/>
        </w:trPr>
        <w:tc>
          <w:tcPr>
            <w:tcW w:w="30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FOR</w:t>
            </w:r>
          </w:p>
        </w:tc>
        <w:tc>
          <w:tcPr>
            <w:tcW w:w="30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AGAINST</w:t>
            </w:r>
          </w:p>
        </w:tc>
        <w:tc>
          <w:tcPr>
            <w:tcW w:w="28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ABSTAIN</w:t>
            </w:r>
          </w:p>
        </w:tc>
      </w:tr>
      <w:tr>
        <w:trPr>
          <w:trHeight w:val="209"/>
        </w:trPr>
        <w:tc>
          <w:tcPr>
            <w:tcW w:w="2880" w:type="dxa"/>
            <w:vAlign w:val="bottom"/>
            <w:tcBorders>
              <w:top w:val="single" w:sz="8" w:color="666666"/>
            </w:tcBorders>
            <w:shd w:val="clear" w:color="auto" w:fill="CCEEFF"/>
          </w:tcPr>
          <w:p>
            <w:pPr>
              <w:jc w:val="right"/>
              <w:ind w:right="950"/>
              <w:spacing w:after="0"/>
              <w:rPr>
                <w:sz w:val="20"/>
                <w:szCs w:val="20"/>
                <w:color w:val="auto"/>
              </w:rPr>
            </w:pPr>
            <w:r>
              <w:rPr>
                <w:rFonts w:ascii="Times New Roman" w:cs="Times New Roman" w:eastAsia="Times New Roman" w:hAnsi="Times New Roman"/>
                <w:sz w:val="18"/>
                <w:szCs w:val="18"/>
                <w:color w:val="auto"/>
              </w:rPr>
              <w:t>13,256,553</w:t>
            </w:r>
          </w:p>
        </w:tc>
        <w:tc>
          <w:tcPr>
            <w:tcW w:w="180" w:type="dxa"/>
            <w:vAlign w:val="bottom"/>
            <w:tcBorders>
              <w:top w:val="single" w:sz="8" w:color="CCEEFF"/>
            </w:tcBorders>
            <w:shd w:val="clear" w:color="auto" w:fill="CCEEFF"/>
          </w:tcPr>
          <w:p>
            <w:pPr>
              <w:spacing w:after="0"/>
              <w:rPr>
                <w:sz w:val="18"/>
                <w:szCs w:val="18"/>
                <w:color w:val="auto"/>
              </w:rPr>
            </w:pPr>
          </w:p>
        </w:tc>
        <w:tc>
          <w:tcPr>
            <w:tcW w:w="2880" w:type="dxa"/>
            <w:vAlign w:val="bottom"/>
            <w:tcBorders>
              <w:top w:val="single" w:sz="8" w:color="666666"/>
            </w:tcBorders>
            <w:shd w:val="clear" w:color="auto" w:fill="CCEEFF"/>
          </w:tcPr>
          <w:p>
            <w:pPr>
              <w:jc w:val="right"/>
              <w:ind w:right="1150"/>
              <w:spacing w:after="0"/>
              <w:rPr>
                <w:sz w:val="20"/>
                <w:szCs w:val="20"/>
                <w:color w:val="auto"/>
              </w:rPr>
            </w:pPr>
            <w:r>
              <w:rPr>
                <w:rFonts w:ascii="Times New Roman" w:cs="Times New Roman" w:eastAsia="Times New Roman" w:hAnsi="Times New Roman"/>
                <w:sz w:val="18"/>
                <w:szCs w:val="18"/>
                <w:color w:val="auto"/>
              </w:rPr>
              <w:t>4,225</w:t>
            </w:r>
          </w:p>
        </w:tc>
        <w:tc>
          <w:tcPr>
            <w:tcW w:w="180" w:type="dxa"/>
            <w:vAlign w:val="bottom"/>
            <w:tcBorders>
              <w:top w:val="single" w:sz="8" w:color="CCEEFF"/>
            </w:tcBorders>
            <w:shd w:val="clear" w:color="auto" w:fill="CCEEFF"/>
          </w:tcPr>
          <w:p>
            <w:pPr>
              <w:spacing w:after="0"/>
              <w:rPr>
                <w:sz w:val="18"/>
                <w:szCs w:val="18"/>
                <w:color w:val="auto"/>
              </w:rPr>
            </w:pPr>
          </w:p>
        </w:tc>
        <w:tc>
          <w:tcPr>
            <w:tcW w:w="2860" w:type="dxa"/>
            <w:vAlign w:val="bottom"/>
            <w:tcBorders>
              <w:top w:val="single" w:sz="8" w:color="666666"/>
            </w:tcBorders>
            <w:shd w:val="clear" w:color="auto" w:fill="CCEEFF"/>
          </w:tcPr>
          <w:p>
            <w:pPr>
              <w:jc w:val="right"/>
              <w:ind w:right="1310"/>
              <w:spacing w:after="0"/>
              <w:rPr>
                <w:sz w:val="20"/>
                <w:szCs w:val="20"/>
                <w:color w:val="auto"/>
              </w:rPr>
            </w:pPr>
            <w:r>
              <w:rPr>
                <w:rFonts w:ascii="Times New Roman" w:cs="Times New Roman" w:eastAsia="Times New Roman" w:hAnsi="Times New Roman"/>
                <w:sz w:val="18"/>
                <w:szCs w:val="18"/>
                <w:color w:val="auto"/>
              </w:rPr>
              <w:t>0</w:t>
            </w:r>
          </w:p>
        </w:tc>
      </w:tr>
    </w:tbl>
    <w:p>
      <w:pPr>
        <w:spacing w:after="0" w:line="194" w:lineRule="exact"/>
        <w:rPr>
          <w:sz w:val="20"/>
          <w:szCs w:val="20"/>
          <w:color w:val="auto"/>
        </w:rPr>
      </w:pPr>
    </w:p>
    <w:p>
      <w:pPr>
        <w:ind w:left="1060" w:right="20" w:hanging="647"/>
        <w:spacing w:after="0" w:line="286" w:lineRule="auto"/>
        <w:tabs>
          <w:tab w:leader="none" w:pos="10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Proposal No. 3C</w:t>
      </w:r>
      <w:r>
        <w:rPr>
          <w:rFonts w:ascii="Times New Roman" w:cs="Times New Roman" w:eastAsia="Times New Roman" w:hAnsi="Times New Roman"/>
          <w:sz w:val="18"/>
          <w:szCs w:val="18"/>
          <w:color w:val="auto"/>
        </w:rPr>
        <w:t> — The proposal to require an affirmative vote of 662∕3% of the voting power of all then-outstanding shares of New Blaize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Common Stock to alter, amend, or repeal the Proposed Bylaws, was approved. The voting results were as follows:</w:t>
      </w:r>
    </w:p>
    <w:p>
      <w:pPr>
        <w:spacing w:after="0" w:line="155" w:lineRule="exact"/>
        <w:rPr>
          <w:sz w:val="20"/>
          <w:szCs w:val="20"/>
          <w:color w:val="auto"/>
        </w:rPr>
      </w:pPr>
    </w:p>
    <w:tbl>
      <w:tblPr>
        <w:tblLayout w:type="fixed"/>
        <w:tblInd w:w="1140" w:type="dxa"/>
        <w:tblCellMar>
          <w:top w:w="0" w:type="dxa"/>
          <w:left w:w="0" w:type="dxa"/>
          <w:bottom w:w="0" w:type="dxa"/>
          <w:right w:w="0" w:type="dxa"/>
        </w:tblCellMar>
      </w:tblPr>
      <w:tr>
        <w:trPr>
          <w:trHeight w:val="238"/>
        </w:trPr>
        <w:tc>
          <w:tcPr>
            <w:tcW w:w="30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FOR</w:t>
            </w:r>
          </w:p>
        </w:tc>
        <w:tc>
          <w:tcPr>
            <w:tcW w:w="30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AGAINST</w:t>
            </w:r>
          </w:p>
        </w:tc>
        <w:tc>
          <w:tcPr>
            <w:tcW w:w="28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ABSTAIN</w:t>
            </w:r>
          </w:p>
        </w:tc>
      </w:tr>
      <w:tr>
        <w:trPr>
          <w:trHeight w:val="210"/>
        </w:trPr>
        <w:tc>
          <w:tcPr>
            <w:tcW w:w="2880" w:type="dxa"/>
            <w:vAlign w:val="bottom"/>
            <w:tcBorders>
              <w:top w:val="single" w:sz="8" w:color="666666"/>
            </w:tcBorders>
            <w:shd w:val="clear" w:color="auto" w:fill="CCEEFF"/>
          </w:tcPr>
          <w:p>
            <w:pPr>
              <w:jc w:val="right"/>
              <w:ind w:right="950"/>
              <w:spacing w:after="0"/>
              <w:rPr>
                <w:sz w:val="20"/>
                <w:szCs w:val="20"/>
                <w:color w:val="auto"/>
              </w:rPr>
            </w:pPr>
            <w:r>
              <w:rPr>
                <w:rFonts w:ascii="Times New Roman" w:cs="Times New Roman" w:eastAsia="Times New Roman" w:hAnsi="Times New Roman"/>
                <w:sz w:val="18"/>
                <w:szCs w:val="18"/>
                <w:color w:val="auto"/>
              </w:rPr>
              <w:t>13,256,640</w:t>
            </w:r>
          </w:p>
        </w:tc>
        <w:tc>
          <w:tcPr>
            <w:tcW w:w="180" w:type="dxa"/>
            <w:vAlign w:val="bottom"/>
            <w:tcBorders>
              <w:top w:val="single" w:sz="8" w:color="CCEEFF"/>
            </w:tcBorders>
            <w:shd w:val="clear" w:color="auto" w:fill="CCEEFF"/>
          </w:tcPr>
          <w:p>
            <w:pPr>
              <w:spacing w:after="0"/>
              <w:rPr>
                <w:sz w:val="18"/>
                <w:szCs w:val="18"/>
                <w:color w:val="auto"/>
              </w:rPr>
            </w:pPr>
          </w:p>
        </w:tc>
        <w:tc>
          <w:tcPr>
            <w:tcW w:w="2880" w:type="dxa"/>
            <w:vAlign w:val="bottom"/>
            <w:tcBorders>
              <w:top w:val="single" w:sz="8" w:color="666666"/>
            </w:tcBorders>
            <w:shd w:val="clear" w:color="auto" w:fill="CCEEFF"/>
          </w:tcPr>
          <w:p>
            <w:pPr>
              <w:jc w:val="right"/>
              <w:ind w:right="1150"/>
              <w:spacing w:after="0"/>
              <w:rPr>
                <w:sz w:val="20"/>
                <w:szCs w:val="20"/>
                <w:color w:val="auto"/>
              </w:rPr>
            </w:pPr>
            <w:r>
              <w:rPr>
                <w:rFonts w:ascii="Times New Roman" w:cs="Times New Roman" w:eastAsia="Times New Roman" w:hAnsi="Times New Roman"/>
                <w:sz w:val="18"/>
                <w:szCs w:val="18"/>
                <w:color w:val="auto"/>
              </w:rPr>
              <w:t>4,138</w:t>
            </w:r>
          </w:p>
        </w:tc>
        <w:tc>
          <w:tcPr>
            <w:tcW w:w="180" w:type="dxa"/>
            <w:vAlign w:val="bottom"/>
            <w:tcBorders>
              <w:top w:val="single" w:sz="8" w:color="CCEEFF"/>
            </w:tcBorders>
            <w:shd w:val="clear" w:color="auto" w:fill="CCEEFF"/>
          </w:tcPr>
          <w:p>
            <w:pPr>
              <w:spacing w:after="0"/>
              <w:rPr>
                <w:sz w:val="18"/>
                <w:szCs w:val="18"/>
                <w:color w:val="auto"/>
              </w:rPr>
            </w:pPr>
          </w:p>
        </w:tc>
        <w:tc>
          <w:tcPr>
            <w:tcW w:w="2860" w:type="dxa"/>
            <w:vAlign w:val="bottom"/>
            <w:tcBorders>
              <w:top w:val="single" w:sz="8" w:color="666666"/>
            </w:tcBorders>
            <w:shd w:val="clear" w:color="auto" w:fill="CCEEFF"/>
          </w:tcPr>
          <w:p>
            <w:pPr>
              <w:jc w:val="right"/>
              <w:ind w:right="1310"/>
              <w:spacing w:after="0"/>
              <w:rPr>
                <w:sz w:val="20"/>
                <w:szCs w:val="20"/>
                <w:color w:val="auto"/>
              </w:rPr>
            </w:pPr>
            <w:r>
              <w:rPr>
                <w:rFonts w:ascii="Times New Roman" w:cs="Times New Roman" w:eastAsia="Times New Roman" w:hAnsi="Times New Roman"/>
                <w:sz w:val="18"/>
                <w:szCs w:val="18"/>
                <w:color w:val="auto"/>
              </w:rPr>
              <w:t>0</w:t>
            </w:r>
          </w:p>
        </w:tc>
      </w:tr>
    </w:tbl>
    <w:p>
      <w:pPr>
        <w:spacing w:after="0" w:line="194" w:lineRule="exact"/>
        <w:rPr>
          <w:sz w:val="20"/>
          <w:szCs w:val="20"/>
          <w:color w:val="auto"/>
        </w:rPr>
      </w:pPr>
    </w:p>
    <w:p>
      <w:pPr>
        <w:jc w:val="both"/>
        <w:ind w:left="1060" w:hanging="647"/>
        <w:spacing w:after="0" w:line="259" w:lineRule="auto"/>
        <w:tabs>
          <w:tab w:leader="none" w:pos="10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Proposal No. 3D</w:t>
      </w:r>
      <w:r>
        <w:rPr>
          <w:rFonts w:ascii="Times New Roman" w:cs="Times New Roman" w:eastAsia="Times New Roman" w:hAnsi="Times New Roman"/>
          <w:sz w:val="18"/>
          <w:szCs w:val="18"/>
          <w:color w:val="auto"/>
        </w:rPr>
        <w:t> — The proposal to approve and adopt the Proposed Charter to eliminate certain provisions related to BurTech’s status as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blank check company, including changing BurTech’s name from “BurTech Acquisition Corp.” to “Blaize Holdings, Inc.” and to remove the requirement to dissolve the Company and allow it to continue as a corporate entity with perpetual existence following consummation of the Business Combination, which the board of directors of the Company believes are necessary to adequately address the needs of BurTech immediately following the consummation of the Business Combination, was approved. The voting results were as follows:</w:t>
      </w:r>
    </w:p>
    <w:p>
      <w:pPr>
        <w:spacing w:after="0" w:line="179" w:lineRule="exact"/>
        <w:rPr>
          <w:sz w:val="20"/>
          <w:szCs w:val="20"/>
          <w:color w:val="auto"/>
        </w:rPr>
      </w:pPr>
    </w:p>
    <w:tbl>
      <w:tblPr>
        <w:tblLayout w:type="fixed"/>
        <w:tblInd w:w="1140" w:type="dxa"/>
        <w:tblCellMar>
          <w:top w:w="0" w:type="dxa"/>
          <w:left w:w="0" w:type="dxa"/>
          <w:bottom w:w="0" w:type="dxa"/>
          <w:right w:w="0" w:type="dxa"/>
        </w:tblCellMar>
      </w:tblPr>
      <w:tr>
        <w:trPr>
          <w:trHeight w:val="238"/>
        </w:trPr>
        <w:tc>
          <w:tcPr>
            <w:tcW w:w="30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FOR</w:t>
            </w:r>
          </w:p>
        </w:tc>
        <w:tc>
          <w:tcPr>
            <w:tcW w:w="30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AGAINST</w:t>
            </w:r>
          </w:p>
        </w:tc>
        <w:tc>
          <w:tcPr>
            <w:tcW w:w="28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ABSTAIN</w:t>
            </w:r>
          </w:p>
        </w:tc>
      </w:tr>
      <w:tr>
        <w:trPr>
          <w:trHeight w:val="210"/>
        </w:trPr>
        <w:tc>
          <w:tcPr>
            <w:tcW w:w="2880" w:type="dxa"/>
            <w:vAlign w:val="bottom"/>
            <w:tcBorders>
              <w:top w:val="single" w:sz="8" w:color="666666"/>
            </w:tcBorders>
            <w:shd w:val="clear" w:color="auto" w:fill="CCEEFF"/>
          </w:tcPr>
          <w:p>
            <w:pPr>
              <w:jc w:val="right"/>
              <w:ind w:right="950"/>
              <w:spacing w:after="0"/>
              <w:rPr>
                <w:sz w:val="20"/>
                <w:szCs w:val="20"/>
                <w:color w:val="auto"/>
              </w:rPr>
            </w:pPr>
            <w:r>
              <w:rPr>
                <w:rFonts w:ascii="Times New Roman" w:cs="Times New Roman" w:eastAsia="Times New Roman" w:hAnsi="Times New Roman"/>
                <w:sz w:val="18"/>
                <w:szCs w:val="18"/>
                <w:color w:val="auto"/>
              </w:rPr>
              <w:t>13,256,605</w:t>
            </w:r>
          </w:p>
        </w:tc>
        <w:tc>
          <w:tcPr>
            <w:tcW w:w="180" w:type="dxa"/>
            <w:vAlign w:val="bottom"/>
            <w:tcBorders>
              <w:top w:val="single" w:sz="8" w:color="CCEEFF"/>
            </w:tcBorders>
            <w:shd w:val="clear" w:color="auto" w:fill="CCEEFF"/>
          </w:tcPr>
          <w:p>
            <w:pPr>
              <w:spacing w:after="0"/>
              <w:rPr>
                <w:sz w:val="18"/>
                <w:szCs w:val="18"/>
                <w:color w:val="auto"/>
              </w:rPr>
            </w:pPr>
          </w:p>
        </w:tc>
        <w:tc>
          <w:tcPr>
            <w:tcW w:w="2880" w:type="dxa"/>
            <w:vAlign w:val="bottom"/>
            <w:tcBorders>
              <w:top w:val="single" w:sz="8" w:color="666666"/>
            </w:tcBorders>
            <w:shd w:val="clear" w:color="auto" w:fill="CCEEFF"/>
          </w:tcPr>
          <w:p>
            <w:pPr>
              <w:jc w:val="right"/>
              <w:ind w:right="1150"/>
              <w:spacing w:after="0"/>
              <w:rPr>
                <w:sz w:val="20"/>
                <w:szCs w:val="20"/>
                <w:color w:val="auto"/>
              </w:rPr>
            </w:pPr>
            <w:r>
              <w:rPr>
                <w:rFonts w:ascii="Times New Roman" w:cs="Times New Roman" w:eastAsia="Times New Roman" w:hAnsi="Times New Roman"/>
                <w:sz w:val="18"/>
                <w:szCs w:val="18"/>
                <w:color w:val="auto"/>
              </w:rPr>
              <w:t>4,173</w:t>
            </w:r>
          </w:p>
        </w:tc>
        <w:tc>
          <w:tcPr>
            <w:tcW w:w="180" w:type="dxa"/>
            <w:vAlign w:val="bottom"/>
            <w:tcBorders>
              <w:top w:val="single" w:sz="8" w:color="CCEEFF"/>
            </w:tcBorders>
            <w:shd w:val="clear" w:color="auto" w:fill="CCEEFF"/>
          </w:tcPr>
          <w:p>
            <w:pPr>
              <w:spacing w:after="0"/>
              <w:rPr>
                <w:sz w:val="18"/>
                <w:szCs w:val="18"/>
                <w:color w:val="auto"/>
              </w:rPr>
            </w:pPr>
          </w:p>
        </w:tc>
        <w:tc>
          <w:tcPr>
            <w:tcW w:w="2860" w:type="dxa"/>
            <w:vAlign w:val="bottom"/>
            <w:tcBorders>
              <w:top w:val="single" w:sz="8" w:color="666666"/>
            </w:tcBorders>
            <w:shd w:val="clear" w:color="auto" w:fill="CCEEFF"/>
          </w:tcPr>
          <w:p>
            <w:pPr>
              <w:jc w:val="right"/>
              <w:ind w:right="1310"/>
              <w:spacing w:after="0"/>
              <w:rPr>
                <w:sz w:val="20"/>
                <w:szCs w:val="20"/>
                <w:color w:val="auto"/>
              </w:rPr>
            </w:pPr>
            <w:r>
              <w:rPr>
                <w:rFonts w:ascii="Times New Roman" w:cs="Times New Roman" w:eastAsia="Times New Roman" w:hAnsi="Times New Roman"/>
                <w:sz w:val="18"/>
                <w:szCs w:val="18"/>
                <w:color w:val="auto"/>
              </w:rPr>
              <w:t>0</w:t>
            </w:r>
          </w:p>
        </w:tc>
      </w:tr>
    </w:tbl>
    <w:p>
      <w:pPr>
        <w:spacing w:after="0" w:line="194" w:lineRule="exact"/>
        <w:rPr>
          <w:sz w:val="20"/>
          <w:szCs w:val="20"/>
          <w:color w:val="auto"/>
        </w:rPr>
      </w:pPr>
    </w:p>
    <w:p>
      <w:pPr>
        <w:ind w:left="1060" w:right="20" w:hanging="647"/>
        <w:spacing w:after="0" w:line="286" w:lineRule="auto"/>
        <w:tabs>
          <w:tab w:leader="none" w:pos="10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Proposal No. 3E</w:t>
      </w:r>
      <w:r>
        <w:rPr>
          <w:rFonts w:ascii="Times New Roman" w:cs="Times New Roman" w:eastAsia="Times New Roman" w:hAnsi="Times New Roman"/>
          <w:sz w:val="18"/>
          <w:szCs w:val="18"/>
          <w:color w:val="auto"/>
        </w:rPr>
        <w:t> — The proposal to require an affirmative vote of 662∕3% of the voting power of all then outstanding shares of New Blaize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Common Stock to remove any individual director or the entire board of directors, was approved. The voting results were as follows: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140" w:type="dxa"/>
            <w:vAlign w:val="bottom"/>
          </w:tcPr>
          <w:p>
            <w:pPr>
              <w:spacing w:after="0"/>
              <w:rPr>
                <w:sz w:val="20"/>
                <w:szCs w:val="20"/>
                <w:color w:val="auto"/>
              </w:rPr>
            </w:pPr>
          </w:p>
        </w:tc>
        <w:tc>
          <w:tcPr>
            <w:tcW w:w="30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FOR</w:t>
            </w:r>
          </w:p>
        </w:tc>
        <w:tc>
          <w:tcPr>
            <w:tcW w:w="30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AGAINST</w:t>
            </w:r>
          </w:p>
        </w:tc>
        <w:tc>
          <w:tcPr>
            <w:tcW w:w="28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ABSTAIN</w:t>
            </w:r>
          </w:p>
        </w:tc>
        <w:tc>
          <w:tcPr>
            <w:tcW w:w="1120" w:type="dxa"/>
            <w:vAlign w:val="bottom"/>
          </w:tcPr>
          <w:p>
            <w:pPr>
              <w:spacing w:after="0"/>
              <w:rPr>
                <w:sz w:val="20"/>
                <w:szCs w:val="20"/>
                <w:color w:val="auto"/>
              </w:rPr>
            </w:pPr>
          </w:p>
        </w:tc>
      </w:tr>
      <w:tr>
        <w:trPr>
          <w:trHeight w:val="210"/>
        </w:trPr>
        <w:tc>
          <w:tcPr>
            <w:tcW w:w="1140" w:type="dxa"/>
            <w:vAlign w:val="bottom"/>
          </w:tcPr>
          <w:p>
            <w:pPr>
              <w:spacing w:after="0"/>
              <w:rPr>
                <w:sz w:val="18"/>
                <w:szCs w:val="18"/>
                <w:color w:val="auto"/>
              </w:rPr>
            </w:pPr>
          </w:p>
        </w:tc>
        <w:tc>
          <w:tcPr>
            <w:tcW w:w="2880" w:type="dxa"/>
            <w:vAlign w:val="bottom"/>
            <w:tcBorders>
              <w:top w:val="single" w:sz="8" w:color="666666"/>
            </w:tcBorders>
            <w:shd w:val="clear" w:color="auto" w:fill="CCEEFF"/>
          </w:tcPr>
          <w:p>
            <w:pPr>
              <w:jc w:val="right"/>
              <w:ind w:right="950"/>
              <w:spacing w:after="0"/>
              <w:rPr>
                <w:sz w:val="20"/>
                <w:szCs w:val="20"/>
                <w:color w:val="auto"/>
              </w:rPr>
            </w:pPr>
            <w:r>
              <w:rPr>
                <w:rFonts w:ascii="Times New Roman" w:cs="Times New Roman" w:eastAsia="Times New Roman" w:hAnsi="Times New Roman"/>
                <w:sz w:val="18"/>
                <w:szCs w:val="18"/>
                <w:color w:val="auto"/>
              </w:rPr>
              <w:t>13,256,553</w:t>
            </w:r>
          </w:p>
        </w:tc>
        <w:tc>
          <w:tcPr>
            <w:tcW w:w="180" w:type="dxa"/>
            <w:vAlign w:val="bottom"/>
            <w:tcBorders>
              <w:top w:val="single" w:sz="8" w:color="CCEEFF"/>
            </w:tcBorders>
            <w:shd w:val="clear" w:color="auto" w:fill="CCEEFF"/>
          </w:tcPr>
          <w:p>
            <w:pPr>
              <w:spacing w:after="0"/>
              <w:rPr>
                <w:sz w:val="18"/>
                <w:szCs w:val="18"/>
                <w:color w:val="auto"/>
              </w:rPr>
            </w:pPr>
          </w:p>
        </w:tc>
        <w:tc>
          <w:tcPr>
            <w:tcW w:w="2880" w:type="dxa"/>
            <w:vAlign w:val="bottom"/>
            <w:tcBorders>
              <w:top w:val="single" w:sz="8" w:color="666666"/>
            </w:tcBorders>
            <w:shd w:val="clear" w:color="auto" w:fill="CCEEFF"/>
          </w:tcPr>
          <w:p>
            <w:pPr>
              <w:jc w:val="right"/>
              <w:ind w:right="1150"/>
              <w:spacing w:after="0"/>
              <w:rPr>
                <w:sz w:val="20"/>
                <w:szCs w:val="20"/>
                <w:color w:val="auto"/>
              </w:rPr>
            </w:pPr>
            <w:r>
              <w:rPr>
                <w:rFonts w:ascii="Times New Roman" w:cs="Times New Roman" w:eastAsia="Times New Roman" w:hAnsi="Times New Roman"/>
                <w:sz w:val="18"/>
                <w:szCs w:val="18"/>
                <w:color w:val="auto"/>
              </w:rPr>
              <w:t>4,225</w:t>
            </w:r>
          </w:p>
        </w:tc>
        <w:tc>
          <w:tcPr>
            <w:tcW w:w="180" w:type="dxa"/>
            <w:vAlign w:val="bottom"/>
            <w:tcBorders>
              <w:top w:val="single" w:sz="8" w:color="CCEEFF"/>
            </w:tcBorders>
            <w:shd w:val="clear" w:color="auto" w:fill="CCEEFF"/>
          </w:tcPr>
          <w:p>
            <w:pPr>
              <w:spacing w:after="0"/>
              <w:rPr>
                <w:sz w:val="18"/>
                <w:szCs w:val="18"/>
                <w:color w:val="auto"/>
              </w:rPr>
            </w:pPr>
          </w:p>
        </w:tc>
        <w:tc>
          <w:tcPr>
            <w:tcW w:w="2860" w:type="dxa"/>
            <w:vAlign w:val="bottom"/>
            <w:tcBorders>
              <w:top w:val="single" w:sz="8" w:color="666666"/>
            </w:tcBorders>
            <w:shd w:val="clear" w:color="auto" w:fill="CCEEFF"/>
          </w:tcPr>
          <w:p>
            <w:pPr>
              <w:jc w:val="right"/>
              <w:ind w:right="1310"/>
              <w:spacing w:after="0"/>
              <w:rPr>
                <w:sz w:val="20"/>
                <w:szCs w:val="20"/>
                <w:color w:val="auto"/>
              </w:rPr>
            </w:pPr>
            <w:r>
              <w:rPr>
                <w:rFonts w:ascii="Times New Roman" w:cs="Times New Roman" w:eastAsia="Times New Roman" w:hAnsi="Times New Roman"/>
                <w:sz w:val="18"/>
                <w:szCs w:val="18"/>
                <w:color w:val="auto"/>
              </w:rPr>
              <w:t>0</w:t>
            </w:r>
          </w:p>
        </w:tc>
        <w:tc>
          <w:tcPr>
            <w:tcW w:w="1120" w:type="dxa"/>
            <w:vAlign w:val="bottom"/>
          </w:tcPr>
          <w:p>
            <w:pPr>
              <w:spacing w:after="0"/>
              <w:rPr>
                <w:sz w:val="18"/>
                <w:szCs w:val="18"/>
                <w:color w:val="auto"/>
              </w:rPr>
            </w:pPr>
          </w:p>
        </w:tc>
      </w:tr>
      <w:tr>
        <w:trPr>
          <w:trHeight w:val="675"/>
        </w:trPr>
        <w:tc>
          <w:tcPr>
            <w:tcW w:w="1140" w:type="dxa"/>
            <w:vAlign w:val="bottom"/>
            <w:tcBorders>
              <w:bottom w:val="single" w:sz="8" w:color="auto"/>
            </w:tcBorders>
          </w:tcPr>
          <w:p>
            <w:pPr>
              <w:spacing w:after="0"/>
              <w:rPr>
                <w:sz w:val="24"/>
                <w:szCs w:val="24"/>
                <w:color w:val="auto"/>
              </w:rPr>
            </w:pPr>
          </w:p>
        </w:tc>
        <w:tc>
          <w:tcPr>
            <w:tcW w:w="28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8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8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3" w:name="page4"/>
    <w:bookmarkEnd w:id="3"/>
    <w:p>
      <w:pPr>
        <w:jc w:val="both"/>
        <w:ind w:left="1060" w:hanging="647"/>
        <w:spacing w:after="0" w:line="268" w:lineRule="auto"/>
        <w:tabs>
          <w:tab w:leader="none" w:pos="10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Proposal No. 3F</w:t>
      </w:r>
      <w:r>
        <w:rPr>
          <w:rFonts w:ascii="Times New Roman" w:cs="Times New Roman" w:eastAsia="Times New Roman" w:hAnsi="Times New Roman"/>
          <w:sz w:val="18"/>
          <w:szCs w:val="18"/>
          <w:color w:val="auto"/>
        </w:rPr>
        <w:t> — The proposal to approve and adopt the Proposed Charter and the Proposed Bylaws to provide that special meetings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stockholders may be called only by or at the direction of the Board of Directors, the Chairperson of the Board of Directors, the Chief Executive Officer, or the President, was approved. The voting results were as follows:</w:t>
      </w:r>
    </w:p>
    <w:p>
      <w:pPr>
        <w:spacing w:after="0" w:line="171" w:lineRule="exact"/>
        <w:rPr>
          <w:sz w:val="20"/>
          <w:szCs w:val="20"/>
          <w:color w:val="auto"/>
        </w:rPr>
      </w:pPr>
    </w:p>
    <w:tbl>
      <w:tblPr>
        <w:tblLayout w:type="fixed"/>
        <w:tblInd w:w="1140" w:type="dxa"/>
        <w:tblCellMar>
          <w:top w:w="0" w:type="dxa"/>
          <w:left w:w="0" w:type="dxa"/>
          <w:bottom w:w="0" w:type="dxa"/>
          <w:right w:w="0" w:type="dxa"/>
        </w:tblCellMar>
      </w:tblPr>
      <w:tr>
        <w:trPr>
          <w:trHeight w:val="238"/>
        </w:trPr>
        <w:tc>
          <w:tcPr>
            <w:tcW w:w="30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FOR</w:t>
            </w:r>
          </w:p>
        </w:tc>
        <w:tc>
          <w:tcPr>
            <w:tcW w:w="30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AGAINST</w:t>
            </w:r>
          </w:p>
        </w:tc>
        <w:tc>
          <w:tcPr>
            <w:tcW w:w="28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ABSTAIN</w:t>
            </w:r>
          </w:p>
        </w:tc>
      </w:tr>
      <w:tr>
        <w:trPr>
          <w:trHeight w:val="209"/>
        </w:trPr>
        <w:tc>
          <w:tcPr>
            <w:tcW w:w="2880" w:type="dxa"/>
            <w:vAlign w:val="bottom"/>
            <w:tcBorders>
              <w:top w:val="single" w:sz="8" w:color="666666"/>
            </w:tcBorders>
            <w:shd w:val="clear" w:color="auto" w:fill="CCEEFF"/>
          </w:tcPr>
          <w:p>
            <w:pPr>
              <w:jc w:val="right"/>
              <w:ind w:right="950"/>
              <w:spacing w:after="0"/>
              <w:rPr>
                <w:sz w:val="20"/>
                <w:szCs w:val="20"/>
                <w:color w:val="auto"/>
              </w:rPr>
            </w:pPr>
            <w:r>
              <w:rPr>
                <w:rFonts w:ascii="Times New Roman" w:cs="Times New Roman" w:eastAsia="Times New Roman" w:hAnsi="Times New Roman"/>
                <w:sz w:val="18"/>
                <w:szCs w:val="18"/>
                <w:color w:val="auto"/>
              </w:rPr>
              <w:t>13,256,508</w:t>
            </w:r>
          </w:p>
        </w:tc>
        <w:tc>
          <w:tcPr>
            <w:tcW w:w="180" w:type="dxa"/>
            <w:vAlign w:val="bottom"/>
            <w:tcBorders>
              <w:top w:val="single" w:sz="8" w:color="CCEEFF"/>
            </w:tcBorders>
            <w:shd w:val="clear" w:color="auto" w:fill="CCEEFF"/>
          </w:tcPr>
          <w:p>
            <w:pPr>
              <w:spacing w:after="0"/>
              <w:rPr>
                <w:sz w:val="18"/>
                <w:szCs w:val="18"/>
                <w:color w:val="auto"/>
              </w:rPr>
            </w:pPr>
          </w:p>
        </w:tc>
        <w:tc>
          <w:tcPr>
            <w:tcW w:w="2880" w:type="dxa"/>
            <w:vAlign w:val="bottom"/>
            <w:tcBorders>
              <w:top w:val="single" w:sz="8" w:color="666666"/>
            </w:tcBorders>
            <w:shd w:val="clear" w:color="auto" w:fill="CCEEFF"/>
          </w:tcPr>
          <w:p>
            <w:pPr>
              <w:jc w:val="right"/>
              <w:ind w:right="1150"/>
              <w:spacing w:after="0"/>
              <w:rPr>
                <w:sz w:val="20"/>
                <w:szCs w:val="20"/>
                <w:color w:val="auto"/>
              </w:rPr>
            </w:pPr>
            <w:r>
              <w:rPr>
                <w:rFonts w:ascii="Times New Roman" w:cs="Times New Roman" w:eastAsia="Times New Roman" w:hAnsi="Times New Roman"/>
                <w:sz w:val="18"/>
                <w:szCs w:val="18"/>
                <w:color w:val="auto"/>
              </w:rPr>
              <w:t>4,270</w:t>
            </w:r>
          </w:p>
        </w:tc>
        <w:tc>
          <w:tcPr>
            <w:tcW w:w="180" w:type="dxa"/>
            <w:vAlign w:val="bottom"/>
            <w:tcBorders>
              <w:top w:val="single" w:sz="8" w:color="CCEEFF"/>
            </w:tcBorders>
            <w:shd w:val="clear" w:color="auto" w:fill="CCEEFF"/>
          </w:tcPr>
          <w:p>
            <w:pPr>
              <w:spacing w:after="0"/>
              <w:rPr>
                <w:sz w:val="18"/>
                <w:szCs w:val="18"/>
                <w:color w:val="auto"/>
              </w:rPr>
            </w:pPr>
          </w:p>
        </w:tc>
        <w:tc>
          <w:tcPr>
            <w:tcW w:w="2860" w:type="dxa"/>
            <w:vAlign w:val="bottom"/>
            <w:tcBorders>
              <w:top w:val="single" w:sz="8" w:color="666666"/>
            </w:tcBorders>
            <w:shd w:val="clear" w:color="auto" w:fill="CCEEFF"/>
          </w:tcPr>
          <w:p>
            <w:pPr>
              <w:jc w:val="right"/>
              <w:ind w:right="1310"/>
              <w:spacing w:after="0"/>
              <w:rPr>
                <w:sz w:val="20"/>
                <w:szCs w:val="20"/>
                <w:color w:val="auto"/>
              </w:rPr>
            </w:pPr>
            <w:r>
              <w:rPr>
                <w:rFonts w:ascii="Times New Roman" w:cs="Times New Roman" w:eastAsia="Times New Roman" w:hAnsi="Times New Roman"/>
                <w:sz w:val="18"/>
                <w:szCs w:val="18"/>
                <w:color w:val="auto"/>
              </w:rPr>
              <w:t>0</w:t>
            </w:r>
          </w:p>
        </w:tc>
      </w:tr>
    </w:tbl>
    <w:p>
      <w:pPr>
        <w:spacing w:after="0" w:line="200" w:lineRule="exact"/>
        <w:rPr>
          <w:sz w:val="20"/>
          <w:szCs w:val="20"/>
          <w:color w:val="auto"/>
        </w:rPr>
      </w:pPr>
    </w:p>
    <w:p>
      <w:pPr>
        <w:spacing w:after="0" w:line="210" w:lineRule="exact"/>
        <w:rPr>
          <w:sz w:val="20"/>
          <w:szCs w:val="20"/>
          <w:color w:val="auto"/>
        </w:rPr>
      </w:pPr>
    </w:p>
    <w:p>
      <w:pPr>
        <w:jc w:val="both"/>
        <w:ind w:left="740" w:hanging="476"/>
        <w:spacing w:after="0" w:line="268" w:lineRule="auto"/>
        <w:tabs>
          <w:tab w:leader="none" w:pos="7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Proposal No. 4 — The “Election of Directors Proposa</w:t>
      </w:r>
      <w:r>
        <w:rPr>
          <w:rFonts w:ascii="Times New Roman" w:cs="Times New Roman" w:eastAsia="Times New Roman" w:hAnsi="Times New Roman"/>
          <w:sz w:val="18"/>
          <w:szCs w:val="18"/>
          <w:color w:val="auto"/>
        </w:rPr>
        <w:t>l</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 The proposal to elect, effective at the Closing, seven (7) directors to serve on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New Blaize Board until the 2025 annual meeting of stockholders and until their respective successors are duly elected and qualified, was approved. The voting results were as follows:</w:t>
      </w:r>
    </w:p>
    <w:p>
      <w:pPr>
        <w:spacing w:after="0" w:line="171" w:lineRule="exact"/>
        <w:rPr>
          <w:sz w:val="20"/>
          <w:szCs w:val="20"/>
          <w:color w:val="auto"/>
        </w:rPr>
      </w:pPr>
    </w:p>
    <w:tbl>
      <w:tblPr>
        <w:tblLayout w:type="fixed"/>
        <w:tblInd w:w="1140" w:type="dxa"/>
        <w:tblCellMar>
          <w:top w:w="0" w:type="dxa"/>
          <w:left w:w="0" w:type="dxa"/>
          <w:bottom w:w="0" w:type="dxa"/>
          <w:right w:w="0" w:type="dxa"/>
        </w:tblCellMar>
      </w:tblPr>
      <w:tr>
        <w:trPr>
          <w:trHeight w:val="238"/>
        </w:trPr>
        <w:tc>
          <w:tcPr>
            <w:tcW w:w="30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FOR</w:t>
            </w:r>
          </w:p>
        </w:tc>
        <w:tc>
          <w:tcPr>
            <w:tcW w:w="30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AGAINST</w:t>
            </w:r>
          </w:p>
        </w:tc>
        <w:tc>
          <w:tcPr>
            <w:tcW w:w="28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ABSTAIN</w:t>
            </w:r>
          </w:p>
        </w:tc>
      </w:tr>
      <w:tr>
        <w:trPr>
          <w:trHeight w:val="210"/>
        </w:trPr>
        <w:tc>
          <w:tcPr>
            <w:tcW w:w="2880" w:type="dxa"/>
            <w:vAlign w:val="bottom"/>
            <w:tcBorders>
              <w:top w:val="single" w:sz="8" w:color="666666"/>
            </w:tcBorders>
            <w:shd w:val="clear" w:color="auto" w:fill="CCEEFF"/>
          </w:tcPr>
          <w:p>
            <w:pPr>
              <w:jc w:val="right"/>
              <w:ind w:right="950"/>
              <w:spacing w:after="0"/>
              <w:rPr>
                <w:sz w:val="20"/>
                <w:szCs w:val="20"/>
                <w:color w:val="auto"/>
              </w:rPr>
            </w:pPr>
            <w:r>
              <w:rPr>
                <w:rFonts w:ascii="Times New Roman" w:cs="Times New Roman" w:eastAsia="Times New Roman" w:hAnsi="Times New Roman"/>
                <w:sz w:val="18"/>
                <w:szCs w:val="18"/>
                <w:color w:val="auto"/>
              </w:rPr>
              <w:t>13,256,505</w:t>
            </w:r>
          </w:p>
        </w:tc>
        <w:tc>
          <w:tcPr>
            <w:tcW w:w="180" w:type="dxa"/>
            <w:vAlign w:val="bottom"/>
            <w:tcBorders>
              <w:top w:val="single" w:sz="8" w:color="CCEEFF"/>
            </w:tcBorders>
            <w:shd w:val="clear" w:color="auto" w:fill="CCEEFF"/>
          </w:tcPr>
          <w:p>
            <w:pPr>
              <w:spacing w:after="0"/>
              <w:rPr>
                <w:sz w:val="18"/>
                <w:szCs w:val="18"/>
                <w:color w:val="auto"/>
              </w:rPr>
            </w:pPr>
          </w:p>
        </w:tc>
        <w:tc>
          <w:tcPr>
            <w:tcW w:w="2880" w:type="dxa"/>
            <w:vAlign w:val="bottom"/>
            <w:tcBorders>
              <w:top w:val="single" w:sz="8" w:color="666666"/>
            </w:tcBorders>
            <w:shd w:val="clear" w:color="auto" w:fill="CCEEFF"/>
          </w:tcPr>
          <w:p>
            <w:pPr>
              <w:jc w:val="right"/>
              <w:ind w:right="1150"/>
              <w:spacing w:after="0"/>
              <w:rPr>
                <w:sz w:val="20"/>
                <w:szCs w:val="20"/>
                <w:color w:val="auto"/>
              </w:rPr>
            </w:pPr>
            <w:r>
              <w:rPr>
                <w:rFonts w:ascii="Times New Roman" w:cs="Times New Roman" w:eastAsia="Times New Roman" w:hAnsi="Times New Roman"/>
                <w:sz w:val="18"/>
                <w:szCs w:val="18"/>
                <w:color w:val="auto"/>
              </w:rPr>
              <w:t>4,173</w:t>
            </w:r>
          </w:p>
        </w:tc>
        <w:tc>
          <w:tcPr>
            <w:tcW w:w="180" w:type="dxa"/>
            <w:vAlign w:val="bottom"/>
            <w:tcBorders>
              <w:top w:val="single" w:sz="8" w:color="CCEEFF"/>
            </w:tcBorders>
            <w:shd w:val="clear" w:color="auto" w:fill="CCEEFF"/>
          </w:tcPr>
          <w:p>
            <w:pPr>
              <w:spacing w:after="0"/>
              <w:rPr>
                <w:sz w:val="18"/>
                <w:szCs w:val="18"/>
                <w:color w:val="auto"/>
              </w:rPr>
            </w:pPr>
          </w:p>
        </w:tc>
        <w:tc>
          <w:tcPr>
            <w:tcW w:w="2860" w:type="dxa"/>
            <w:vAlign w:val="bottom"/>
            <w:tcBorders>
              <w:top w:val="single" w:sz="8" w:color="666666"/>
            </w:tcBorders>
            <w:shd w:val="clear" w:color="auto" w:fill="CCEEFF"/>
          </w:tcPr>
          <w:p>
            <w:pPr>
              <w:jc w:val="right"/>
              <w:ind w:right="1210"/>
              <w:spacing w:after="0"/>
              <w:rPr>
                <w:sz w:val="20"/>
                <w:szCs w:val="20"/>
                <w:color w:val="auto"/>
              </w:rPr>
            </w:pPr>
            <w:r>
              <w:rPr>
                <w:rFonts w:ascii="Times New Roman" w:cs="Times New Roman" w:eastAsia="Times New Roman" w:hAnsi="Times New Roman"/>
                <w:sz w:val="18"/>
                <w:szCs w:val="18"/>
                <w:color w:val="auto"/>
              </w:rPr>
              <w:t>100</w:t>
            </w:r>
          </w:p>
        </w:tc>
      </w:tr>
    </w:tbl>
    <w:p>
      <w:pPr>
        <w:spacing w:after="0" w:line="194" w:lineRule="exact"/>
        <w:rPr>
          <w:sz w:val="20"/>
          <w:szCs w:val="20"/>
          <w:color w:val="auto"/>
        </w:rPr>
      </w:pPr>
    </w:p>
    <w:p>
      <w:pPr>
        <w:ind w:left="740" w:hanging="476"/>
        <w:spacing w:after="0" w:line="286" w:lineRule="auto"/>
        <w:tabs>
          <w:tab w:leader="none" w:pos="7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Proposal No. 5 — The “Equity Incentive Plan Proposal”</w:t>
      </w:r>
      <w:r>
        <w:rPr>
          <w:rFonts w:ascii="Times New Roman" w:cs="Times New Roman" w:eastAsia="Times New Roman" w:hAnsi="Times New Roman"/>
          <w:sz w:val="18"/>
          <w:szCs w:val="18"/>
          <w:color w:val="auto"/>
        </w:rPr>
        <w:t> — The proposal to approve and adopt the Blaize Holdings, Inc. 2024 Incentive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Award Plan, was approved. The voting results were as follows:</w:t>
      </w:r>
    </w:p>
    <w:p>
      <w:pPr>
        <w:spacing w:after="0" w:line="155" w:lineRule="exact"/>
        <w:rPr>
          <w:sz w:val="20"/>
          <w:szCs w:val="20"/>
          <w:color w:val="auto"/>
        </w:rPr>
      </w:pPr>
    </w:p>
    <w:tbl>
      <w:tblPr>
        <w:tblLayout w:type="fixed"/>
        <w:tblInd w:w="1140" w:type="dxa"/>
        <w:tblCellMar>
          <w:top w:w="0" w:type="dxa"/>
          <w:left w:w="0" w:type="dxa"/>
          <w:bottom w:w="0" w:type="dxa"/>
          <w:right w:w="0" w:type="dxa"/>
        </w:tblCellMar>
      </w:tblPr>
      <w:tr>
        <w:trPr>
          <w:trHeight w:val="238"/>
        </w:trPr>
        <w:tc>
          <w:tcPr>
            <w:tcW w:w="30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FOR</w:t>
            </w:r>
          </w:p>
        </w:tc>
        <w:tc>
          <w:tcPr>
            <w:tcW w:w="30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AGAINST</w:t>
            </w:r>
          </w:p>
        </w:tc>
        <w:tc>
          <w:tcPr>
            <w:tcW w:w="28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ABSTAIN</w:t>
            </w:r>
          </w:p>
        </w:tc>
      </w:tr>
      <w:tr>
        <w:trPr>
          <w:trHeight w:val="209"/>
        </w:trPr>
        <w:tc>
          <w:tcPr>
            <w:tcW w:w="2880" w:type="dxa"/>
            <w:vAlign w:val="bottom"/>
            <w:tcBorders>
              <w:top w:val="single" w:sz="8" w:color="666666"/>
            </w:tcBorders>
            <w:shd w:val="clear" w:color="auto" w:fill="CCEEFF"/>
          </w:tcPr>
          <w:p>
            <w:pPr>
              <w:jc w:val="right"/>
              <w:ind w:right="950"/>
              <w:spacing w:after="0"/>
              <w:rPr>
                <w:sz w:val="20"/>
                <w:szCs w:val="20"/>
                <w:color w:val="auto"/>
              </w:rPr>
            </w:pPr>
            <w:r>
              <w:rPr>
                <w:rFonts w:ascii="Times New Roman" w:cs="Times New Roman" w:eastAsia="Times New Roman" w:hAnsi="Times New Roman"/>
                <w:sz w:val="18"/>
                <w:szCs w:val="18"/>
                <w:color w:val="auto"/>
              </w:rPr>
              <w:t>13,254,454</w:t>
            </w:r>
          </w:p>
        </w:tc>
        <w:tc>
          <w:tcPr>
            <w:tcW w:w="180" w:type="dxa"/>
            <w:vAlign w:val="bottom"/>
            <w:tcBorders>
              <w:top w:val="single" w:sz="8" w:color="CCEEFF"/>
            </w:tcBorders>
            <w:shd w:val="clear" w:color="auto" w:fill="CCEEFF"/>
          </w:tcPr>
          <w:p>
            <w:pPr>
              <w:spacing w:after="0"/>
              <w:rPr>
                <w:sz w:val="18"/>
                <w:szCs w:val="18"/>
                <w:color w:val="auto"/>
              </w:rPr>
            </w:pPr>
          </w:p>
        </w:tc>
        <w:tc>
          <w:tcPr>
            <w:tcW w:w="2880" w:type="dxa"/>
            <w:vAlign w:val="bottom"/>
            <w:tcBorders>
              <w:top w:val="single" w:sz="8" w:color="666666"/>
            </w:tcBorders>
            <w:shd w:val="clear" w:color="auto" w:fill="CCEEFF"/>
          </w:tcPr>
          <w:p>
            <w:pPr>
              <w:jc w:val="right"/>
              <w:ind w:right="1150"/>
              <w:spacing w:after="0"/>
              <w:rPr>
                <w:sz w:val="20"/>
                <w:szCs w:val="20"/>
                <w:color w:val="auto"/>
              </w:rPr>
            </w:pPr>
            <w:r>
              <w:rPr>
                <w:rFonts w:ascii="Times New Roman" w:cs="Times New Roman" w:eastAsia="Times New Roman" w:hAnsi="Times New Roman"/>
                <w:sz w:val="18"/>
                <w:szCs w:val="18"/>
                <w:color w:val="auto"/>
              </w:rPr>
              <w:t>5,871</w:t>
            </w:r>
          </w:p>
        </w:tc>
        <w:tc>
          <w:tcPr>
            <w:tcW w:w="180" w:type="dxa"/>
            <w:vAlign w:val="bottom"/>
            <w:tcBorders>
              <w:top w:val="single" w:sz="8" w:color="CCEEFF"/>
            </w:tcBorders>
            <w:shd w:val="clear" w:color="auto" w:fill="CCEEFF"/>
          </w:tcPr>
          <w:p>
            <w:pPr>
              <w:spacing w:after="0"/>
              <w:rPr>
                <w:sz w:val="18"/>
                <w:szCs w:val="18"/>
                <w:color w:val="auto"/>
              </w:rPr>
            </w:pPr>
          </w:p>
        </w:tc>
        <w:tc>
          <w:tcPr>
            <w:tcW w:w="2860" w:type="dxa"/>
            <w:vAlign w:val="bottom"/>
            <w:tcBorders>
              <w:top w:val="single" w:sz="8" w:color="666666"/>
            </w:tcBorders>
            <w:shd w:val="clear" w:color="auto" w:fill="CCEEFF"/>
          </w:tcPr>
          <w:p>
            <w:pPr>
              <w:jc w:val="right"/>
              <w:ind w:right="1210"/>
              <w:spacing w:after="0"/>
              <w:rPr>
                <w:sz w:val="20"/>
                <w:szCs w:val="20"/>
                <w:color w:val="auto"/>
              </w:rPr>
            </w:pPr>
            <w:r>
              <w:rPr>
                <w:rFonts w:ascii="Times New Roman" w:cs="Times New Roman" w:eastAsia="Times New Roman" w:hAnsi="Times New Roman"/>
                <w:sz w:val="18"/>
                <w:szCs w:val="18"/>
                <w:color w:val="auto"/>
              </w:rPr>
              <w:t>453</w:t>
            </w:r>
          </w:p>
        </w:tc>
      </w:tr>
    </w:tbl>
    <w:p>
      <w:pPr>
        <w:spacing w:after="0" w:line="194" w:lineRule="exact"/>
        <w:rPr>
          <w:sz w:val="20"/>
          <w:szCs w:val="20"/>
          <w:color w:val="auto"/>
        </w:rPr>
      </w:pPr>
    </w:p>
    <w:p>
      <w:pPr>
        <w:ind w:left="740" w:hanging="476"/>
        <w:spacing w:after="0" w:line="286" w:lineRule="auto"/>
        <w:tabs>
          <w:tab w:leader="none" w:pos="7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Proposal No. 6 — The “Employee Stock Purchase Plan Proposal”</w:t>
      </w:r>
      <w:r>
        <w:rPr>
          <w:rFonts w:ascii="Times New Roman" w:cs="Times New Roman" w:eastAsia="Times New Roman" w:hAnsi="Times New Roman"/>
          <w:sz w:val="18"/>
          <w:szCs w:val="18"/>
          <w:color w:val="auto"/>
        </w:rPr>
        <w:t> — The proposal to approve and adopt the Blaize Holdings, Inc. 2024</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Employee Stock Purchase Plan, was approved. The voting results were as follows:</w:t>
      </w:r>
    </w:p>
    <w:p>
      <w:pPr>
        <w:spacing w:after="0" w:line="155" w:lineRule="exact"/>
        <w:rPr>
          <w:sz w:val="20"/>
          <w:szCs w:val="20"/>
          <w:color w:val="auto"/>
        </w:rPr>
      </w:pPr>
    </w:p>
    <w:tbl>
      <w:tblPr>
        <w:tblLayout w:type="fixed"/>
        <w:tblInd w:w="1140" w:type="dxa"/>
        <w:tblCellMar>
          <w:top w:w="0" w:type="dxa"/>
          <w:left w:w="0" w:type="dxa"/>
          <w:bottom w:w="0" w:type="dxa"/>
          <w:right w:w="0" w:type="dxa"/>
        </w:tblCellMar>
      </w:tblPr>
      <w:tr>
        <w:trPr>
          <w:trHeight w:val="238"/>
        </w:trPr>
        <w:tc>
          <w:tcPr>
            <w:tcW w:w="30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FOR</w:t>
            </w:r>
          </w:p>
        </w:tc>
        <w:tc>
          <w:tcPr>
            <w:tcW w:w="30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AGAINST</w:t>
            </w:r>
          </w:p>
        </w:tc>
        <w:tc>
          <w:tcPr>
            <w:tcW w:w="28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ABSTAIN</w:t>
            </w:r>
          </w:p>
        </w:tc>
      </w:tr>
      <w:tr>
        <w:trPr>
          <w:trHeight w:val="209"/>
        </w:trPr>
        <w:tc>
          <w:tcPr>
            <w:tcW w:w="2880" w:type="dxa"/>
            <w:vAlign w:val="bottom"/>
            <w:tcBorders>
              <w:top w:val="single" w:sz="8" w:color="666666"/>
            </w:tcBorders>
            <w:shd w:val="clear" w:color="auto" w:fill="CCEEFF"/>
          </w:tcPr>
          <w:p>
            <w:pPr>
              <w:jc w:val="right"/>
              <w:ind w:right="950"/>
              <w:spacing w:after="0"/>
              <w:rPr>
                <w:sz w:val="20"/>
                <w:szCs w:val="20"/>
                <w:color w:val="auto"/>
              </w:rPr>
            </w:pPr>
            <w:r>
              <w:rPr>
                <w:rFonts w:ascii="Times New Roman" w:cs="Times New Roman" w:eastAsia="Times New Roman" w:hAnsi="Times New Roman"/>
                <w:sz w:val="18"/>
                <w:szCs w:val="18"/>
                <w:color w:val="auto"/>
              </w:rPr>
              <w:t>13,256,239</w:t>
            </w:r>
          </w:p>
        </w:tc>
        <w:tc>
          <w:tcPr>
            <w:tcW w:w="180" w:type="dxa"/>
            <w:vAlign w:val="bottom"/>
            <w:tcBorders>
              <w:top w:val="single" w:sz="8" w:color="CCEEFF"/>
            </w:tcBorders>
            <w:shd w:val="clear" w:color="auto" w:fill="CCEEFF"/>
          </w:tcPr>
          <w:p>
            <w:pPr>
              <w:spacing w:after="0"/>
              <w:rPr>
                <w:sz w:val="18"/>
                <w:szCs w:val="18"/>
                <w:color w:val="auto"/>
              </w:rPr>
            </w:pPr>
          </w:p>
        </w:tc>
        <w:tc>
          <w:tcPr>
            <w:tcW w:w="2880" w:type="dxa"/>
            <w:vAlign w:val="bottom"/>
            <w:tcBorders>
              <w:top w:val="single" w:sz="8" w:color="666666"/>
            </w:tcBorders>
            <w:shd w:val="clear" w:color="auto" w:fill="CCEEFF"/>
          </w:tcPr>
          <w:p>
            <w:pPr>
              <w:jc w:val="right"/>
              <w:ind w:right="1150"/>
              <w:spacing w:after="0"/>
              <w:rPr>
                <w:sz w:val="20"/>
                <w:szCs w:val="20"/>
                <w:color w:val="auto"/>
              </w:rPr>
            </w:pPr>
            <w:r>
              <w:rPr>
                <w:rFonts w:ascii="Times New Roman" w:cs="Times New Roman" w:eastAsia="Times New Roman" w:hAnsi="Times New Roman"/>
                <w:sz w:val="18"/>
                <w:szCs w:val="18"/>
                <w:color w:val="auto"/>
              </w:rPr>
              <w:t>4,086</w:t>
            </w:r>
          </w:p>
        </w:tc>
        <w:tc>
          <w:tcPr>
            <w:tcW w:w="180" w:type="dxa"/>
            <w:vAlign w:val="bottom"/>
            <w:tcBorders>
              <w:top w:val="single" w:sz="8" w:color="CCEEFF"/>
            </w:tcBorders>
            <w:shd w:val="clear" w:color="auto" w:fill="CCEEFF"/>
          </w:tcPr>
          <w:p>
            <w:pPr>
              <w:spacing w:after="0"/>
              <w:rPr>
                <w:sz w:val="18"/>
                <w:szCs w:val="18"/>
                <w:color w:val="auto"/>
              </w:rPr>
            </w:pPr>
          </w:p>
        </w:tc>
        <w:tc>
          <w:tcPr>
            <w:tcW w:w="2860" w:type="dxa"/>
            <w:vAlign w:val="bottom"/>
            <w:tcBorders>
              <w:top w:val="single" w:sz="8" w:color="666666"/>
            </w:tcBorders>
            <w:shd w:val="clear" w:color="auto" w:fill="CCEEFF"/>
          </w:tcPr>
          <w:p>
            <w:pPr>
              <w:jc w:val="right"/>
              <w:ind w:right="1210"/>
              <w:spacing w:after="0"/>
              <w:rPr>
                <w:sz w:val="20"/>
                <w:szCs w:val="20"/>
                <w:color w:val="auto"/>
              </w:rPr>
            </w:pPr>
            <w:r>
              <w:rPr>
                <w:rFonts w:ascii="Times New Roman" w:cs="Times New Roman" w:eastAsia="Times New Roman" w:hAnsi="Times New Roman"/>
                <w:sz w:val="18"/>
                <w:szCs w:val="18"/>
                <w:color w:val="auto"/>
              </w:rPr>
              <w:t>453</w:t>
            </w:r>
          </w:p>
        </w:tc>
      </w:tr>
    </w:tbl>
    <w:p>
      <w:pPr>
        <w:spacing w:after="0" w:line="194" w:lineRule="exact"/>
        <w:rPr>
          <w:sz w:val="20"/>
          <w:szCs w:val="20"/>
          <w:color w:val="auto"/>
        </w:rPr>
      </w:pPr>
    </w:p>
    <w:p>
      <w:pPr>
        <w:jc w:val="both"/>
        <w:ind w:left="740" w:hanging="476"/>
        <w:spacing w:after="0" w:line="268" w:lineRule="auto"/>
        <w:tabs>
          <w:tab w:leader="none" w:pos="7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Proposal No. 7 — The “Nasdaq Proposal”</w:t>
      </w:r>
      <w:r>
        <w:rPr>
          <w:rFonts w:ascii="Times New Roman" w:cs="Times New Roman" w:eastAsia="Times New Roman" w:hAnsi="Times New Roman"/>
          <w:sz w:val="18"/>
          <w:szCs w:val="18"/>
          <w:color w:val="auto"/>
        </w:rPr>
        <w:t> — The proposal to approve, for purposes of complying with the applicable listing rules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Nasdaq Stock Market LLC, the issuance of shares of BurTech Class A Common Stock pursuant to the Merger Agreement in connection with the Business Combination, was approved. The voting results were as follows: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140" w:type="dxa"/>
            <w:vAlign w:val="bottom"/>
          </w:tcPr>
          <w:p>
            <w:pPr>
              <w:spacing w:after="0"/>
              <w:rPr>
                <w:sz w:val="20"/>
                <w:szCs w:val="20"/>
                <w:color w:val="auto"/>
              </w:rPr>
            </w:pPr>
          </w:p>
        </w:tc>
        <w:tc>
          <w:tcPr>
            <w:tcW w:w="30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FOR</w:t>
            </w:r>
          </w:p>
        </w:tc>
        <w:tc>
          <w:tcPr>
            <w:tcW w:w="30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AGAINST</w:t>
            </w:r>
          </w:p>
        </w:tc>
        <w:tc>
          <w:tcPr>
            <w:tcW w:w="28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ABSTAIN</w:t>
            </w:r>
          </w:p>
        </w:tc>
        <w:tc>
          <w:tcPr>
            <w:tcW w:w="1120" w:type="dxa"/>
            <w:vAlign w:val="bottom"/>
          </w:tcPr>
          <w:p>
            <w:pPr>
              <w:spacing w:after="0"/>
              <w:rPr>
                <w:sz w:val="20"/>
                <w:szCs w:val="20"/>
                <w:color w:val="auto"/>
              </w:rPr>
            </w:pPr>
          </w:p>
        </w:tc>
      </w:tr>
      <w:tr>
        <w:trPr>
          <w:trHeight w:val="210"/>
        </w:trPr>
        <w:tc>
          <w:tcPr>
            <w:tcW w:w="1140" w:type="dxa"/>
            <w:vAlign w:val="bottom"/>
          </w:tcPr>
          <w:p>
            <w:pPr>
              <w:spacing w:after="0"/>
              <w:rPr>
                <w:sz w:val="18"/>
                <w:szCs w:val="18"/>
                <w:color w:val="auto"/>
              </w:rPr>
            </w:pPr>
          </w:p>
        </w:tc>
        <w:tc>
          <w:tcPr>
            <w:tcW w:w="2880" w:type="dxa"/>
            <w:vAlign w:val="bottom"/>
            <w:tcBorders>
              <w:top w:val="single" w:sz="8" w:color="666666"/>
            </w:tcBorders>
            <w:shd w:val="clear" w:color="auto" w:fill="CCEEFF"/>
          </w:tcPr>
          <w:p>
            <w:pPr>
              <w:jc w:val="right"/>
              <w:ind w:right="950"/>
              <w:spacing w:after="0"/>
              <w:rPr>
                <w:sz w:val="20"/>
                <w:szCs w:val="20"/>
                <w:color w:val="auto"/>
              </w:rPr>
            </w:pPr>
            <w:r>
              <w:rPr>
                <w:rFonts w:ascii="Times New Roman" w:cs="Times New Roman" w:eastAsia="Times New Roman" w:hAnsi="Times New Roman"/>
                <w:sz w:val="18"/>
                <w:szCs w:val="18"/>
                <w:color w:val="auto"/>
              </w:rPr>
              <w:t>13,256,692</w:t>
            </w:r>
          </w:p>
        </w:tc>
        <w:tc>
          <w:tcPr>
            <w:tcW w:w="180" w:type="dxa"/>
            <w:vAlign w:val="bottom"/>
            <w:tcBorders>
              <w:top w:val="single" w:sz="8" w:color="CCEEFF"/>
            </w:tcBorders>
            <w:shd w:val="clear" w:color="auto" w:fill="CCEEFF"/>
          </w:tcPr>
          <w:p>
            <w:pPr>
              <w:spacing w:after="0"/>
              <w:rPr>
                <w:sz w:val="18"/>
                <w:szCs w:val="18"/>
                <w:color w:val="auto"/>
              </w:rPr>
            </w:pPr>
          </w:p>
        </w:tc>
        <w:tc>
          <w:tcPr>
            <w:tcW w:w="2880" w:type="dxa"/>
            <w:vAlign w:val="bottom"/>
            <w:tcBorders>
              <w:top w:val="single" w:sz="8" w:color="666666"/>
            </w:tcBorders>
            <w:shd w:val="clear" w:color="auto" w:fill="CCEEFF"/>
          </w:tcPr>
          <w:p>
            <w:pPr>
              <w:jc w:val="right"/>
              <w:ind w:right="1150"/>
              <w:spacing w:after="0"/>
              <w:rPr>
                <w:sz w:val="20"/>
                <w:szCs w:val="20"/>
                <w:color w:val="auto"/>
              </w:rPr>
            </w:pPr>
            <w:r>
              <w:rPr>
                <w:rFonts w:ascii="Times New Roman" w:cs="Times New Roman" w:eastAsia="Times New Roman" w:hAnsi="Times New Roman"/>
                <w:sz w:val="18"/>
                <w:szCs w:val="18"/>
                <w:color w:val="auto"/>
              </w:rPr>
              <w:t>4,086</w:t>
            </w:r>
          </w:p>
        </w:tc>
        <w:tc>
          <w:tcPr>
            <w:tcW w:w="180" w:type="dxa"/>
            <w:vAlign w:val="bottom"/>
            <w:tcBorders>
              <w:top w:val="single" w:sz="8" w:color="CCEEFF"/>
            </w:tcBorders>
            <w:shd w:val="clear" w:color="auto" w:fill="CCEEFF"/>
          </w:tcPr>
          <w:p>
            <w:pPr>
              <w:spacing w:after="0"/>
              <w:rPr>
                <w:sz w:val="18"/>
                <w:szCs w:val="18"/>
                <w:color w:val="auto"/>
              </w:rPr>
            </w:pPr>
          </w:p>
        </w:tc>
        <w:tc>
          <w:tcPr>
            <w:tcW w:w="2860" w:type="dxa"/>
            <w:vAlign w:val="bottom"/>
            <w:tcBorders>
              <w:top w:val="single" w:sz="8" w:color="666666"/>
            </w:tcBorders>
            <w:shd w:val="clear" w:color="auto" w:fill="CCEEFF"/>
          </w:tcPr>
          <w:p>
            <w:pPr>
              <w:jc w:val="right"/>
              <w:ind w:right="1310"/>
              <w:spacing w:after="0"/>
              <w:rPr>
                <w:sz w:val="20"/>
                <w:szCs w:val="20"/>
                <w:color w:val="auto"/>
              </w:rPr>
            </w:pPr>
            <w:r>
              <w:rPr>
                <w:rFonts w:ascii="Times New Roman" w:cs="Times New Roman" w:eastAsia="Times New Roman" w:hAnsi="Times New Roman"/>
                <w:sz w:val="18"/>
                <w:szCs w:val="18"/>
                <w:color w:val="auto"/>
              </w:rPr>
              <w:t>0</w:t>
            </w:r>
          </w:p>
        </w:tc>
        <w:tc>
          <w:tcPr>
            <w:tcW w:w="1120" w:type="dxa"/>
            <w:vAlign w:val="bottom"/>
          </w:tcPr>
          <w:p>
            <w:pPr>
              <w:spacing w:after="0"/>
              <w:rPr>
                <w:sz w:val="18"/>
                <w:szCs w:val="18"/>
                <w:color w:val="auto"/>
              </w:rPr>
            </w:pPr>
          </w:p>
        </w:tc>
      </w:tr>
      <w:tr>
        <w:trPr>
          <w:trHeight w:val="675"/>
        </w:trPr>
        <w:tc>
          <w:tcPr>
            <w:tcW w:w="1140" w:type="dxa"/>
            <w:vAlign w:val="bottom"/>
            <w:tcBorders>
              <w:bottom w:val="single" w:sz="8" w:color="auto"/>
            </w:tcBorders>
          </w:tcPr>
          <w:p>
            <w:pPr>
              <w:spacing w:after="0"/>
              <w:rPr>
                <w:sz w:val="24"/>
                <w:szCs w:val="24"/>
                <w:color w:val="auto"/>
              </w:rPr>
            </w:pPr>
          </w:p>
        </w:tc>
        <w:tc>
          <w:tcPr>
            <w:tcW w:w="28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8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8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 Exhibits:</w:t>
      </w:r>
    </w:p>
    <w:p>
      <w:pPr>
        <w:spacing w:after="0" w:line="248" w:lineRule="exact"/>
        <w:rPr>
          <w:sz w:val="20"/>
          <w:szCs w:val="20"/>
          <w:color w:val="auto"/>
        </w:rPr>
      </w:pPr>
    </w:p>
    <w:p>
      <w:pPr>
        <w:ind w:left="40"/>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Exhibit</w:t>
      </w:r>
      <w:r>
        <w:rPr>
          <w:sz w:val="20"/>
          <w:szCs w:val="20"/>
          <w:color w:val="auto"/>
        </w:rPr>
        <w:tab/>
      </w:r>
      <w:r>
        <w:rPr>
          <w:rFonts w:ascii="Times New Roman" w:cs="Times New Roman" w:eastAsia="Times New Roman" w:hAnsi="Times New Roman"/>
          <w:sz w:val="18"/>
          <w:szCs w:val="18"/>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19685</wp:posOffset>
            </wp:positionV>
            <wp:extent cx="709803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098030" cy="8255"/>
                    </a:xfrm>
                    <a:prstGeom prst="rect">
                      <a:avLst/>
                    </a:prstGeom>
                    <a:noFill/>
                  </pic:spPr>
                </pic:pic>
              </a:graphicData>
            </a:graphic>
          </wp:anchor>
        </w:drawing>
      </w:r>
    </w:p>
    <w:p>
      <w:pPr>
        <w:spacing w:after="0" w:line="34" w:lineRule="exact"/>
        <w:rPr>
          <w:sz w:val="20"/>
          <w:szCs w:val="20"/>
          <w:color w:val="auto"/>
        </w:rPr>
      </w:pPr>
    </w:p>
    <w:p>
      <w:pPr>
        <w:ind w:left="40"/>
        <w:spacing w:after="0"/>
        <w:tabs>
          <w:tab w:leader="none" w:pos="960" w:val="left"/>
        </w:tabs>
        <w:rPr>
          <w:sz w:val="20"/>
          <w:szCs w:val="20"/>
          <w:color w:val="auto"/>
        </w:rPr>
      </w:pPr>
      <w:r>
        <w:rPr>
          <w:rFonts w:ascii="Times New Roman" w:cs="Times New Roman" w:eastAsia="Times New Roman" w:hAnsi="Times New Roman"/>
          <w:sz w:val="17"/>
          <w:szCs w:val="17"/>
          <w:color w:val="auto"/>
        </w:rPr>
        <w:t>104</w:t>
      </w:r>
      <w:r>
        <w:rPr>
          <w:sz w:val="20"/>
          <w:szCs w:val="20"/>
          <w:color w:val="auto"/>
        </w:rPr>
        <w:tab/>
      </w:r>
      <w:r>
        <w:rPr>
          <w:rFonts w:ascii="Times New Roman" w:cs="Times New Roman" w:eastAsia="Times New Roman" w:hAnsi="Times New Roman"/>
          <w:sz w:val="17"/>
          <w:szCs w:val="17"/>
          <w:color w:val="auto"/>
        </w:rPr>
        <w:t>Cover Page Interactive Data File - the cover page XBRL tags are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470535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900" w:right="1440"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BURTECH ACQUISITION CORP.</w:t>
      </w:r>
    </w:p>
    <w:p>
      <w:pPr>
        <w:spacing w:after="0" w:line="229"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Shahal Khan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3939540</wp:posOffset>
            </wp:positionH>
            <wp:positionV relativeFrom="paragraph">
              <wp:posOffset>17145</wp:posOffset>
            </wp:positionV>
            <wp:extent cx="319722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197225" cy="8890"/>
                    </a:xfrm>
                    <a:prstGeom prst="rect">
                      <a:avLst/>
                    </a:prstGeom>
                    <a:noFill/>
                  </pic:spPr>
                </pic:pic>
              </a:graphicData>
            </a:graphic>
          </wp:anchor>
        </w:drawing>
      </w:r>
    </w:p>
    <w:p>
      <w:pPr>
        <w:spacing w:after="0" w:line="7"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Name: Shahal Khan</w:t>
      </w:r>
    </w:p>
    <w:p>
      <w:pPr>
        <w:spacing w:after="0" w:line="23" w:lineRule="exact"/>
        <w:rPr>
          <w:sz w:val="20"/>
          <w:szCs w:val="20"/>
          <w:color w:val="auto"/>
        </w:rPr>
      </w:pPr>
    </w:p>
    <w:p>
      <w:pPr>
        <w:ind w:left="6200"/>
        <w:spacing w:after="0"/>
        <w:tabs>
          <w:tab w:leader="none" w:pos="674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Executive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December 30,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9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41B71EFB"/>
    <w:multiLevelType w:val="hybridMultilevel"/>
    <w:lvl w:ilvl="0">
      <w:lvlJc w:val="left"/>
      <w:lvlText w:val="☐"/>
      <w:numFmt w:val="bullet"/>
      <w:start w:val="1"/>
    </w:lvl>
  </w:abstractNum>
  <w:abstractNum w:abstractNumId="1">
    <w:nsid w:val="79E2A9E3"/>
    <w:multiLevelType w:val="hybridMultilevel"/>
    <w:lvl w:ilvl="0">
      <w:lvlJc w:val="left"/>
      <w:lvlText w:val="%1."/>
      <w:numFmt w:val="decimal"/>
      <w:start w:val="1"/>
    </w:lvl>
  </w:abstractNum>
  <w:abstractNum w:abstractNumId="2">
    <w:nsid w:val="7545E146"/>
    <w:multiLevelType w:val="hybridMultilevel"/>
    <w:lvl w:ilvl="0">
      <w:lvlJc w:val="left"/>
      <w:lvlText w:val="%1."/>
      <w:numFmt w:val="decimal"/>
      <w:start w:val="2"/>
    </w:lvl>
  </w:abstractNum>
  <w:abstractNum w:abstractNumId="3">
    <w:nsid w:val="515F007C"/>
    <w:multiLevelType w:val="hybridMultilevel"/>
    <w:lvl w:ilvl="0">
      <w:lvlJc w:val="left"/>
      <w:lvlText w:val="%1."/>
      <w:numFmt w:val="decimal"/>
      <w:start w:val="3"/>
    </w:lvl>
    <w:lvl w:ilvl="1">
      <w:lvlJc w:val="left"/>
      <w:lvlText w:val="·"/>
      <w:numFmt w:val="bullet"/>
      <w:start w:val="1"/>
    </w:lvl>
  </w:abstractNum>
  <w:abstractNum w:abstractNumId="4">
    <w:nsid w:val="5BD062C2"/>
    <w:multiLevelType w:val="hybridMultilevel"/>
    <w:lvl w:ilvl="0">
      <w:lvlJc w:val="left"/>
      <w:lvlText w:val="·"/>
      <w:numFmt w:val="bullet"/>
      <w:start w:val="1"/>
    </w:lvl>
  </w:abstractNum>
  <w:abstractNum w:abstractNumId="5">
    <w:nsid w:val="12200854"/>
    <w:multiLevelType w:val="hybridMultilevel"/>
    <w:lvl w:ilvl="0">
      <w:lvlJc w:val="left"/>
      <w:lvlText w:val="·"/>
      <w:numFmt w:val="bullet"/>
      <w:start w:val="1"/>
    </w:lvl>
  </w:abstractNum>
  <w:abstractNum w:abstractNumId="6">
    <w:nsid w:val="4DB127F8"/>
    <w:multiLevelType w:val="hybridMultilevel"/>
    <w:lvl w:ilvl="0">
      <w:lvlJc w:val="left"/>
      <w:lvlText w:val="·"/>
      <w:numFmt w:val="bullet"/>
      <w:start w:val="1"/>
    </w:lvl>
  </w:abstractNum>
  <w:abstractNum w:abstractNumId="7">
    <w:nsid w:val="216231B"/>
    <w:multiLevelType w:val="hybridMultilevel"/>
    <w:lvl w:ilvl="0">
      <w:lvlJc w:val="left"/>
      <w:lvlText w:val="·"/>
      <w:numFmt w:val="bullet"/>
      <w:start w:val="1"/>
    </w:lvl>
  </w:abstractNum>
  <w:abstractNum w:abstractNumId="8">
    <w:nsid w:val="1F16E9E8"/>
    <w:multiLevelType w:val="hybridMultilevel"/>
    <w:lvl w:ilvl="0">
      <w:lvlJc w:val="left"/>
      <w:lvlText w:val="·"/>
      <w:numFmt w:val="bullet"/>
      <w:start w:val="1"/>
    </w:lvl>
  </w:abstractNum>
  <w:abstractNum w:abstractNumId="9">
    <w:nsid w:val="1190CDE7"/>
    <w:multiLevelType w:val="hybridMultilevel"/>
    <w:lvl w:ilvl="0">
      <w:lvlJc w:val="left"/>
      <w:lvlText w:val="%1."/>
      <w:numFmt w:val="decimal"/>
      <w:start w:val="4"/>
    </w:lvl>
  </w:abstractNum>
  <w:abstractNum w:abstractNumId="10">
    <w:nsid w:val="66EF438D"/>
    <w:multiLevelType w:val="hybridMultilevel"/>
    <w:lvl w:ilvl="0">
      <w:lvlJc w:val="left"/>
      <w:lvlText w:val="%1."/>
      <w:numFmt w:val="decimal"/>
      <w:start w:val="5"/>
    </w:lvl>
  </w:abstractNum>
  <w:abstractNum w:abstractNumId="11">
    <w:nsid w:val="140E0F76"/>
    <w:multiLevelType w:val="hybridMultilevel"/>
    <w:lvl w:ilvl="0">
      <w:lvlJc w:val="left"/>
      <w:lvlText w:val="%1."/>
      <w:numFmt w:val="decimal"/>
      <w:start w:val="6"/>
    </w:lvl>
  </w:abstractNum>
  <w:abstractNum w:abstractNumId="12">
    <w:nsid w:val="3352255A"/>
    <w:multiLevelType w:val="hybridMultilevel"/>
    <w:lvl w:ilvl="0">
      <w:lvlJc w:val="left"/>
      <w:lvlText w:val="%1."/>
      <w:numFmt w:val="decimal"/>
      <w:start w:val="7"/>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2024-12-30T15:12:19Z</dcterms:created>
  <dcterms:modified xsi:type="dcterms:W3CDTF">2024-12-30T15:12:19Z</dcterms:modified>
</cp:coreProperties>
</file>