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47901.xml.htm"/>
      <w:bookmarkStart w:id="1" w:name="kswkform4_1783647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Bess Lane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BLAIZE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4659 GOLDEN FOOTHILL PARKWAY, SUITE 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DORADO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95762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Blaize Holdings, Inc.</w:t>
              </w:r>
            </w:hyperlink>
            <w:r>
              <w:rPr/>
              <w:t xml:space="preserve"> [ </w:t>
            </w:r>
            <w:r>
              <w:rPr>
                <w:rFonts w:ascii="Times;serif" w:hAnsi="Times;serif"/>
                <w:color w:val="0000FF"/>
                <w:sz w:val="24"/>
                <w:shd w:fill="FFFFFF" w:val="clear"/>
              </w:rPr>
              <w:t>BZAI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0"/>
        <w:gridCol w:w="917"/>
        <w:gridCol w:w="788"/>
        <w:gridCol w:w="608"/>
        <w:gridCol w:w="336"/>
        <w:gridCol w:w="1150"/>
        <w:gridCol w:w="411"/>
        <w:gridCol w:w="578"/>
        <w:gridCol w:w="1336"/>
        <w:gridCol w:w="953"/>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14,446,783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Bess Ventures and Advisory, LLC</w:t>
            </w:r>
            <w:r>
              <w:rPr>
                <w:rFonts w:ascii="Times;serif" w:hAnsi="Times;serif"/>
                <w:color w:val="008000"/>
                <w:position w:val="7"/>
                <w:sz w:val="16"/>
                <w:sz w:val="20"/>
                <w:shd w:fill="FFFFFF" w:val="clear"/>
              </w:rPr>
              <w:t>(2)</w:t>
            </w:r>
            <w:r>
              <w:rPr/>
              <w:t xml:space="preserve"> </w:t>
            </w:r>
          </w:p>
        </w:tc>
      </w:tr>
      <w:tr>
        <w:trPr/>
        <w:tc>
          <w:tcPr>
            <w:tcW w:w="19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389,968</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Destin Huang Irrevocable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Bess Ventures and Advisory, LLC ("Bess Ventures") in settlement of a certain disagreement between the Issuer and Bess Ventures related to a letter agreement dated February 15, 2024, and matters arising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managing member and owner of Bess Ventures and therefore may be deemed to share beneficial ownership over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held by the Coral Gables Trust Company, as Trustee of the Destin Huang Irrevocable Trust Dated October 19, 2021 (the "Trust"). The reporting person is the Investment Fiduciary of the Trust and therefore may be deemed to share beneficial ownership over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Bess Ventures and Advisory, LLC files separate Section 16 reports from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Harminder Sehmi,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3859" TargetMode="External"/><Relationship Id="rId5" Type="http://schemas.openxmlformats.org/officeDocument/2006/relationships/hyperlink" Target="http://www.sec.gov/cgi-bin/browse-edgar?action=getcompany&amp;CIK=00018716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3822</Characters>
  <CharactersWithSpaces>4459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