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Fir Tree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595,288</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595,288</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595,288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7.48%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Fir Tree Capital Management LP</w:t>
      </w:r>
      <w:r>
        <w:rPr>
          <w:rFonts w:ascii="Times New Roman" w:cs="Times New Roman" w:eastAsia="Times New Roman" w:hAnsi="Times New Roman"/>
          <w:sz w:val="18"/>
          <w:szCs w:val="18"/>
          <w:color w:val="auto"/>
        </w:rPr>
        <w:t xml:space="preserve"> a Delaware limited partnership, located at 500 5th Avenue, 9th Floor, New York, New York 10110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Common Stock, par value $0.0001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123013104</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2023, is incorporated by reference to items (5) - (9) and (11) of the cover page for the Reporting Person.</w:t>
      </w:r>
    </w:p>
    <w:p>
      <w:pPr>
        <w:spacing w:after="0" w:line="54"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the Reporting Person is determined based on 7,960,203 shares of Common Stock outstanding as of November 13, 2023, as the Issuer reported in its Form 10-Q filed with the SEC on November 14,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63"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 Tree Capital Management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Brian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Brian Meyer, General Counsel</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2024-02-14T17:25:44Z</dcterms:created>
  <dcterms:modified xsi:type="dcterms:W3CDTF">2024-02-14T17:25:44Z</dcterms:modified>
</cp:coreProperties>
</file>