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January 7,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BURTECH ACQUISITION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140" w:type="dxa"/>
            <w:vAlign w:val="bottom"/>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400" w:type="dxa"/>
            <w:vAlign w:val="bottom"/>
            <w:gridSpan w:val="3"/>
          </w:tcPr>
          <w:p>
            <w:pPr>
              <w:jc w:val="right"/>
              <w:ind w:right="1310"/>
              <w:spacing w:after="0"/>
              <w:rPr>
                <w:sz w:val="20"/>
                <w:szCs w:val="20"/>
                <w:color w:val="auto"/>
              </w:rPr>
            </w:pPr>
            <w:r>
              <w:rPr>
                <w:rFonts w:ascii="Times New Roman" w:cs="Times New Roman" w:eastAsia="Times New Roman" w:hAnsi="Times New Roman"/>
                <w:sz w:val="18"/>
                <w:szCs w:val="18"/>
                <w:b w:val="1"/>
                <w:bCs w:val="1"/>
                <w:color w:val="auto"/>
              </w:rPr>
              <w:t>001-41139</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94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rPr>
              <w:t>86-2708752</w:t>
            </w:r>
          </w:p>
        </w:tc>
      </w:tr>
      <w:tr>
        <w:trPr>
          <w:trHeight w:val="198"/>
        </w:trPr>
        <w:tc>
          <w:tcPr>
            <w:tcW w:w="3140" w:type="dxa"/>
            <w:vAlign w:val="bottom"/>
            <w:tcBorders>
              <w:top w:val="single" w:sz="8" w:color="auto"/>
            </w:tcBorders>
          </w:tcPr>
          <w:p>
            <w:pPr>
              <w:jc w:val="center"/>
              <w:ind w:left="610"/>
              <w:spacing w:after="0" w:line="198" w:lineRule="exact"/>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State or other jurisdiction</w:t>
            </w:r>
          </w:p>
        </w:tc>
        <w:tc>
          <w:tcPr>
            <w:tcW w:w="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(Commission File Number)</w:t>
            </w:r>
          </w:p>
        </w:tc>
        <w:tc>
          <w:tcPr>
            <w:tcW w:w="1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940" w:type="dxa"/>
            <w:vAlign w:val="bottom"/>
            <w:tcBorders>
              <w:top w:val="single" w:sz="8" w:color="auto"/>
            </w:tcBorders>
          </w:tcPr>
          <w:p>
            <w:pPr>
              <w:jc w:val="center"/>
              <w:ind w:right="55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14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rPr>
              <w:t>of incorporation)</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94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6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3529 Porter St</w:t>
            </w:r>
          </w:p>
        </w:tc>
        <w:tc>
          <w:tcPr>
            <w:tcW w:w="2940" w:type="dxa"/>
            <w:vAlign w:val="bottom"/>
          </w:tcPr>
          <w:p>
            <w:pPr>
              <w:spacing w:after="0"/>
              <w:rPr>
                <w:sz w:val="24"/>
                <w:szCs w:val="24"/>
                <w:color w:val="auto"/>
              </w:rPr>
            </w:pPr>
          </w:p>
        </w:tc>
      </w:tr>
      <w:tr>
        <w:trPr>
          <w:trHeight w:val="220"/>
        </w:trPr>
        <w:tc>
          <w:tcPr>
            <w:tcW w:w="3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36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Washington, DC 20016</w:t>
            </w:r>
          </w:p>
        </w:tc>
        <w:tc>
          <w:tcPr>
            <w:tcW w:w="2940" w:type="dxa"/>
            <w:vAlign w:val="bottom"/>
          </w:tcPr>
          <w:p>
            <w:pPr>
              <w:spacing w:after="0"/>
              <w:rPr>
                <w:sz w:val="19"/>
                <w:szCs w:val="19"/>
                <w:color w:val="auto"/>
              </w:rPr>
            </w:pPr>
          </w:p>
        </w:tc>
      </w:tr>
      <w:tr>
        <w:trPr>
          <w:trHeight w:val="234"/>
        </w:trPr>
        <w:tc>
          <w:tcPr>
            <w:tcW w:w="3140" w:type="dxa"/>
            <w:vAlign w:val="bottom"/>
          </w:tcPr>
          <w:p>
            <w:pPr>
              <w:spacing w:after="0"/>
              <w:rPr>
                <w:sz w:val="20"/>
                <w:szCs w:val="20"/>
                <w:color w:val="auto"/>
              </w:rPr>
            </w:pPr>
          </w:p>
        </w:tc>
        <w:tc>
          <w:tcPr>
            <w:tcW w:w="516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2940" w:type="dxa"/>
            <w:vAlign w:val="bottom"/>
          </w:tcPr>
          <w:p>
            <w:pPr>
              <w:spacing w:after="0"/>
              <w:rPr>
                <w:sz w:val="20"/>
                <w:szCs w:val="20"/>
                <w:color w:val="auto"/>
              </w:rPr>
            </w:pPr>
          </w:p>
        </w:tc>
      </w:tr>
      <w:tr>
        <w:trPr>
          <w:trHeight w:val="414"/>
        </w:trPr>
        <w:tc>
          <w:tcPr>
            <w:tcW w:w="3140" w:type="dxa"/>
            <w:vAlign w:val="bottom"/>
          </w:tcPr>
          <w:p>
            <w:pPr>
              <w:spacing w:after="0"/>
              <w:rPr>
                <w:sz w:val="24"/>
                <w:szCs w:val="24"/>
                <w:color w:val="auto"/>
              </w:rPr>
            </w:pPr>
          </w:p>
        </w:tc>
        <w:tc>
          <w:tcPr>
            <w:tcW w:w="440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202) 600-5757</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34"/>
        </w:trPr>
        <w:tc>
          <w:tcPr>
            <w:tcW w:w="3140" w:type="dxa"/>
            <w:vAlign w:val="bottom"/>
          </w:tcPr>
          <w:p>
            <w:pPr>
              <w:spacing w:after="0"/>
              <w:rPr>
                <w:sz w:val="20"/>
                <w:szCs w:val="20"/>
                <w:color w:val="auto"/>
              </w:rPr>
            </w:pPr>
          </w:p>
        </w:tc>
        <w:tc>
          <w:tcPr>
            <w:tcW w:w="5160" w:type="dxa"/>
            <w:vAlign w:val="bottom"/>
            <w:gridSpan w:val="5"/>
          </w:tcPr>
          <w:p>
            <w:pPr>
              <w:ind w:left="60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2940" w:type="dxa"/>
            <w:vAlign w:val="bottom"/>
          </w:tcPr>
          <w:p>
            <w:pPr>
              <w:spacing w:after="0"/>
              <w:rPr>
                <w:sz w:val="20"/>
                <w:szCs w:val="20"/>
                <w:color w:val="auto"/>
              </w:rPr>
            </w:pPr>
          </w:p>
        </w:tc>
      </w:tr>
      <w:tr>
        <w:trPr>
          <w:trHeight w:val="414"/>
        </w:trPr>
        <w:tc>
          <w:tcPr>
            <w:tcW w:w="3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6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c>
          <w:tcPr>
            <w:tcW w:w="2940" w:type="dxa"/>
            <w:vAlign w:val="bottom"/>
          </w:tcPr>
          <w:p>
            <w:pPr>
              <w:spacing w:after="0"/>
              <w:rPr>
                <w:sz w:val="24"/>
                <w:szCs w:val="24"/>
                <w:color w:val="auto"/>
              </w:rPr>
            </w:pPr>
          </w:p>
        </w:tc>
      </w:tr>
      <w:tr>
        <w:trPr>
          <w:trHeight w:val="234"/>
        </w:trPr>
        <w:tc>
          <w:tcPr>
            <w:tcW w:w="3140" w:type="dxa"/>
            <w:vAlign w:val="bottom"/>
          </w:tcPr>
          <w:p>
            <w:pPr>
              <w:spacing w:after="0"/>
              <w:rPr>
                <w:sz w:val="20"/>
                <w:szCs w:val="20"/>
                <w:color w:val="auto"/>
              </w:rPr>
            </w:pPr>
          </w:p>
        </w:tc>
        <w:tc>
          <w:tcPr>
            <w:tcW w:w="516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2940" w:type="dxa"/>
            <w:vAlign w:val="bottom"/>
          </w:tcPr>
          <w:p>
            <w:pPr>
              <w:spacing w:after="0"/>
              <w:rPr>
                <w:sz w:val="20"/>
                <w:szCs w:val="20"/>
                <w:color w:val="auto"/>
              </w:rPr>
            </w:pPr>
          </w:p>
        </w:tc>
      </w:tr>
    </w:tbl>
    <w:p>
      <w:pPr>
        <w:spacing w:after="0" w:line="198" w:lineRule="exact"/>
        <w:rPr>
          <w:sz w:val="24"/>
          <w:szCs w:val="24"/>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560" w:right="2860" w:hanging="3552"/>
        <w:spacing w:after="0" w:line="498" w:lineRule="auto"/>
        <w:tabs>
          <w:tab w:leader="none" w:pos="35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4620" w:type="dxa"/>
            <w:vAlign w:val="bottom"/>
            <w:gridSpan w:val="2"/>
          </w:tcPr>
          <w:p>
            <w:pPr>
              <w:ind w:left="15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191"/>
        </w:trPr>
        <w:tc>
          <w:tcPr>
            <w:tcW w:w="450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w w:val="99"/>
              </w:rPr>
              <w:t>Units, each consisting of one share of Class A Common Stock</w:t>
            </w:r>
          </w:p>
        </w:tc>
        <w:tc>
          <w:tcPr>
            <w:tcW w:w="120" w:type="dxa"/>
            <w:vAlign w:val="bottom"/>
            <w:tcBorders>
              <w:top w:val="single" w:sz="8" w:color="CCEEFF"/>
            </w:tcBorders>
            <w:shd w:val="clear" w:color="auto" w:fill="CCEEFF"/>
          </w:tcPr>
          <w:p>
            <w:pPr>
              <w:spacing w:after="0"/>
              <w:rPr>
                <w:sz w:val="16"/>
                <w:szCs w:val="16"/>
                <w:color w:val="auto"/>
              </w:rPr>
            </w:pPr>
          </w:p>
        </w:tc>
        <w:tc>
          <w:tcPr>
            <w:tcW w:w="224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BRKHU</w:t>
            </w:r>
          </w:p>
        </w:tc>
        <w:tc>
          <w:tcPr>
            <w:tcW w:w="120" w:type="dxa"/>
            <w:vAlign w:val="bottom"/>
            <w:tcBorders>
              <w:top w:val="single" w:sz="8" w:color="CCEEFF"/>
            </w:tcBorders>
            <w:shd w:val="clear" w:color="auto" w:fill="CCEEFF"/>
          </w:tcPr>
          <w:p>
            <w:pPr>
              <w:spacing w:after="0"/>
              <w:rPr>
                <w:sz w:val="16"/>
                <w:szCs w:val="16"/>
                <w:color w:val="auto"/>
              </w:rPr>
            </w:pPr>
          </w:p>
        </w:tc>
        <w:tc>
          <w:tcPr>
            <w:tcW w:w="426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OTC Markets Group, Inc.</w:t>
            </w:r>
          </w:p>
        </w:tc>
      </w:tr>
      <w:tr>
        <w:trPr>
          <w:trHeight w:val="234"/>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one Redeemable Warrant</w:t>
            </w:r>
          </w:p>
        </w:tc>
        <w:tc>
          <w:tcPr>
            <w:tcW w:w="2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60" w:type="dxa"/>
            <w:vAlign w:val="bottom"/>
            <w:shd w:val="clear" w:color="auto" w:fill="CCEEFF"/>
          </w:tcPr>
          <w:p>
            <w:pPr>
              <w:spacing w:after="0"/>
              <w:rPr>
                <w:sz w:val="20"/>
                <w:szCs w:val="20"/>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Common Stock, par value $0.0001 per share</w:t>
            </w:r>
          </w:p>
        </w:tc>
        <w:tc>
          <w:tcPr>
            <w:tcW w:w="23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BRKH</w:t>
            </w:r>
          </w:p>
        </w:tc>
        <w:tc>
          <w:tcPr>
            <w:tcW w:w="4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OTC Markets Group, Inc.</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198"/>
        </w:trPr>
        <w:tc>
          <w:tcPr>
            <w:tcW w:w="46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Warrants, each exercisable for one share of Class A Common</w:t>
            </w:r>
          </w:p>
        </w:tc>
        <w:tc>
          <w:tcPr>
            <w:tcW w:w="236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8"/>
              </w:rPr>
              <w:t>BRKHW</w:t>
            </w:r>
          </w:p>
        </w:tc>
        <w:tc>
          <w:tcPr>
            <w:tcW w:w="42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OTC Markets Group, Inc.</w:t>
            </w:r>
          </w:p>
        </w:tc>
      </w:tr>
      <w:tr>
        <w:trPr>
          <w:trHeight w:val="234"/>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for $11.50 per share</w:t>
            </w:r>
          </w:p>
        </w:tc>
        <w:tc>
          <w:tcPr>
            <w:tcW w:w="2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60" w:type="dxa"/>
            <w:vAlign w:val="bottom"/>
            <w:shd w:val="clear" w:color="auto" w:fill="CCEEFF"/>
          </w:tcPr>
          <w:p>
            <w:pPr>
              <w:spacing w:after="0"/>
              <w:rPr>
                <w:sz w:val="20"/>
                <w:szCs w:val="20"/>
                <w:color w:val="auto"/>
              </w:rPr>
            </w:pP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225"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previously disclosed, on December 22, 2023, BurTech Acquisition Corp.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BurTech</w:t>
      </w:r>
      <w:r>
        <w:rPr>
          <w:rFonts w:ascii="Times New Roman" w:cs="Times New Roman" w:eastAsia="Times New Roman" w:hAnsi="Times New Roman"/>
          <w:sz w:val="18"/>
          <w:szCs w:val="18"/>
          <w:color w:val="auto"/>
        </w:rPr>
        <w:t>”), BurTech Merger Sub Inc., a Delaware corporation and a direct, wholly owned subsidiary of the Company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Blaize, Inc., a Delaware corporation (“</w:t>
      </w:r>
      <w:r>
        <w:rPr>
          <w:rFonts w:ascii="Times New Roman" w:cs="Times New Roman" w:eastAsia="Times New Roman" w:hAnsi="Times New Roman"/>
          <w:sz w:val="18"/>
          <w:szCs w:val="18"/>
          <w:b w:val="1"/>
          <w:bCs w:val="1"/>
          <w:color w:val="auto"/>
        </w:rPr>
        <w:t>Blaize</w:t>
      </w:r>
      <w:r>
        <w:rPr>
          <w:rFonts w:ascii="Times New Roman" w:cs="Times New Roman" w:eastAsia="Times New Roman" w:hAnsi="Times New Roman"/>
          <w:sz w:val="18"/>
          <w:szCs w:val="18"/>
          <w:color w:val="auto"/>
        </w:rPr>
        <w:t>”), and for the limited purposes set forth therein, Burkhan Capital LLC, a Delaware limited liability company and affiliate of the Company (“</w:t>
      </w:r>
      <w:r>
        <w:rPr>
          <w:rFonts w:ascii="Times New Roman" w:cs="Times New Roman" w:eastAsia="Times New Roman" w:hAnsi="Times New Roman"/>
          <w:sz w:val="18"/>
          <w:szCs w:val="18"/>
          <w:b w:val="1"/>
          <w:bCs w:val="1"/>
          <w:color w:val="auto"/>
        </w:rPr>
        <w:t>Burkhan</w:t>
      </w:r>
      <w:r>
        <w:rPr>
          <w:rFonts w:ascii="Times New Roman" w:cs="Times New Roman" w:eastAsia="Times New Roman" w:hAnsi="Times New Roman"/>
          <w:sz w:val="18"/>
          <w:szCs w:val="18"/>
          <w:color w:val="auto"/>
        </w:rPr>
        <w:t>”), entered into an Agreement and Plan of Merger (as amended on April 22, 2024, October 24, 2024 and November 21, 2024, and as may be further amended and/or amended and restated, the “Merger Agreement”), pursuant to which Merger Sub will merge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xml:space="preserve"> ”) with and into Blaize, whereupon the separate corporate existence of Merger Sub will cease and Blaize will be the surviving company and continue in existence as a wholly owned subsidiary of the Company, on the terms and subject to the conditions set forth therein (collectively with the other transactions described in the Merger Agreement, the “</w:t>
      </w:r>
      <w:r>
        <w:rPr>
          <w:rFonts w:ascii="Times New Roman" w:cs="Times New Roman" w:eastAsia="Times New Roman" w:hAnsi="Times New Roman"/>
          <w:sz w:val="18"/>
          <w:szCs w:val="18"/>
          <w:b w:val="1"/>
          <w:b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Combination</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From December 31, 2024 through January 6, 2025, BurTech and Blaize entered into subscription agreements (the “</w:t>
      </w:r>
      <w:r>
        <w:rPr>
          <w:rFonts w:ascii="Times New Roman" w:cs="Times New Roman" w:eastAsia="Times New Roman" w:hAnsi="Times New Roman"/>
          <w:sz w:val="18"/>
          <w:szCs w:val="18"/>
          <w:b w:val="1"/>
          <w:bCs w:val="1"/>
          <w:color w:val="auto"/>
        </w:rPr>
        <w:t>PIPE Subscription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Agreements</w:t>
      </w:r>
      <w:r>
        <w:rPr>
          <w:rFonts w:ascii="Times New Roman" w:cs="Times New Roman" w:eastAsia="Times New Roman" w:hAnsi="Times New Roman"/>
          <w:sz w:val="18"/>
          <w:szCs w:val="18"/>
          <w:color w:val="auto"/>
        </w:rPr>
        <w:t>”) with certain unaffiliated third-party investors and Burkhan Capital LLC (each, a “</w:t>
      </w:r>
      <w:r>
        <w:rPr>
          <w:rFonts w:ascii="Times New Roman" w:cs="Times New Roman" w:eastAsia="Times New Roman" w:hAnsi="Times New Roman"/>
          <w:sz w:val="18"/>
          <w:szCs w:val="18"/>
          <w:b w:val="1"/>
          <w:bCs w:val="1"/>
          <w:color w:val="auto"/>
        </w:rPr>
        <w:t>PIPE Investor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PIPE Investors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which, among other things, the Company has agreed to issue and sell to the PIPE Investors, and the PIPE Investors have agreed to subscribe for and purchase 1,450,000 shares of the Company’s common stock, par value $0.0001 per share (“</w:t>
      </w:r>
      <w:r>
        <w:rPr>
          <w:rFonts w:ascii="Times New Roman" w:cs="Times New Roman" w:eastAsia="Times New Roman" w:hAnsi="Times New Roman"/>
          <w:sz w:val="18"/>
          <w:szCs w:val="18"/>
          <w:b w:val="1"/>
          <w:bCs w:val="1"/>
          <w:color w:val="auto"/>
        </w:rPr>
        <w:t>PIPE Shares</w:t>
      </w:r>
      <w:r>
        <w:rPr>
          <w:rFonts w:ascii="Times New Roman" w:cs="Times New Roman" w:eastAsia="Times New Roman" w:hAnsi="Times New Roman"/>
          <w:sz w:val="18"/>
          <w:szCs w:val="18"/>
          <w:color w:val="auto"/>
        </w:rPr>
        <w:t>”) at a purchase price of $10.00 per share for an aggregate purchase price of $14,500,000, in a private placement.</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The transactions contemplated by the PIPE Subscription Agreement (the “</w:t>
      </w:r>
      <w:r>
        <w:rPr>
          <w:rFonts w:ascii="Times New Roman" w:cs="Times New Roman" w:eastAsia="Times New Roman" w:hAnsi="Times New Roman"/>
          <w:sz w:val="18"/>
          <w:szCs w:val="18"/>
          <w:b w:val="1"/>
          <w:bCs w:val="1"/>
          <w:color w:val="auto"/>
        </w:rPr>
        <w:t>PIPE Investment</w:t>
      </w:r>
      <w:r>
        <w:rPr>
          <w:rFonts w:ascii="Times New Roman" w:cs="Times New Roman" w:eastAsia="Times New Roman" w:hAnsi="Times New Roman"/>
          <w:sz w:val="18"/>
          <w:szCs w:val="18"/>
          <w:color w:val="auto"/>
        </w:rPr>
        <w:t>”) are expected to consummate substantially concurrently with the Closing (as defined below).</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purpose of the PIPE Investment is to raise additional capital for use by the Company following the closing of the Business Combination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The PIPE Subscription Agreements contain customary representations and warranties of each of BurTech, Blaize and the PIPE Investors, and customary conditions to closing, including the consummation of the Business Combination and listing of the shares of the post-combination company on Nasdaq Global Market. Under the terms of the PIPE Subscription Agreements, the Company is obligated to file a registration statement to register for the resale of all the PIPE Shares within forty-five (45) calendar days of the Closing (the “</w:t>
      </w:r>
      <w:r>
        <w:rPr>
          <w:rFonts w:ascii="Times New Roman" w:cs="Times New Roman" w:eastAsia="Times New Roman" w:hAnsi="Times New Roman"/>
          <w:sz w:val="18"/>
          <w:szCs w:val="18"/>
          <w:b w:val="1"/>
          <w:bCs w:val="1"/>
          <w:color w:val="auto"/>
        </w:rPr>
        <w:t>Filing Deadline</w:t>
      </w:r>
      <w:r>
        <w:rPr>
          <w:rFonts w:ascii="Times New Roman" w:cs="Times New Roman" w:eastAsia="Times New Roman" w:hAnsi="Times New Roman"/>
          <w:sz w:val="18"/>
          <w:szCs w:val="18"/>
          <w:color w:val="auto"/>
        </w:rPr>
        <w:t>”), and to use its commercially reasonable efforts to cause such registration statement to become effective as soon as practicable after the filing there of.</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securities sold in connection with the PIPE Investment were sold under the exemption from registration under the Securities Act in reliance upon Section 4(a)(2) of the Securities Act or Regulation D promulgated thereunder as a transaction by an issuer not involving any public offering.</w:t>
      </w:r>
    </w:p>
    <w:p>
      <w:pPr>
        <w:spacing w:after="0" w:line="162"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A form of the PIPE Subscription Agreement is filed as Exhibit 10.1 to this Current Report on Form 8-K and is incorporated herein by reference. The disclosures set forth in this Item 1.01 are intended to be summaries only and are qualified in their entirety by reference to the form of the PIPE Subscription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 of Equity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disclosure set forth above in Item 1.01 of this Current Report on Form 8-K is incorporated by reference herein.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 Exhibits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exhibits are being filed herewith:</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00" w:type="dxa"/>
            <w:vAlign w:val="bottom"/>
            <w:gridSpan w:val="2"/>
          </w:tcPr>
          <w:p>
            <w:pPr>
              <w:ind w:left="45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320" w:type="dxa"/>
            <w:vAlign w:val="bottom"/>
            <w:tcBorders>
              <w:top w:val="single" w:sz="8" w:color="auto"/>
              <w:bottom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p>
        </w:tc>
        <w:tc>
          <w:tcPr>
            <w:tcW w:w="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920" w:type="dxa"/>
            <w:vAlign w:val="bottom"/>
            <w:tcBorders>
              <w:top w:val="single" w:sz="8" w:color="auto"/>
              <w:bottom w:val="single" w:sz="8" w:color="0000EE"/>
            </w:tcBorders>
          </w:tcPr>
          <w:p>
            <w:pPr>
              <w:ind w:left="20"/>
              <w:spacing w:after="0" w:line="176" w:lineRule="exact"/>
              <w:rPr>
                <w:sz w:val="20"/>
                <w:szCs w:val="20"/>
                <w:color w:val="auto"/>
              </w:rPr>
            </w:pPr>
            <w:r>
              <w:rPr>
                <w:rFonts w:ascii="Times New Roman" w:cs="Times New Roman" w:eastAsia="Times New Roman" w:hAnsi="Times New Roman"/>
                <w:sz w:val="18"/>
                <w:szCs w:val="18"/>
                <w:color w:val="0000EE"/>
                <w:w w:val="99"/>
              </w:rPr>
              <w:t>Form of PIPE Subscription Agreement by and among BurTech Acquisition Corp., Blaize, Inc. and the undersigned PIPE Investor thereto.</w:t>
            </w:r>
          </w:p>
        </w:tc>
        <w:tc>
          <w:tcPr>
            <w:tcW w:w="80" w:type="dxa"/>
            <w:vAlign w:val="bottom"/>
            <w:tcBorders>
              <w:top w:val="single" w:sz="8" w:color="auto"/>
            </w:tcBorders>
          </w:tcPr>
          <w:p>
            <w:pPr>
              <w:spacing w:after="0"/>
              <w:rPr>
                <w:sz w:val="15"/>
                <w:szCs w:val="15"/>
                <w:color w:val="auto"/>
              </w:rPr>
            </w:pPr>
          </w:p>
        </w:tc>
      </w:tr>
    </w:tbl>
    <w:p>
      <w:pPr>
        <w:spacing w:after="0" w:line="9" w:lineRule="exact"/>
        <w:rPr>
          <w:sz w:val="20"/>
          <w:szCs w:val="20"/>
          <w:color w:val="auto"/>
        </w:rPr>
      </w:pPr>
    </w:p>
    <w:p>
      <w:pPr>
        <w:ind w:left="1260" w:hanging="1252"/>
        <w:spacing w:after="0"/>
        <w:tabs>
          <w:tab w:leader="none" w:pos="1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Shahal Khan</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7,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Final Form</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SUBSCRIPTION AGREEMENT</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SUBSCRIPTION AGREEMENT (this “</w:t>
      </w:r>
      <w:r>
        <w:rPr>
          <w:rFonts w:ascii="Times New Roman" w:cs="Times New Roman" w:eastAsia="Times New Roman" w:hAnsi="Times New Roman"/>
          <w:sz w:val="18"/>
          <w:szCs w:val="18"/>
          <w:u w:val="single" w:color="auto"/>
          <w:color w:val="auto"/>
        </w:rPr>
        <w:t>Subscription Agreement</w:t>
      </w:r>
      <w:r>
        <w:rPr>
          <w:rFonts w:ascii="Times New Roman" w:cs="Times New Roman" w:eastAsia="Times New Roman" w:hAnsi="Times New Roman"/>
          <w:sz w:val="18"/>
          <w:szCs w:val="18"/>
          <w:color w:val="auto"/>
        </w:rPr>
        <w:t>”) is entered into on [ · ], by and among BurTech Acquisition Corp.,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Blaize, Inc., a Delaware corporation (“</w:t>
      </w:r>
      <w:r>
        <w:rPr>
          <w:rFonts w:ascii="Times New Roman" w:cs="Times New Roman" w:eastAsia="Times New Roman" w:hAnsi="Times New Roman"/>
          <w:sz w:val="18"/>
          <w:szCs w:val="18"/>
          <w:u w:val="single" w:color="auto"/>
          <w:color w:val="auto"/>
        </w:rPr>
        <w:t>Blaize</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Target</w:t>
      </w:r>
      <w:r>
        <w:rPr>
          <w:rFonts w:ascii="Times New Roman" w:cs="Times New Roman" w:eastAsia="Times New Roman" w:hAnsi="Times New Roman"/>
          <w:sz w:val="18"/>
          <w:szCs w:val="18"/>
          <w:color w:val="auto"/>
        </w:rPr>
        <w:t>”), and the undersigned subscriber (“</w:t>
      </w:r>
      <w:r>
        <w:rPr>
          <w:rFonts w:ascii="Times New Roman" w:cs="Times New Roman" w:eastAsia="Times New Roman" w:hAnsi="Times New Roman"/>
          <w:sz w:val="18"/>
          <w:szCs w:val="18"/>
          <w:u w:val="single" w:color="auto"/>
          <w:color w:val="auto"/>
        </w:rPr>
        <w:t>Subscriber</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WHEREAS, in connection with the Agreement and Plan of Merger, dated as of December 22, 2023, as amended on April 22, 2024, October 24, 2024 and November 21, 2024 (as may be amended, supplemented or otherwise modified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the Company, Blaize, BurTech Merger Sub Inc., a Delaware corporation and a direct wholly owned subsidiary of the Company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solely for the limited purposes set forth therein, Burkhan Capital LLC, a Delaware limited liability company, are entering into transactions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pursuant to which the Company will merge with and into Merger Sub, with the Company being the surviving entity and becoming a wholly owned subsidiary of BurTech. In connection with the consummation of the Transactions, the Company will change its corporate name to “Blaize Holdings, Inc.” (“</w:t>
      </w:r>
      <w:r>
        <w:rPr>
          <w:rFonts w:ascii="Times New Roman" w:cs="Times New Roman" w:eastAsia="Times New Roman" w:hAnsi="Times New Roman"/>
          <w:sz w:val="18"/>
          <w:szCs w:val="18"/>
          <w:u w:val="single" w:color="auto"/>
          <w:color w:val="auto"/>
        </w:rPr>
        <w:t>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Blaize</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WHEREAS, prior to the consummation of the Transactions, certain stockholders of the Company elected to redeem public shares of the Company’s Class A common stock, par value $0.0001 per share (the “</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in connection with the special meeting of the stockholders of the Company to vote on the proposals relating to the Transactions set forth in the proxy statement (the “</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initially filed with the U.S.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on November 26, 2024, as amended from time to time (the total number of shares of Common Stock that are irrevocably and validly elected to be redeemed, the “</w:t>
      </w:r>
      <w:r>
        <w:rPr>
          <w:rFonts w:ascii="Times New Roman" w:cs="Times New Roman" w:eastAsia="Times New Roman" w:hAnsi="Times New Roman"/>
          <w:sz w:val="18"/>
          <w:szCs w:val="18"/>
          <w:u w:val="single" w:color="auto"/>
          <w:color w:val="auto"/>
        </w:rPr>
        <w:t>Redeemed Shares</w:t>
      </w:r>
      <w:r>
        <w:rPr>
          <w:rFonts w:ascii="Times New Roman" w:cs="Times New Roman" w:eastAsia="Times New Roman" w:hAnsi="Times New Roman"/>
          <w:sz w:val="18"/>
          <w:szCs w:val="18"/>
          <w:color w:val="auto"/>
        </w:rPr>
        <w:t>”); and</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WHEREAS, in connection with the Transactions, Subscriber desires to subscribe for and purchase from the Company that number of shares of Class A common stock set forth on the signature page hereto (the “</w:t>
      </w:r>
      <w:r>
        <w:rPr>
          <w:rFonts w:ascii="Times New Roman" w:cs="Times New Roman" w:eastAsia="Times New Roman" w:hAnsi="Times New Roman"/>
          <w:sz w:val="18"/>
          <w:szCs w:val="18"/>
          <w:u w:val="single" w:color="auto"/>
          <w:color w:val="auto"/>
        </w:rPr>
        <w:t>Subscribed Shares</w:t>
      </w:r>
      <w:r>
        <w:rPr>
          <w:rFonts w:ascii="Times New Roman" w:cs="Times New Roman" w:eastAsia="Times New Roman" w:hAnsi="Times New Roman"/>
          <w:sz w:val="18"/>
          <w:szCs w:val="18"/>
          <w:color w:val="auto"/>
        </w:rPr>
        <w:t>”) for a purchase price of $10.00 per share (the “</w:t>
      </w:r>
      <w:r>
        <w:rPr>
          <w:rFonts w:ascii="Times New Roman" w:cs="Times New Roman" w:eastAsia="Times New Roman" w:hAnsi="Times New Roman"/>
          <w:sz w:val="18"/>
          <w:szCs w:val="18"/>
          <w:u w:val="single" w:color="auto"/>
          <w:color w:val="auto"/>
        </w:rPr>
        <w:t>Per Share Price</w:t>
      </w:r>
      <w:r>
        <w:rPr>
          <w:rFonts w:ascii="Times New Roman" w:cs="Times New Roman" w:eastAsia="Times New Roman" w:hAnsi="Times New Roman"/>
          <w:sz w:val="18"/>
          <w:szCs w:val="18"/>
          <w:color w:val="auto"/>
        </w:rPr>
        <w:t>” and the aggregate of such Per Share Price for all Subscribed Shares being referred to herein as the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and the Company desires to issue and sell to Subscriber the Subscribed Shares in consideration of the payment of the Purchase Price by or on behalf of Subscriber to the Company, all on the terms and subject to the conditions set forth herein;</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the mutual representations, warranties and covenants, and subject to the conditions, herein contained, and intending to be legally bound hereby, the parties hereto hereby agree as follows: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Subscription</w:t>
      </w:r>
      <w:r>
        <w:rPr>
          <w:rFonts w:ascii="Times New Roman" w:cs="Times New Roman" w:eastAsia="Times New Roman" w:hAnsi="Times New Roman"/>
          <w:sz w:val="18"/>
          <w:szCs w:val="18"/>
          <w:color w:val="auto"/>
        </w:rPr>
        <w:t>. Subject to the terms and conditions hereof, Subscriber hereby agrees that at the Closing (as defined below), to irrevocably subscribe for and purchase from the Company, and the Company hereby agrees to issue and sell to Subscriber, the Subscribed Shares (such subscription and issuance, the “</w:t>
      </w:r>
      <w:r>
        <w:rPr>
          <w:rFonts w:ascii="Times New Roman" w:cs="Times New Roman" w:eastAsia="Times New Roman" w:hAnsi="Times New Roman"/>
          <w:sz w:val="18"/>
          <w:szCs w:val="18"/>
          <w:u w:val="single" w:color="auto"/>
          <w:color w:val="auto"/>
        </w:rPr>
        <w:t>Subscription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56"/>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the Subscription contemplated hereby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shall occur on [ · ]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with such Closing subject to the terms and conditions of this Subscription Agreement.</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89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satisfaction (or, if applicable, waiver) of the conditions set forth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 the Company shall deliver to Subscriber (i) on the Closing Date, the Subscribed Shares in book entry form, free and clear of any liens or other restrictions (other than those arising under this Subscription Agreement or applicable securities laws), in the name of Subscriber (or its nominee or custodian in accordance with its delivery instructions), and (ii) as promptly as practicable after the Closing, evidence from the Company’s transfer agent of the issuance to Subscriber of the Subscribed Shares on and as of the Closing Date.</w:t>
      </w:r>
    </w:p>
    <w:p>
      <w:pPr>
        <w:spacing w:after="0" w:line="183" w:lineRule="exact"/>
        <w:rPr>
          <w:rFonts w:ascii="Times New Roman" w:cs="Times New Roman" w:eastAsia="Times New Roman" w:hAnsi="Times New Roman"/>
          <w:sz w:val="18"/>
          <w:szCs w:val="18"/>
          <w:color w:val="auto"/>
        </w:rPr>
      </w:pPr>
    </w:p>
    <w:p>
      <w:pPr>
        <w:jc w:val="both"/>
        <w:ind w:firstLine="656"/>
        <w:spacing w:after="0" w:line="258" w:lineRule="auto"/>
        <w:tabs>
          <w:tab w:leader="none" w:pos="89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failure to close on the anticipated Closing Date shall not, by itself, be deemed to be a failure of any of the conditions to Closing set forth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to be satisfied or waived on or prior to the Closing Date, and unless and until this Subscription Agreement is terminated in accordance with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herein, the Company and Subscriber shall remain obligated to consummate the Closing upon satisfaction of the conditions set forth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For the purposes of this Subscription Agreement, “</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 day, other than a Saturday or Sunday, on which commercial banks in New York, New York are open for the general transaction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jc w:val="both"/>
        <w:ind w:left="-656" w:firstLine="656"/>
        <w:spacing w:after="0" w:line="266" w:lineRule="auto"/>
        <w:tabs>
          <w:tab w:leader="none" w:pos="27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Subscriber and the Company to consummate, or cause to be consummated, the transactions contemplated by this Subscription Agreement (including the Closing) are subject to the satisfaction or, if permitted by applicable law, waiver by the parties hereto, of the conditions that, on the Closing Date:</w:t>
      </w:r>
    </w:p>
    <w:p>
      <w:pPr>
        <w:spacing w:after="0" w:line="175" w:lineRule="exact"/>
        <w:rPr>
          <w:rFonts w:ascii="Times New Roman" w:cs="Times New Roman" w:eastAsia="Times New Roman" w:hAnsi="Times New Roman"/>
          <w:sz w:val="18"/>
          <w:szCs w:val="18"/>
          <w:color w:val="auto"/>
        </w:rPr>
      </w:pPr>
    </w:p>
    <w:p>
      <w:pPr>
        <w:ind w:left="644" w:hanging="320"/>
        <w:spacing w:after="0" w:line="282" w:lineRule="auto"/>
        <w:tabs>
          <w:tab w:leader="none" w:pos="64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Blaize’s shares of common stock, par value $0.001 per share, are approved for listed for trading on Nasdaq Global Market (the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644" w:hanging="320"/>
        <w:spacing w:after="0"/>
        <w:tabs>
          <w:tab w:leader="none" w:pos="64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contemplated by the Merger Agreement shall be completed substantially concurrently with the Closing;</w:t>
      </w:r>
    </w:p>
    <w:p>
      <w:pPr>
        <w:spacing w:after="0" w:line="225" w:lineRule="exact"/>
        <w:rPr>
          <w:rFonts w:ascii="Times New Roman" w:cs="Times New Roman" w:eastAsia="Times New Roman" w:hAnsi="Times New Roman"/>
          <w:sz w:val="18"/>
          <w:szCs w:val="18"/>
          <w:color w:val="auto"/>
        </w:rPr>
      </w:pPr>
    </w:p>
    <w:p>
      <w:pPr>
        <w:ind w:left="644" w:hanging="320"/>
        <w:spacing w:after="0" w:line="282" w:lineRule="auto"/>
        <w:tabs>
          <w:tab w:leader="none" w:pos="64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order or law issued by any court of competent jurisdiction or other governmental entity or other legal restraint or prohibition preventing the consummation of the transactions contemplated by this Subscription Agreement (including the Closing) shall be in effect.</w:t>
      </w:r>
    </w:p>
    <w:p>
      <w:pPr>
        <w:spacing w:after="0" w:line="161" w:lineRule="exact"/>
        <w:rPr>
          <w:rFonts w:ascii="Times New Roman" w:cs="Times New Roman" w:eastAsia="Times New Roman" w:hAnsi="Times New Roman"/>
          <w:sz w:val="18"/>
          <w:szCs w:val="18"/>
          <w:color w:val="auto"/>
        </w:rPr>
      </w:pPr>
    </w:p>
    <w:p>
      <w:pPr>
        <w:jc w:val="both"/>
        <w:ind w:left="-656" w:firstLine="656"/>
        <w:spacing w:after="0" w:line="266" w:lineRule="auto"/>
        <w:tabs>
          <w:tab w:leader="none" w:pos="2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to consummate, or cause to be consummated, the transactions contemplated by this Subscription Agreement (including the Closing) are subject to the satisfaction or, if permitted by applicable Law, waiver by the Company of the additional conditions that, on the Closing Date:</w:t>
      </w:r>
    </w:p>
    <w:p>
      <w:pPr>
        <w:spacing w:after="0" w:line="175" w:lineRule="exact"/>
        <w:rPr>
          <w:rFonts w:ascii="Times New Roman" w:cs="Times New Roman" w:eastAsia="Times New Roman" w:hAnsi="Times New Roman"/>
          <w:sz w:val="18"/>
          <w:szCs w:val="18"/>
          <w:color w:val="auto"/>
        </w:rPr>
      </w:pPr>
    </w:p>
    <w:p>
      <w:pPr>
        <w:jc w:val="both"/>
        <w:ind w:left="644" w:hanging="320"/>
        <w:spacing w:after="0" w:line="254" w:lineRule="auto"/>
        <w:tabs>
          <w:tab w:leader="none" w:pos="64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provided under </w:t>
      </w:r>
      <w:r>
        <w:rPr>
          <w:rFonts w:ascii="Times New Roman" w:cs="Times New Roman" w:eastAsia="Times New Roman" w:hAnsi="Times New Roman"/>
          <w:sz w:val="18"/>
          <w:szCs w:val="18"/>
          <w:u w:val="single" w:color="auto"/>
          <w:color w:val="auto"/>
        </w:rPr>
        <w:t>Section 2(e)(ii)</w:t>
      </w:r>
      <w:r>
        <w:rPr>
          <w:rFonts w:ascii="Times New Roman" w:cs="Times New Roman" w:eastAsia="Times New Roman" w:hAnsi="Times New Roman"/>
          <w:sz w:val="18"/>
          <w:szCs w:val="18"/>
          <w:color w:val="auto"/>
        </w:rPr>
        <w:t>, all representations and warranties of Subscriber contained in this Subscription Agreement shall be true and correct (without giving effect to any limitation as to “materiality” or any similar limitation set forth therein) in all material respects as of the Closing Date, as though made on and as of the Closing Date (except to the extent that any such representation and warranty expressly speaks as of an earlier date, in which case such representation and warranty shall be true and correct in all material respects (other than representations and warranties that are qualified as to materiality or Subscriber Material Adverse Effect, which representations and warranties shall be true and correct in all respects) as of such earlier date), and consummation of the Closing shall constitute a reaffirmation by Subscriber of each of the representations, warranties and agreements of Subscriber contained in this Subscription Agreement as of the Closing Date, but without giving effect to consummation of the Transactions, or as of such earlier date, as applicable;</w:t>
      </w:r>
    </w:p>
    <w:p>
      <w:pPr>
        <w:spacing w:after="0" w:line="188" w:lineRule="exact"/>
        <w:rPr>
          <w:rFonts w:ascii="Times New Roman" w:cs="Times New Roman" w:eastAsia="Times New Roman" w:hAnsi="Times New Roman"/>
          <w:sz w:val="18"/>
          <w:szCs w:val="18"/>
          <w:color w:val="auto"/>
        </w:rPr>
      </w:pPr>
    </w:p>
    <w:p>
      <w:pPr>
        <w:jc w:val="both"/>
        <w:ind w:left="644" w:hanging="320"/>
        <w:spacing w:after="0" w:line="266" w:lineRule="auto"/>
        <w:tabs>
          <w:tab w:leader="none" w:pos="64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Subscriber contained in </w:t>
      </w:r>
      <w:r>
        <w:rPr>
          <w:rFonts w:ascii="Times New Roman" w:cs="Times New Roman" w:eastAsia="Times New Roman" w:hAnsi="Times New Roman"/>
          <w:sz w:val="18"/>
          <w:szCs w:val="18"/>
          <w:u w:val="single" w:color="auto"/>
          <w:color w:val="auto"/>
        </w:rPr>
        <w:t>Section 5(w)</w:t>
      </w:r>
      <w:r>
        <w:rPr>
          <w:rFonts w:ascii="Times New Roman" w:cs="Times New Roman" w:eastAsia="Times New Roman" w:hAnsi="Times New Roman"/>
          <w:sz w:val="18"/>
          <w:szCs w:val="18"/>
          <w:color w:val="auto"/>
        </w:rPr>
        <w:t xml:space="preserve"> of this Subscription Agreement shall be true and correct at all times on or prior to the Closing Date, and consummation of the Closing shall constitute a reaffirmation by Subscriber of such representations and warranties; and</w:t>
      </w:r>
    </w:p>
    <w:p>
      <w:pPr>
        <w:spacing w:after="0" w:line="175" w:lineRule="exact"/>
        <w:rPr>
          <w:rFonts w:ascii="Times New Roman" w:cs="Times New Roman" w:eastAsia="Times New Roman" w:hAnsi="Times New Roman"/>
          <w:sz w:val="18"/>
          <w:szCs w:val="18"/>
          <w:color w:val="auto"/>
        </w:rPr>
      </w:pPr>
    </w:p>
    <w:p>
      <w:pPr>
        <w:ind w:left="644" w:hanging="320"/>
        <w:spacing w:after="0" w:line="282" w:lineRule="auto"/>
        <w:tabs>
          <w:tab w:leader="none" w:pos="64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shall have performed, satisfied and complied in all material respects with all covenants, agreements and conditions required by this Subscription Agreement to be performed, satisfied or complied with by it at or prior to the Closing.</w:t>
      </w:r>
    </w:p>
    <w:p>
      <w:pPr>
        <w:spacing w:after="0" w:line="161" w:lineRule="exact"/>
        <w:rPr>
          <w:rFonts w:ascii="Times New Roman" w:cs="Times New Roman" w:eastAsia="Times New Roman" w:hAnsi="Times New Roman"/>
          <w:sz w:val="18"/>
          <w:szCs w:val="18"/>
          <w:color w:val="auto"/>
        </w:rPr>
      </w:pPr>
    </w:p>
    <w:p>
      <w:pPr>
        <w:jc w:val="both"/>
        <w:ind w:left="-656" w:firstLine="656"/>
        <w:spacing w:after="0" w:line="266" w:lineRule="auto"/>
        <w:tabs>
          <w:tab w:leader="none" w:pos="2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Subscriber to consummate, or cause to be consummated, the transactions contemplated by this Subscription Agreement (including the Closing) are subject to the satisfaction or, if permitted by applicable Law, waiver by Subscriber of the additional conditions that, on the Closing Date:</w:t>
      </w:r>
    </w:p>
    <w:p>
      <w:pPr>
        <w:spacing w:after="0" w:line="175" w:lineRule="exact"/>
        <w:rPr>
          <w:rFonts w:ascii="Times New Roman" w:cs="Times New Roman" w:eastAsia="Times New Roman" w:hAnsi="Times New Roman"/>
          <w:sz w:val="18"/>
          <w:szCs w:val="18"/>
          <w:color w:val="auto"/>
        </w:rPr>
      </w:pPr>
    </w:p>
    <w:p>
      <w:pPr>
        <w:jc w:val="both"/>
        <w:ind w:left="644" w:hanging="320"/>
        <w:spacing w:after="0" w:line="253" w:lineRule="auto"/>
        <w:tabs>
          <w:tab w:leader="none" w:pos="64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representations and warranties of the Company contained in this Subscription Agreement shall be true and correct (without giving effect to any limitation as to “materiality” or any similar limitation set forth therein) in all material respects as of the Closing Date, as though made on and as of the Closing Date (except to the extent that any such representation and warranty expressly speaks as of an earlier date, in which case such representation and warranty shall be true and correct in all material respects (other than representations and warranties that are qualified as to materiality or Company Material Adverse Effect, which representations and warranties shall be true and correct in all respects) as of such earlier date), and consummation of the Closing shall constitute a reaffirmation by the Company of each of the representations, warranties and agreements of the Company, respectively, contained in this Subscription Agreement as of the Closing Date, but without giving effect to consummation of the Transactions, or as of such earlier date, as applicable, except, in each case, where the failure of such representations and warranties to be true and correct (whether as of the Closing Date or such earlier date), taken as a whole, does not result in a Company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426085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5" w:name="page6"/>
    <w:bookmarkEnd w:id="5"/>
    <w:p>
      <w:pPr>
        <w:ind w:left="1300" w:hanging="320"/>
        <w:spacing w:after="0" w:line="282"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performed, satisfied and complied in all material respects with all covenants, agreements and conditions required by this Subscription Agreement to be performed, satisfied or complied with by the Company at or prior to the Closing; and</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been no amendment or modification to the Merger Agreement after the date hereof that materially and adversely affects the Company or the Subscriber’s investment in the Company, other than amendments, waivers or modifications as expressly contemplated by and included in the terms of the Merger Agreement as of the date of its execution.</w:t>
      </w:r>
    </w:p>
    <w:p>
      <w:pPr>
        <w:spacing w:after="0" w:line="176" w:lineRule="exact"/>
        <w:rPr>
          <w:sz w:val="20"/>
          <w:szCs w:val="20"/>
          <w:color w:val="auto"/>
        </w:rPr>
      </w:pPr>
    </w:p>
    <w:p>
      <w:pPr>
        <w:jc w:val="both"/>
        <w:ind w:firstLine="656"/>
        <w:spacing w:after="0" w:line="261" w:lineRule="auto"/>
        <w:tabs>
          <w:tab w:leader="none" w:pos="9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or at the Closing, Subscriber shall deliver to the Company all such other information as is reasonably requested in order for the Company to issue the Subscribed Shares to Subscriber, including, without limitation, the legal name of the person in whose name the Subscribed Shares are to be issued (or Subscriber’s nominee in accordance with its delivery instructions) and a duly completed and executed Internal Revenue Service Form W-9 or appropriate Form W-8.</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 [Reserved]</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Company Representations and Warranties</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the term “Company” shall refer to (i) the Company as of the date hereof, and (ii) for purposes of the representations contained in subsections (e), (f), (h), (k), (o), and (q) of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and to the extent such representations and warranties are made as of the Closing Date, the combined company after giving effect to the Transaction as of the Closing Date. The Company represents and warrants to Subscriber that:</w:t>
      </w:r>
    </w:p>
    <w:p>
      <w:pPr>
        <w:spacing w:after="0" w:line="180" w:lineRule="exact"/>
        <w:rPr>
          <w:sz w:val="20"/>
          <w:szCs w:val="20"/>
          <w:color w:val="auto"/>
        </w:rPr>
      </w:pPr>
    </w:p>
    <w:p>
      <w:pPr>
        <w:jc w:val="both"/>
        <w:ind w:firstLine="656"/>
        <w:spacing w:after="0" w:line="251" w:lineRule="auto"/>
        <w:tabs>
          <w:tab w:leader="none" w:pos="90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(i) is validly existing and in good standing under the laws of the state of Delaware, (ii) has the requisite corporate power and authority to own, lease and operate its properties, to carry on its business as it is now being conducted and to enter into and perform its obligations under this Subscription Agreement, and (iii) is duly licensed or qualified to conduct its business and, if applicable, is in good standing under the laws of each jurisdiction (other than its jurisdiction of incorporation) in which the conduct of its business or the ownership of its properties or assets requires such license or qualification, except, with respect to the foregoing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where the failure to be in good standing would not reasonably be expected to have a Company Material Adverse Effect. For purposes of this Subscription Agreement, a “</w:t>
      </w:r>
      <w:r>
        <w:rPr>
          <w:rFonts w:ascii="Times New Roman" w:cs="Times New Roman" w:eastAsia="Times New Roman" w:hAnsi="Times New Roman"/>
          <w:sz w:val="18"/>
          <w:szCs w:val="18"/>
          <w:u w:val="single" w:color="auto"/>
          <w:color w:val="auto"/>
        </w:rPr>
        <w:t>Company Material Adverse Effect</w:t>
      </w:r>
      <w:r>
        <w:rPr>
          <w:rFonts w:ascii="Times New Roman" w:cs="Times New Roman" w:eastAsia="Times New Roman" w:hAnsi="Times New Roman"/>
          <w:sz w:val="18"/>
          <w:szCs w:val="18"/>
          <w:color w:val="auto"/>
        </w:rPr>
        <w:t>” means an event, change, development, occurrence, condition or effect (collectively “</w:t>
      </w:r>
      <w:r>
        <w:rPr>
          <w:rFonts w:ascii="Times New Roman" w:cs="Times New Roman" w:eastAsia="Times New Roman" w:hAnsi="Times New Roman"/>
          <w:sz w:val="18"/>
          <w:szCs w:val="18"/>
          <w:u w:val="single" w:color="auto"/>
          <w:color w:val="auto"/>
        </w:rPr>
        <w:t>Effect</w:t>
      </w:r>
      <w:r>
        <w:rPr>
          <w:rFonts w:ascii="Times New Roman" w:cs="Times New Roman" w:eastAsia="Times New Roman" w:hAnsi="Times New Roman"/>
          <w:sz w:val="18"/>
          <w:szCs w:val="18"/>
          <w:color w:val="auto"/>
        </w:rPr>
        <w:t>”) that, individually or in the aggregate, (a) is or would reasonably be expected to be materially adverse to the business, financial condition or results of operations of the Company and its subsidiaries, taken as a whole; or (b) would reasonably be expected to prevent, materially impair or materially delay (x) the Company’s or any of its subsidiary’s performance of its or their obligations under this Subscription Agreement or the Merger Agreement or (y) consummation of the Transactions; provided, however, that, in the case of clause (a), none of the following shall be deemed to constitute, alone or in combination, or be taken into account in the determination of whether, there has been or will be a Company Material Adverse Effect: (1) any change or proposed change in or change in applicable law or GAAP (as defined below) (including, in each case, the interpretation thereof) after the date of this Subscription Agreement; (2) events or conditions generally affecting the industries or geographic areas in which the Company operates; (3) any downturn in general economic conditions, including changes in the credit, debt, securities, financial or capital markets (including changes in interest or exchange rates, prices of any security or market index or commodity or any disruption of such markets);</w:t>
      </w:r>
    </w:p>
    <w:p>
      <w:pPr>
        <w:spacing w:after="0" w:line="11" w:lineRule="exact"/>
        <w:rPr>
          <w:rFonts w:ascii="Times New Roman" w:cs="Times New Roman" w:eastAsia="Times New Roman" w:hAnsi="Times New Roman"/>
          <w:sz w:val="18"/>
          <w:szCs w:val="18"/>
          <w:color w:val="auto"/>
        </w:rPr>
      </w:pPr>
    </w:p>
    <w:p>
      <w:pPr>
        <w:jc w:val="both"/>
        <w:ind w:firstLine="8"/>
        <w:spacing w:after="0" w:line="251" w:lineRule="auto"/>
        <w:tabs>
          <w:tab w:leader="none" w:pos="25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war, sabotage, civil unrest or terrorism, or any escalation or worsening of any such acts of war, sabotage, civil unrest or terrorism, or changes in global, national, regional, state or local political or social conditions; (5) any hurricane, tornado, flood, earthquake, mudslide, wildfire, natural disaster, epidemic, disease outbreak, pandemic (including, for the avoidance of doubt, the novel coronavirus, SARS-CoV-2 or COVID-19 and all related strains and sequences) or other acts of God, (6) any actions taken or not taken by the Company as required by this Subscription Agreement, the Merger Agreement or any other agreement executed and delivered in connection with the Transactions and specifically contemplated by the Merger Agreement or (7) any Effect attributable to the announcement or execution, pendency, negotiation or consummation of the Transactions, except in the cases of clauses (1) through (3), to the extent that the Company is materially and disproportionately affected thereby as compared with other participants in the industry in which the Company operates.</w:t>
      </w:r>
    </w:p>
    <w:p>
      <w:pPr>
        <w:spacing w:after="0" w:line="193" w:lineRule="exact"/>
        <w:rPr>
          <w:rFonts w:ascii="Times New Roman" w:cs="Times New Roman" w:eastAsia="Times New Roman" w:hAnsi="Times New Roman"/>
          <w:sz w:val="18"/>
          <w:szCs w:val="18"/>
          <w:color w:val="auto"/>
        </w:rPr>
      </w:pPr>
    </w:p>
    <w:p>
      <w:pPr>
        <w:jc w:val="both"/>
        <w:ind w:firstLine="656"/>
        <w:spacing w:after="0" w:line="256" w:lineRule="auto"/>
        <w:tabs>
          <w:tab w:leader="none" w:pos="91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 issued pursuant to this Subscription Agreement, the Subscribed Shares have been duly authorized and, when issued and delivered to Subscriber (or its nominee or custodian in accordance with its delivery instructions) against full payment therefor in accordance with the terms of this Subscription Agreement, will be validly issued, fully paid and non-assessable, free and clear of all liens or other restrictions (but excluding the restrictions on transfer described in </w:t>
      </w:r>
      <w:r>
        <w:rPr>
          <w:rFonts w:ascii="Times New Roman" w:cs="Times New Roman" w:eastAsia="Times New Roman" w:hAnsi="Times New Roman"/>
          <w:sz w:val="18"/>
          <w:szCs w:val="18"/>
          <w:u w:val="single" w:color="auto"/>
          <w:color w:val="auto"/>
        </w:rPr>
        <w:t>Section 5(e)</w:t>
      </w:r>
      <w:r>
        <w:rPr>
          <w:rFonts w:ascii="Times New Roman" w:cs="Times New Roman" w:eastAsia="Times New Roman" w:hAnsi="Times New Roman"/>
          <w:sz w:val="18"/>
          <w:szCs w:val="18"/>
          <w:color w:val="auto"/>
        </w:rPr>
        <w:t xml:space="preserve"> of this Subscription Agreement with respect to the status of the Subscribed Shares as “restricted securities” pending their registration for resale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will not have been issued in violation of, or subject to, any preemptive or similar rights created under the Company’s governing and organizational documents or the laws of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both"/>
        <w:ind w:left="-656" w:firstLine="656"/>
        <w:spacing w:after="0" w:line="261" w:lineRule="auto"/>
        <w:tabs>
          <w:tab w:leader="none" w:pos="24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Subscription Agreement has been duly authorized, validly executed and delivered by the Company, and assuming the due authorization, execution and delivery of the same by Subscriber, this Subscription Agreement shall constitute the valid and legally binding obligation of the Company, enforceable against the Company in accordance with its terms, except as such enforceability may be limited by bankruptcy, insolvency, reorganization, moratorium and similar laws affecting creditors generally and by the availability of equitable remedies.</w:t>
      </w:r>
    </w:p>
    <w:p>
      <w:pPr>
        <w:spacing w:after="0" w:line="179" w:lineRule="exact"/>
        <w:rPr>
          <w:rFonts w:ascii="Times New Roman" w:cs="Times New Roman" w:eastAsia="Times New Roman" w:hAnsi="Times New Roman"/>
          <w:sz w:val="18"/>
          <w:szCs w:val="18"/>
          <w:color w:val="auto"/>
        </w:rPr>
      </w:pPr>
    </w:p>
    <w:p>
      <w:pPr>
        <w:jc w:val="both"/>
        <w:ind w:left="-656" w:firstLine="656"/>
        <w:spacing w:after="0" w:line="254" w:lineRule="auto"/>
        <w:tabs>
          <w:tab w:leader="none" w:pos="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Assuming the accuracy of the representations and warranties of Subscriber set forth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of this Subscription Agreement, the execution and delivery of this Subscription Agreement, the issuance and sale of the Subscribed Shares, the compliance by the Company with all of the provisions of this Subscription Agreement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the Company pursuant to the terms of (i) any indenture, mortgage, deed of trust, loan agreement, lease, license or other agreement or instrument to which the Company is a party or by which the Company is bound or to which any of the property or assets of the Company is subject, (ii) the organizational documents of the Company, or (iii) any statute or any judgment, order, rule or regulation of any court or governmental agency or body, domestic or foreign, having jurisdiction over the Company or any of its properties that, in the case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would reasonably be expected to have a Company Material Adverse Effect.</w:t>
      </w:r>
    </w:p>
    <w:p>
      <w:pPr>
        <w:spacing w:after="0" w:line="188" w:lineRule="exact"/>
        <w:rPr>
          <w:rFonts w:ascii="Times New Roman" w:cs="Times New Roman" w:eastAsia="Times New Roman" w:hAnsi="Times New Roman"/>
          <w:sz w:val="18"/>
          <w:szCs w:val="18"/>
          <w:color w:val="auto"/>
        </w:rPr>
      </w:pPr>
    </w:p>
    <w:p>
      <w:pPr>
        <w:jc w:val="both"/>
        <w:ind w:left="-656" w:firstLine="656"/>
        <w:spacing w:after="0" w:line="253" w:lineRule="auto"/>
        <w:tabs>
          <w:tab w:leader="none" w:pos="23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Assuming the accuracy of the representations and warranties of Subscriber set forth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of this Subscription Agreement, the Company is not required to obtain any consent, waiver, authorization or order of, give any notice to, or make any filing or registration with, any court or other federal, state, local or other governmental authority, self-regulatory organization (including any stock exchange on which the Common Stock will be listed (the “</w:t>
      </w:r>
      <w:r>
        <w:rPr>
          <w:rFonts w:ascii="Times New Roman" w:cs="Times New Roman" w:eastAsia="Times New Roman" w:hAnsi="Times New Roman"/>
          <w:sz w:val="18"/>
          <w:szCs w:val="18"/>
          <w:u w:val="single" w:color="auto"/>
          <w:color w:val="auto"/>
        </w:rPr>
        <w:t>Stock Exchange</w:t>
      </w:r>
      <w:r>
        <w:rPr>
          <w:rFonts w:ascii="Times New Roman" w:cs="Times New Roman" w:eastAsia="Times New Roman" w:hAnsi="Times New Roman"/>
          <w:sz w:val="18"/>
          <w:szCs w:val="18"/>
          <w:color w:val="auto"/>
        </w:rPr>
        <w:t xml:space="preserve">”)) or other person in connection with the execution, delivery and performance of this Subscription Agreement (including, without limitation, the issuance of the Subscribed Shares by the Company), other than (i) filings required by applicable state securities laws, (ii) filings with the Commission, including the filing of the Registration Statement (as defined below) pursuant to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below, (iii) filings required by the Securities Act,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the rules of the Commission, including the registration statement on Form S-4 with respect to the Transactions and the proxy statement/prospectus included therein, (iv) filings required by the Stock Exchange, including with respect to obtaining stockholder approval of the Transactions, (v) filings required to consummate the Transactions as provided under the Merger Agreement, (vi) the filing of notification under the Hart-Scott-Rodino Antitrust Improvements Act of 1976, if applicable, (vii) filings in connection with or as a result of the SEC Guidance (as defined below) and (viii) those the failure of which to obtain would not have a Company Material Adverse Effect.</w:t>
      </w:r>
    </w:p>
    <w:p>
      <w:pPr>
        <w:spacing w:after="0" w:line="191" w:lineRule="exact"/>
        <w:rPr>
          <w:rFonts w:ascii="Times New Roman" w:cs="Times New Roman" w:eastAsia="Times New Roman" w:hAnsi="Times New Roman"/>
          <w:sz w:val="18"/>
          <w:szCs w:val="18"/>
          <w:color w:val="auto"/>
        </w:rPr>
      </w:pPr>
    </w:p>
    <w:p>
      <w:pPr>
        <w:jc w:val="both"/>
        <w:ind w:left="-656" w:firstLine="656"/>
        <w:spacing w:after="0" w:line="266" w:lineRule="auto"/>
        <w:tabs>
          <w:tab w:leader="none" w:pos="21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such matters as have not had and would not reasonably be expected to have a Company Material Adverse Effect, there is no (i) suit, action, proceeding or arbitration before a governmental authority or arbitrator pending, or, to the knowledge of the Company, threatened in writing against the Company or (ii) judgment, decree, injunction, ruling or order of any governmental authority or arbitrator outstanding against the Company.</w:t>
      </w:r>
    </w:p>
    <w:p>
      <w:pPr>
        <w:spacing w:after="0" w:line="175" w:lineRule="exact"/>
        <w:rPr>
          <w:rFonts w:ascii="Times New Roman" w:cs="Times New Roman" w:eastAsia="Times New Roman" w:hAnsi="Times New Roman"/>
          <w:sz w:val="18"/>
          <w:szCs w:val="18"/>
          <w:color w:val="auto"/>
        </w:rPr>
      </w:pPr>
    </w:p>
    <w:p>
      <w:pPr>
        <w:jc w:val="both"/>
        <w:ind w:left="-656" w:firstLine="656"/>
        <w:spacing w:after="0" w:line="282" w:lineRule="auto"/>
        <w:tabs>
          <w:tab w:leader="none" w:pos="25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Assuming the accuracy of Subscriber’s representations and warranties set forth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of this Subscription Agreement, no registration under the Securities Act or any state securities (or Blue Sky) laws is required for the offer and sale of the Subscribed Shares by the Company to Subscriber.</w:t>
      </w:r>
    </w:p>
    <w:p>
      <w:pPr>
        <w:spacing w:after="0" w:line="161" w:lineRule="exact"/>
        <w:rPr>
          <w:rFonts w:ascii="Times New Roman" w:cs="Times New Roman" w:eastAsia="Times New Roman" w:hAnsi="Times New Roman"/>
          <w:sz w:val="18"/>
          <w:szCs w:val="18"/>
          <w:color w:val="auto"/>
        </w:rPr>
      </w:pPr>
    </w:p>
    <w:p>
      <w:pPr>
        <w:jc w:val="both"/>
        <w:ind w:left="-656" w:firstLine="656"/>
        <w:spacing w:after="0" w:line="253" w:lineRule="auto"/>
        <w:tabs>
          <w:tab w:leader="none" w:pos="25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person acting on its behalf has engaged or will engage in any form of general solicitation or general advertising (within the meaning of Regulation D) in connection with any offer or sale of the Subscribed Shares. The Subscribed Shares are not being offered in a manner involving a public offering under, or in a distribution in violation of, the Securities Act or any state securities laws. Neither the Company nor any person acting on their behalf has, directly or indirectly, at any time within the past six months, made any offer or sale of any security or solicitation of any offer to buy any security under circumstances that would (i) eliminate the availability of the exemption from registration under Regulation D under the Securities Act in connection with the offer and sale by the Company of the Subscribed Shares as contemplated hereby or (ii) cause the offering of the Subscribed Shares pursuant to this Subscription Agreement to be integrated with prior offerings by the Company for purposes of the Securities Act or any applicable stockholder approval provisions. Neither the Company nor any person acting on their behalf has offered or sold or will offer or sell any securities, or has taken or will take any other action, which would reasonably be expected to subject the offer, issuance or sale of the Subscribed Shares, as contemplated hereby, to the registration provisions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426085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7" w:name="page8"/>
    <w:bookmarkEnd w:id="7"/>
    <w:p>
      <w:pPr>
        <w:ind w:firstLine="656"/>
        <w:spacing w:after="0" w:line="282" w:lineRule="auto"/>
        <w:tabs>
          <w:tab w:leader="none" w:pos="87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“bad actor” disqualifying event described in Rule 506(d)(1)(i)-(viii) of the Securities Act (a “</w:t>
      </w:r>
      <w:r>
        <w:rPr>
          <w:rFonts w:ascii="Times New Roman" w:cs="Times New Roman" w:eastAsia="Times New Roman" w:hAnsi="Times New Roman"/>
          <w:sz w:val="18"/>
          <w:szCs w:val="18"/>
          <w:u w:val="single" w:color="auto"/>
          <w:color w:val="auto"/>
        </w:rPr>
        <w:t>Disqualification Event</w:t>
      </w:r>
      <w:r>
        <w:rPr>
          <w:rFonts w:ascii="Times New Roman" w:cs="Times New Roman" w:eastAsia="Times New Roman" w:hAnsi="Times New Roman"/>
          <w:sz w:val="18"/>
          <w:szCs w:val="18"/>
          <w:color w:val="auto"/>
        </w:rPr>
        <w:t>”) is applicable to the Company, except for a Disqualification Event as to which Rule 506(d)(2)(ii–iv) or (d)(3) of the Securities Act is applicable.</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86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in all material respects in compliance with, and has not received any written communication from a governmental entity that alleges that the Company is not in compliance with, or is in default or violation of, the applicable provisions of (i) the Securities Act, (ii) the Exchange Act,</w:t>
      </w:r>
    </w:p>
    <w:p>
      <w:pPr>
        <w:jc w:val="both"/>
        <w:ind w:firstLine="8"/>
        <w:spacing w:after="0" w:line="255" w:lineRule="auto"/>
        <w:tabs>
          <w:tab w:leader="none" w:pos="32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Sarbanes-Oxley Act of 2002, as amended, and the rules and regulations thereunder, (iv) the rules and regulations of the Commission, and (v) the rules of the Stock Exchange. For the avoidance of doubt, this representation and warranty shall not apply to the extent any of the foregoing matters arise from or relate to the SEC Guidance (as defined below).</w:t>
      </w:r>
    </w:p>
    <w:p>
      <w:pPr>
        <w:spacing w:after="0" w:line="185" w:lineRule="exact"/>
        <w:rPr>
          <w:rFonts w:ascii="Times New Roman" w:cs="Times New Roman" w:eastAsia="Times New Roman" w:hAnsi="Times New Roman"/>
          <w:sz w:val="18"/>
          <w:szCs w:val="18"/>
          <w:color w:val="auto"/>
        </w:rPr>
      </w:pPr>
    </w:p>
    <w:p>
      <w:pPr>
        <w:jc w:val="both"/>
        <w:ind w:firstLine="656"/>
        <w:spacing w:after="0" w:line="258" w:lineRule="auto"/>
        <w:tabs>
          <w:tab w:leader="none" w:pos="90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Subscribed Shares are issued pursuant to this Subscription Agreement, the Common Stock will be eligible for clearing through The Depository Trust Company (the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through its Deposit/Withdrawal At Custodian (“DWAC”) system, and the Company will be eligible and participating in the Direct Registration System (“DRS”) of DTC with respect to the Common Stock. The Company’s transfer agent will be a participant in DTC’s Fast Automated Securities Transfer Program. The Common Stock will not be, and will not have been at any time, subject to any DTC “chill,” “freeze” or similar restriction with respect to any DTC services, including the clearing of shares of Common Stock through DTC.</w:t>
      </w:r>
    </w:p>
    <w:p>
      <w:pPr>
        <w:spacing w:after="0" w:line="183"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broker or finder is entitled to any brokerage or finder’s fee or commission solely in connection with the sale of the Subscribed Shares to</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w:t>
      </w:r>
    </w:p>
    <w:p>
      <w:pPr>
        <w:spacing w:after="0" w:line="206" w:lineRule="exact"/>
        <w:rPr>
          <w:rFonts w:ascii="Times New Roman" w:cs="Times New Roman" w:eastAsia="Times New Roman" w:hAnsi="Times New Roman"/>
          <w:sz w:val="18"/>
          <w:szCs w:val="18"/>
          <w:color w:val="auto"/>
        </w:rPr>
      </w:pPr>
    </w:p>
    <w:p>
      <w:pPr>
        <w:jc w:val="both"/>
        <w:ind w:firstLine="656"/>
        <w:spacing w:after="0" w:line="252" w:lineRule="auto"/>
        <w:tabs>
          <w:tab w:leader="none" w:pos="95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timely made all filings required to be filed by it with the Commission, except as set forth in its filings with the Commission. As of their respective dates, each form, report, statement, schedule, prospectus, proxy, registration statement and other document required to be filed by the Company with the Commission prior to the date hereof (collectively, as amended and/or restated since the time of their filing, the “</w:t>
      </w:r>
      <w:r>
        <w:rPr>
          <w:rFonts w:ascii="Times New Roman" w:cs="Times New Roman" w:eastAsia="Times New Roman" w:hAnsi="Times New Roman"/>
          <w:sz w:val="18"/>
          <w:szCs w:val="18"/>
          <w:u w:val="single" w:color="auto"/>
          <w:color w:val="auto"/>
        </w:rPr>
        <w:t>SEC Documents</w:t>
      </w:r>
      <w:r>
        <w:rPr>
          <w:rFonts w:ascii="Times New Roman" w:cs="Times New Roman" w:eastAsia="Times New Roman" w:hAnsi="Times New Roman"/>
          <w:sz w:val="18"/>
          <w:szCs w:val="18"/>
          <w:color w:val="auto"/>
        </w:rPr>
        <w:t>”) complied in all material respects with the requirements of the Securities Act and the Exchange Act, and the rules and regulations of the Commission promulgated thereunder, and none of the SEC Documents, as of their respective dates (or if amended, restated, or superseded by a filing prior to the closing of the Transactions, on the date of such filing),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Documents (or if amended, restated, or superseded by a filing prior to the closing of the Transactions, on the date of such filing) comply in all material respects with applicable accounting requirements and the rules and regulations of the Commission with respect thereto as in effect at the time of filing and fairly present in all material respects the financial position of the Company as of and for the dates thereof and the results of operations and cash flows for the periods then ended, subject, in the case of unaudited statements, to normal, year-end audit adjustments, and such consolidated financial statements have been prepared in conformity with United States generally accepted accounting principles applied on a consistent basis during the periods involved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(except as may be disclosed therein or in the notes thereto, and except that the unaudited financial statements may not contain all footnotes required by GAAP). A copy of each SEC Document is available to each Subscriber via the Commission’s EDGAR system. There are no material outstanding or unresolved comments in comment letters from the staff of the Division of Corporation Finance of the Commission with respect to any of the SEC Documents as of the date hereof. Notwithstanding the foregoing, this representation and warranty shall not apply to any statement or information in the SEC Documents that relates to (i) the topics referenced in the Commission’s “Staff Statement on Accounting and Reporting Considerations for Warrants Issued by Special Purpose Acquisition Companies” on April 12, 2021 or (ii) the classification of shares of the Company’s common stock as permanent or temporary equity, (collectively, the “</w:t>
      </w:r>
      <w:r>
        <w:rPr>
          <w:rFonts w:ascii="Times New Roman" w:cs="Times New Roman" w:eastAsia="Times New Roman" w:hAnsi="Times New Roman"/>
          <w:sz w:val="18"/>
          <w:szCs w:val="18"/>
          <w:u w:val="single" w:color="auto"/>
          <w:color w:val="auto"/>
        </w:rPr>
        <w:t>SEC Guidance</w:t>
      </w:r>
      <w:r>
        <w:rPr>
          <w:rFonts w:ascii="Times New Roman" w:cs="Times New Roman" w:eastAsia="Times New Roman" w:hAnsi="Times New Roman"/>
          <w:sz w:val="18"/>
          <w:szCs w:val="18"/>
          <w:color w:val="auto"/>
        </w:rPr>
        <w:t>”), and no correction, amendment or restatement of any of the Company’s SEC Documents due to the SEC Guidance shall be deemed to be a breach of any representation or warranty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both"/>
        <w:ind w:left="-8" w:firstLine="656"/>
        <w:spacing w:after="0" w:line="257" w:lineRule="auto"/>
        <w:tabs>
          <w:tab w:leader="none" w:pos="90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and as of immediately prior to the Transactions, the authorized share capital of the Company consists of 301,000,000 shares, each with a par value of $0.0001, consisting of (a) 300,000,000 shares of common stock, including (i) 280,000,000 shares of Class A common stock (“</w:t>
      </w:r>
      <w:r>
        <w:rPr>
          <w:rFonts w:ascii="Times New Roman" w:cs="Times New Roman" w:eastAsia="Times New Roman" w:hAnsi="Times New Roman"/>
          <w:sz w:val="18"/>
          <w:szCs w:val="18"/>
          <w:u w:val="single" w:color="auto"/>
          <w:color w:val="auto"/>
        </w:rPr>
        <w:t>Class A Shares</w:t>
      </w:r>
      <w:r>
        <w:rPr>
          <w:rFonts w:ascii="Times New Roman" w:cs="Times New Roman" w:eastAsia="Times New Roman" w:hAnsi="Times New Roman"/>
          <w:sz w:val="18"/>
          <w:szCs w:val="18"/>
          <w:color w:val="auto"/>
        </w:rPr>
        <w:t>”) and (ii) 20,000,000 shares of Class B common stock (“</w:t>
      </w:r>
      <w:r>
        <w:rPr>
          <w:rFonts w:ascii="Times New Roman" w:cs="Times New Roman" w:eastAsia="Times New Roman" w:hAnsi="Times New Roman"/>
          <w:sz w:val="18"/>
          <w:szCs w:val="18"/>
          <w:u w:val="single" w:color="auto"/>
          <w:color w:val="auto"/>
        </w:rPr>
        <w:t>Class B Shares</w:t>
      </w:r>
      <w:r>
        <w:rPr>
          <w:rFonts w:ascii="Times New Roman" w:cs="Times New Roman" w:eastAsia="Times New Roman" w:hAnsi="Times New Roman"/>
          <w:sz w:val="18"/>
          <w:szCs w:val="18"/>
          <w:color w:val="auto"/>
        </w:rPr>
        <w:t>” and together with the Class A Shares,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and</w:t>
      </w:r>
    </w:p>
    <w:p>
      <w:pPr>
        <w:spacing w:after="0" w:line="1" w:lineRule="exact"/>
        <w:rPr>
          <w:rFonts w:ascii="Times New Roman" w:cs="Times New Roman" w:eastAsia="Times New Roman" w:hAnsi="Times New Roman"/>
          <w:sz w:val="18"/>
          <w:szCs w:val="18"/>
          <w:color w:val="auto"/>
        </w:rPr>
      </w:pPr>
    </w:p>
    <w:p>
      <w:pPr>
        <w:jc w:val="both"/>
        <w:ind w:left="-8" w:firstLine="8"/>
        <w:spacing w:after="0" w:line="250" w:lineRule="auto"/>
        <w:tabs>
          <w:tab w:leader="none" w:pos="26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 shares of preferred stock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As of the Closing Date (and immediately after the consummation of the Transactions), the authorized share capital of the Company will consist of (i) 600,0000,000 shares of common stock, par value $0.0001 per share, and (ii) 20,000,000 shares of preferred stock, par value $0.0001 per share. As of the date hereof: (i) [ · ] Class A Shares and five Class B Shares; (ii) no shares of Preferred Stock; and</w:t>
      </w:r>
    </w:p>
    <w:p>
      <w:pPr>
        <w:spacing w:after="0" w:line="1" w:lineRule="exact"/>
        <w:rPr>
          <w:rFonts w:ascii="Times New Roman" w:cs="Times New Roman" w:eastAsia="Times New Roman" w:hAnsi="Times New Roman"/>
          <w:sz w:val="18"/>
          <w:szCs w:val="18"/>
          <w:color w:val="auto"/>
        </w:rPr>
      </w:pPr>
    </w:p>
    <w:p>
      <w:pPr>
        <w:jc w:val="both"/>
        <w:ind w:left="-8" w:firstLine="8"/>
        <w:spacing w:after="0" w:line="251" w:lineRule="auto"/>
        <w:tabs>
          <w:tab w:leader="none" w:pos="3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28,750,000 public warrants and 898,250 private placement warrants (collectively, the “</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each exercisable to purchase one Class A Share at $11.50 per share, were issued and outstanding; and (iii) no Common Stock was subject to issuance upon exercise of outstanding options. No Warrants are exercisable on or prior to the Closing. All (i) issued and outstanding Common Stock has been duly authorized and validly issued, is fully paid and non-assessable and is not subject to preemptive rights and (ii) outstanding Warrants have been duly authorized and validly issued, are fully paid and are not subject to preemptive rights. As of the date hereof, except as set forth above and pursuant to the Merger Agreement, there are no outstanding options, warrants or other rights to subscribe for, purchase or acquire from the Company any Common Stock or other equity interests in the Company (collectively, “</w:t>
      </w: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or securities convertible into or exchangeable or exercisable for Equity Interests. Other than Merger Sub, as of the date hereof, the Company has no subsidiaries and does not own, directly or indirectly, interests or investments (whether equity or debt) in any person, whether incorporated or unincorporated. Pursuant to the terms of the Company’s certificate of incorporation, there are no securities or instruments issued by or to which the Company is a party containing anti-dilution or similar provisions that will be triggered by the issuance of the Subscribed Shares.</w:t>
      </w:r>
    </w:p>
    <w:p>
      <w:pPr>
        <w:spacing w:after="0" w:line="192" w:lineRule="exact"/>
        <w:rPr>
          <w:rFonts w:ascii="Times New Roman" w:cs="Times New Roman" w:eastAsia="Times New Roman" w:hAnsi="Times New Roman"/>
          <w:sz w:val="18"/>
          <w:szCs w:val="18"/>
          <w:color w:val="auto"/>
        </w:rPr>
      </w:pPr>
    </w:p>
    <w:p>
      <w:pPr>
        <w:jc w:val="both"/>
        <w:ind w:left="-8" w:firstLine="656"/>
        <w:spacing w:after="0" w:line="258" w:lineRule="auto"/>
        <w:tabs>
          <w:tab w:leader="none" w:pos="90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such matters as have not had and would not be reasonably likely to have a Company Material Adverse Effect, the Company is in compliance with all state and federal laws applicable to the conduct of its business. The Company has not received any written, or to its knowledge, other communication from a governmental entity that alleges that the Company is not in compliance with or is in default or violation of any applicable law, except where such non-compliance, default or violation would not be reasonably likely to have, individually or in the aggregate, a Company Material Adverse Effect.</w:t>
      </w:r>
    </w:p>
    <w:p>
      <w:pPr>
        <w:spacing w:after="0" w:line="183" w:lineRule="exact"/>
        <w:rPr>
          <w:rFonts w:ascii="Times New Roman" w:cs="Times New Roman" w:eastAsia="Times New Roman" w:hAnsi="Times New Roman"/>
          <w:sz w:val="18"/>
          <w:szCs w:val="18"/>
          <w:color w:val="auto"/>
        </w:rPr>
      </w:pPr>
    </w:p>
    <w:p>
      <w:pPr>
        <w:ind w:left="-8" w:firstLine="656"/>
        <w:spacing w:after="0" w:line="282" w:lineRule="auto"/>
        <w:tabs>
          <w:tab w:leader="none" w:pos="9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and immediately after receipt of payment for the Subscribed Shares and consummation of the Transactions, will not be, an “investment company” within the meaning of the Investment Company Act.</w:t>
      </w:r>
    </w:p>
    <w:p>
      <w:pPr>
        <w:spacing w:after="0" w:line="161" w:lineRule="exact"/>
        <w:rPr>
          <w:rFonts w:ascii="Times New Roman" w:cs="Times New Roman" w:eastAsia="Times New Roman" w:hAnsi="Times New Roman"/>
          <w:sz w:val="18"/>
          <w:szCs w:val="18"/>
          <w:color w:val="auto"/>
        </w:rPr>
      </w:pPr>
    </w:p>
    <w:p>
      <w:pPr>
        <w:jc w:val="both"/>
        <w:ind w:left="-8" w:firstLine="656"/>
        <w:spacing w:after="0" w:line="261" w:lineRule="auto"/>
        <w:tabs>
          <w:tab w:leader="none" w:pos="893"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acknowledges that there have not been, and the Company hereby agrees that it is not relying on, any representations, warranties, covenants or agreements made to the Company by Subscriber, any of its affiliates or any control persons, officers, directors, employees, partners, agents or representatives, any other party to the Transactions or any other person or entity, expressly or by implication, other than those representations, warranties, covenants and agreements of Subscriber set forth in this Subscription Agreement.</w:t>
      </w:r>
    </w:p>
    <w:p>
      <w:pPr>
        <w:spacing w:after="0" w:line="180"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Subscriber Representations and Warranties</w:t>
      </w:r>
      <w:r>
        <w:rPr>
          <w:rFonts w:ascii="Times New Roman" w:cs="Times New Roman" w:eastAsia="Times New Roman" w:hAnsi="Times New Roman"/>
          <w:sz w:val="18"/>
          <w:szCs w:val="18"/>
          <w:color w:val="auto"/>
        </w:rPr>
        <w:t>. Subscriber represents and warrants to the Company that:</w:t>
      </w:r>
    </w:p>
    <w:p>
      <w:pPr>
        <w:spacing w:after="0" w:line="225" w:lineRule="exact"/>
        <w:rPr>
          <w:sz w:val="20"/>
          <w:szCs w:val="20"/>
          <w:color w:val="auto"/>
        </w:rPr>
      </w:pPr>
    </w:p>
    <w:p>
      <w:pPr>
        <w:jc w:val="both"/>
        <w:ind w:left="-8" w:firstLine="656"/>
        <w:spacing w:after="0" w:line="266" w:lineRule="auto"/>
        <w:tabs>
          <w:tab w:leader="none" w:pos="88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Subscriber is a legal entity, Subscriber (i) has been duly formed and is validly existing and in good standing under the laws of its jurisdiction of formation or incorporation and (ii) has the requisite power and authority to enter into, and perform its obligations under, this Subscription Agreement. If Subscriber is an individual, Subscriber has the legal competence and capacity to enter into and perform its obligations under this Subscription Agreement.</w:t>
      </w:r>
    </w:p>
    <w:p>
      <w:pPr>
        <w:spacing w:after="0" w:line="175" w:lineRule="exact"/>
        <w:rPr>
          <w:rFonts w:ascii="Times New Roman" w:cs="Times New Roman" w:eastAsia="Times New Roman" w:hAnsi="Times New Roman"/>
          <w:sz w:val="18"/>
          <w:szCs w:val="18"/>
          <w:color w:val="auto"/>
        </w:rPr>
      </w:pPr>
    </w:p>
    <w:p>
      <w:pPr>
        <w:jc w:val="both"/>
        <w:ind w:left="-8" w:firstLine="656"/>
        <w:spacing w:after="0" w:line="258" w:lineRule="auto"/>
        <w:tabs>
          <w:tab w:leader="none" w:pos="89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Subscriber is an entity, this Subscription Agreement has been duly authorized, validly executed and delivered by Subscriber. If Subscriber is an individual, Subscriber’s signature is genuine and the signatory has the legal competence and capacity to execute this Subscription Agreement. Assuming the due authorization, execution and delivery of the same by the Company, this Subscription Agreement shall constitute the valid and legally binding obligation of Subscriber, enforceable against Subscriber in accordance with its terms, except as such enforceability may be limited by bankruptcy, insolvency, reorganization, moratorium and similar laws affecting creditors generally and by the availability of equitable remedies.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419735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9" w:name="page10"/>
    <w:bookmarkEnd w:id="9"/>
    <w:p>
      <w:pPr>
        <w:jc w:val="both"/>
        <w:ind w:left="-656" w:firstLine="656"/>
        <w:spacing w:after="0" w:line="253" w:lineRule="auto"/>
        <w:tabs>
          <w:tab w:leader="none" w:pos="23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purchase of the Subscribed Shares hereunder, the compliance by Subscriber with all of the provisions of this Subscription Agreement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Subscriber pursuant to the terms of (i) any indenture, mortgage, deed of trust, loan agreement, lease, license or other agreement or instrument to which Subscriber is a party or by which Subscriber is bound or to which any of the property or assets of Subscriber is subject; (ii) if Subscriber is a legal entity, the organizational documents of Subscriber; or (iii) any statute or any judgment, order, rule or regulation of any court or governmental agency or body, domestic or foreign, having jurisdiction over Subscriber or any of its properties that in the case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would reasonably be expected to have a Subscriber Material Adverse Effect. For purposes of this Subscription Agreement, a “</w:t>
      </w:r>
      <w:r>
        <w:rPr>
          <w:rFonts w:ascii="Times New Roman" w:cs="Times New Roman" w:eastAsia="Times New Roman" w:hAnsi="Times New Roman"/>
          <w:sz w:val="18"/>
          <w:szCs w:val="18"/>
          <w:u w:val="single" w:color="auto"/>
          <w:color w:val="auto"/>
        </w:rPr>
        <w:t>Subscriber Material Adverse Effect</w:t>
      </w:r>
      <w:r>
        <w:rPr>
          <w:rFonts w:ascii="Times New Roman" w:cs="Times New Roman" w:eastAsia="Times New Roman" w:hAnsi="Times New Roman"/>
          <w:sz w:val="18"/>
          <w:szCs w:val="18"/>
          <w:color w:val="auto"/>
        </w:rPr>
        <w:t>” means an event, change, development, occurrence, condition or effect with respect to Subscriber that, individually or in the aggregate, would reasonably be expected to materially impair or materially delay Subscriber’s performance of its obligations under this Subscription Agreement, including the purchase of the Subscribed Shares.</w:t>
      </w:r>
    </w:p>
    <w:p>
      <w:pPr>
        <w:spacing w:after="0" w:line="194" w:lineRule="exact"/>
        <w:rPr>
          <w:rFonts w:ascii="Times New Roman" w:cs="Times New Roman" w:eastAsia="Times New Roman" w:hAnsi="Times New Roman"/>
          <w:sz w:val="18"/>
          <w:szCs w:val="18"/>
          <w:color w:val="auto"/>
        </w:rPr>
      </w:pPr>
    </w:p>
    <w:p>
      <w:pPr>
        <w:jc w:val="both"/>
        <w:ind w:left="-656" w:firstLine="656"/>
        <w:spacing w:after="0" w:line="253" w:lineRule="auto"/>
        <w:tabs>
          <w:tab w:leader="none" w:pos="26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Subscriber (i) is a “qualified institutional buyer” (as defined in Rule 144A under the Securities Act), an institutional “accredited investor” (within the meaning of Rule 501(a)(1), (2), (3), or (7) under the Securities Act), or an “accredited investor” (within the meaning of Rule 501(a) under the Securities Act) satisfying the applicable requirements set forth on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hereto, (ii) is acquiring the Subscribed Shares only for its own account and not for the account of others, or if Subscriber is subscribing for the Subscribed Shares as a fiduciary or agent for one or more investor accounts, each owner of such account is a “qualified institutional buyer” (as defined in Rule 144A under the Securities Act) or an “accredited investor” (within the meaning of Rule 501(a) under the Securities Act) and Subscriber has sole investment discretion with respect to each such account, and the full power and authority to make the acknowledgements, representations and agreements herein on behalf of each owner of each such account, and (iii) is not acquiring the Subscribed Shares with a view to, or for offer or sale in connection with, any distribution thereof in violation of the Securities Act (and has provided the Company with the requested information on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following the signature page hereto). Subscriber is not an entity formed for the specific purpose of acquiring the Subscribed Shares.</w:t>
      </w:r>
    </w:p>
    <w:p>
      <w:pPr>
        <w:spacing w:after="0" w:line="194" w:lineRule="exact"/>
        <w:rPr>
          <w:rFonts w:ascii="Times New Roman" w:cs="Times New Roman" w:eastAsia="Times New Roman" w:hAnsi="Times New Roman"/>
          <w:sz w:val="18"/>
          <w:szCs w:val="18"/>
          <w:color w:val="auto"/>
        </w:rPr>
      </w:pPr>
    </w:p>
    <w:p>
      <w:pPr>
        <w:jc w:val="both"/>
        <w:ind w:left="-656" w:firstLine="656"/>
        <w:spacing w:after="0" w:line="253" w:lineRule="auto"/>
        <w:tabs>
          <w:tab w:leader="none" w:pos="24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Subscriber acknowledges and agrees that the Subscribed Shares are being offered in a transaction not involving any public offering within the meaning of the Securities Act and that the Subscribed Shares have not been registered under the Securities Act and that the Company is not required to register the Subscribed Shares except as set forth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of this Subscription Agreement. Subscriber acknowledges and agrees that the Subscribed Shares may not be offered, resold, transferred, pledged or otherwise disposed of by Subscriber absent an effective registration statement under the Securities Act, except (i) to the Company or a subsidiary thereof, (ii) pursuant to an applicable exemption from the registration requirements of the Securities Act, and, in each of clauses (i)-(ii), in accordance with any applicable securities laws of the states and other jurisdictions of the United States, and that any certificates or account entries representing the Subscribed Shares shall contain a restrictive legend to such effect. Subscriber acknowledges and agrees that the Subscribed Shares will be subject to these securities law transfer restrictions, and as a result of these transfer restrictions, Subscriber may not be able to readily offer, resell, transfer, pledge or otherwise dispose of the Subscribed Shares and may be required to bear the financial risk of an investment in the Subscribed Shares for an indefinite period of time. Subscriber acknowledges and agrees that the Subscribed Shares will not be immediately eligible for offer, resale, transfer, pledge or disposition pursuant to Rule 144 promulgated under the Securities Act (“</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until at least one year following the filing by the Company of certain required information with the Commission after the Closing Date. Subscriber acknowledges and agrees that it has been advised to consult legal counsel prior to making any offer, resale, pledge or transfer of any of the Subscribed Shares.</w:t>
      </w:r>
    </w:p>
    <w:p>
      <w:pPr>
        <w:spacing w:after="0" w:line="187" w:lineRule="exact"/>
        <w:rPr>
          <w:rFonts w:ascii="Times New Roman" w:cs="Times New Roman" w:eastAsia="Times New Roman" w:hAnsi="Times New Roman"/>
          <w:sz w:val="18"/>
          <w:szCs w:val="18"/>
          <w:color w:val="auto"/>
        </w:rPr>
      </w:pPr>
    </w:p>
    <w:p>
      <w:pPr>
        <w:jc w:val="both"/>
        <w:ind w:left="-656" w:firstLine="656"/>
        <w:spacing w:after="0" w:line="256" w:lineRule="auto"/>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understands and agrees that Subscriber is purchasing the Subscribed Shares directly from the Company. Subscriber further acknowledges that there have not been, and Subscriber hereby agrees that it is not relying on, any representations, warranties, covenants or agreements made to Subscriber by the Company, Target or its subsidiaries (collectively, the “</w:t>
      </w:r>
      <w:r>
        <w:rPr>
          <w:rFonts w:ascii="Times New Roman" w:cs="Times New Roman" w:eastAsia="Times New Roman" w:hAnsi="Times New Roman"/>
          <w:sz w:val="18"/>
          <w:szCs w:val="18"/>
          <w:u w:val="single" w:color="auto"/>
          <w:color w:val="auto"/>
        </w:rPr>
        <w:t>Acquired Companies</w:t>
      </w:r>
      <w:r>
        <w:rPr>
          <w:rFonts w:ascii="Times New Roman" w:cs="Times New Roman" w:eastAsia="Times New Roman" w:hAnsi="Times New Roman"/>
          <w:sz w:val="18"/>
          <w:szCs w:val="18"/>
          <w:color w:val="auto"/>
        </w:rPr>
        <w:t>”) or any of its or their respective affiliates or any control persons, officers, directors, employees, partners, agents or representatives, any other party to the Transactions or any other person or entity, expressly or by implication, other than those representations, warranties, covenants and agreements of the Company set forth in this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422275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0" w:name="page11"/>
    <w:bookmarkEnd w:id="10"/>
    <w:p>
      <w:pPr>
        <w:jc w:val="both"/>
        <w:ind w:left="-656" w:firstLine="656"/>
        <w:spacing w:after="0" w:line="253" w:lineRule="auto"/>
        <w:tabs>
          <w:tab w:leader="none" w:pos="2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making its decision to purchase the Subscribed Shares, Subscriber has relied solely upon an independent investigation made by Subscriber and the Company’s representations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this Subscription Agreement. Subscriber has not relied on any statements or other information provided by Target concerning the Company, the Acquired Companies, the Subscribed Shares, or the Subscription. Subscriber acknowledges and agrees that Subscriber has had access to, has received, and has had an adequate opportunity to review, such information as Subscriber deems necessary in order to make an investment decision with respect to the Subscribed Shares, including with respect to the Company, the Acquired Companies and the Transactions, and Subscriber has made its own assessment and is satisfied concerning the relevant financial, tax and other economic considerations relevant to Subscriber’s investment in the Subscribed Shares. Without limiting the generality of the foregoing, Subscriber acknowledges that it has reviewed the Company’s filings with the Commission. Subscriber represents and agrees that Subscriber and Subscriber’s professional advisor(s), if any, have had the full opportunity to ask such questions, receive such answers and obtain such information as Subscriber and Subscriber’s professional advisor(s), if any, have deemed necessary to make an investment decision with respect to the Subscribed Shares, including but not limited to information concerning the Company, the Acquired Companies, the Merger Agreement and the Subscription.</w:t>
      </w:r>
    </w:p>
    <w:p>
      <w:pPr>
        <w:spacing w:after="0" w:line="191" w:lineRule="exact"/>
        <w:rPr>
          <w:rFonts w:ascii="Times New Roman" w:cs="Times New Roman" w:eastAsia="Times New Roman" w:hAnsi="Times New Roman"/>
          <w:sz w:val="18"/>
          <w:szCs w:val="18"/>
          <w:color w:val="auto"/>
        </w:rPr>
      </w:pPr>
    </w:p>
    <w:p>
      <w:pPr>
        <w:jc w:val="both"/>
        <w:ind w:left="-656" w:firstLine="656"/>
        <w:spacing w:after="0" w:line="255" w:lineRule="auto"/>
        <w:tabs>
          <w:tab w:leader="none" w:pos="26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acknowledges that certain information provided by the Company was based on projections, and such projections were prepared based on assumptions and estimates that are inherently uncertain and are subject to a wide variety of significant business, economic and competitive risks and uncertainties that could cause actual results to differ materially from those contained in the projections. Subscriber further acknowledges that the information provided to Subscriber was preliminary and subject to change, including in any supplements or amendments to the Proxy Statement filed with the Commission or other current or periodic reports or other filings filed with the Commission by the Company under the Securities Act or the Exchange Act related to the Transactions (which may or will include substantial additional information about the Company, Acquired Companies and the Transactions and will update and supersede the information previously provided or made available to Subscriber as of the date hereof).</w:t>
      </w:r>
    </w:p>
    <w:p>
      <w:pPr>
        <w:spacing w:after="0" w:line="188" w:lineRule="exact"/>
        <w:rPr>
          <w:rFonts w:ascii="Times New Roman" w:cs="Times New Roman" w:eastAsia="Times New Roman" w:hAnsi="Times New Roman"/>
          <w:sz w:val="18"/>
          <w:szCs w:val="18"/>
          <w:color w:val="auto"/>
        </w:rPr>
      </w:pPr>
    </w:p>
    <w:p>
      <w:pPr>
        <w:jc w:val="both"/>
        <w:ind w:left="-656" w:firstLine="656"/>
        <w:spacing w:after="0" w:line="256" w:lineRule="auto"/>
        <w:tabs>
          <w:tab w:leader="none" w:pos="2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acknowledges and agrees that none of the Acquired Companies nor their respective affiliates or any of such person’s or its or their respective affiliates’ control persons, officers, directors, partners, members, managing members, managers, agents, employees or other representatives, legal counsel, financial advisors, accountants or agents (collectively, “</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has provided Subscriber with any information or advice with respect to the Subscribed Shares nor is such information or advice necessary or desired. None of the Acquired Companies or any of their respective affiliates or Representatives has made or makes any representation as to the Company, Target or the Acquired Companies or the quality or value of the Subscribed Shares.</w:t>
      </w:r>
    </w:p>
    <w:p>
      <w:pPr>
        <w:spacing w:after="0" w:line="187" w:lineRule="exact"/>
        <w:rPr>
          <w:rFonts w:ascii="Times New Roman" w:cs="Times New Roman" w:eastAsia="Times New Roman" w:hAnsi="Times New Roman"/>
          <w:sz w:val="18"/>
          <w:szCs w:val="18"/>
          <w:color w:val="auto"/>
        </w:rPr>
      </w:pPr>
    </w:p>
    <w:p>
      <w:pPr>
        <w:jc w:val="both"/>
        <w:ind w:left="-656" w:firstLine="656"/>
        <w:spacing w:after="0" w:line="256" w:lineRule="auto"/>
        <w:tabs>
          <w:tab w:leader="none" w:pos="20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acknowledges that (i) the Company currently has, and later may come into possession of, information regarding the Company that is not known to Subscriber and that may be material to its determination to enter into this Subscription Agreement (“</w:t>
      </w:r>
      <w:r>
        <w:rPr>
          <w:rFonts w:ascii="Times New Roman" w:cs="Times New Roman" w:eastAsia="Times New Roman" w:hAnsi="Times New Roman"/>
          <w:sz w:val="18"/>
          <w:szCs w:val="18"/>
          <w:u w:val="single" w:color="auto"/>
          <w:color w:val="auto"/>
        </w:rPr>
        <w:t>Excluded Information</w:t>
      </w:r>
      <w:r>
        <w:rPr>
          <w:rFonts w:ascii="Times New Roman" w:cs="Times New Roman" w:eastAsia="Times New Roman" w:hAnsi="Times New Roman"/>
          <w:sz w:val="18"/>
          <w:szCs w:val="18"/>
          <w:color w:val="auto"/>
        </w:rPr>
        <w:t>”), (ii) Subscriber has determined to enter into this Subscription Agreement to purchase the Subscribed Shares notwithstanding Subscriber’s lack of knowledge of the Excluded Information, and (iii) none of the Company or the Acquired Companies shall have liability to Subscriber, and Subscriber hereby waives and releases any claims Subscriber may have against the Company or the Acquired Companies, to the maximum extent permitted by law, with respect to the nondisclosure of the Excluded Information.</w:t>
      </w:r>
    </w:p>
    <w:p>
      <w:pPr>
        <w:spacing w:after="0" w:line="187" w:lineRule="exact"/>
        <w:rPr>
          <w:rFonts w:ascii="Times New Roman" w:cs="Times New Roman" w:eastAsia="Times New Roman" w:hAnsi="Times New Roman"/>
          <w:sz w:val="18"/>
          <w:szCs w:val="18"/>
          <w:color w:val="auto"/>
        </w:rPr>
      </w:pPr>
    </w:p>
    <w:p>
      <w:pPr>
        <w:jc w:val="both"/>
        <w:ind w:left="-656" w:firstLine="656"/>
        <w:spacing w:after="0" w:line="256" w:lineRule="auto"/>
        <w:tabs>
          <w:tab w:leader="none" w:pos="24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became aware of this offering of the Subscribed Shares solely by means of direct contact between Subscriber and the Company and its affiliates, and the Subscribed Shares were offered to Subscriber solely by direct contact between Subscriber and the Company or its affiliates. Subscriber did not become aware of this offering of the Subscribed Shares, nor were the Subscribed Shares offered to Subscriber, by any other means. Subscriber acknowledges that the Subscribed Shares (i) were not offered by any form of general solicitation or general advertising (within the meaning of Regulation D of the Securities Act) and (ii) are not being offered in a manner involving a public offering under, or in a distribution in violation of, the Securities Act, or any state securities laws.</w:t>
      </w:r>
    </w:p>
    <w:p>
      <w:pPr>
        <w:spacing w:after="0" w:line="187" w:lineRule="exact"/>
        <w:rPr>
          <w:rFonts w:ascii="Times New Roman" w:cs="Times New Roman" w:eastAsia="Times New Roman" w:hAnsi="Times New Roman"/>
          <w:sz w:val="18"/>
          <w:szCs w:val="18"/>
          <w:color w:val="auto"/>
        </w:rPr>
      </w:pPr>
    </w:p>
    <w:p>
      <w:pPr>
        <w:jc w:val="both"/>
        <w:ind w:left="-656" w:firstLine="656"/>
        <w:spacing w:after="0" w:line="253" w:lineRule="auto"/>
        <w:tabs>
          <w:tab w:leader="none" w:pos="23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acknowledges that it is aware that there are substantial risks incident to the purchase and ownership of the Subscribed Shares, including those set forth in the SEC Documents. Subscriber has such knowledge and experience in financial and business matters as to be capable of evaluating the merits and risks of an investment in the Subscribed Shares, and Subscriber has had an opportunity to seek, and has sought, such accounting, legal, business and tax advice as Subscriber has considered necessary to make an informed investment decision. Subscriber acknowledges and agrees that neither the Company nor any of its affiliates has provided any tax advice to Subscriber or made any representations or warranties or guarantees to Subscriber regarding the tax treatment of its investment in the Subscribed Shares. Subscriber (i) is an institutional account as defined in FINRA Rule 4512(c) or an “accredited investor” as defined in Rule 501(a) under the Securities Act, (ii) is a sophisticated investor, experienced in investing in private equity transactions and current or former special purpose acquisition companies and capable of evaluating investment risks independently, both in general and with regard to all transactions and investment strategies involving a security or securities, and (iii) has exercised independent judgment in evaluating its participation in the purchase of the Subscribed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426085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1" w:name="page12"/>
    <w:bookmarkEnd w:id="11"/>
    <w:p>
      <w:pPr>
        <w:jc w:val="both"/>
        <w:ind w:left="-656" w:firstLine="656"/>
        <w:spacing w:after="0" w:line="266" w:lineRule="auto"/>
        <w:tabs>
          <w:tab w:leader="none" w:pos="30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has analyzed and fully considered the risks of an investment in the Subscribed Shares and determined that the Subscribed Shares are a suitable investment for Subscriber and that Subscriber is able at this time and in the foreseeable future to bear the economic risk of a total loss of Subscriber’s investment in the Company. Subscriber acknowledges specifically that a possibility of total loss exists.</w:t>
      </w:r>
    </w:p>
    <w:p>
      <w:pPr>
        <w:spacing w:after="0" w:line="175" w:lineRule="exact"/>
        <w:rPr>
          <w:rFonts w:ascii="Times New Roman" w:cs="Times New Roman" w:eastAsia="Times New Roman" w:hAnsi="Times New Roman"/>
          <w:sz w:val="18"/>
          <w:szCs w:val="18"/>
          <w:color w:val="auto"/>
        </w:rPr>
      </w:pPr>
    </w:p>
    <w:p>
      <w:pPr>
        <w:ind w:left="-656" w:right="20" w:firstLine="656"/>
        <w:spacing w:after="0" w:line="282" w:lineRule="auto"/>
        <w:tabs>
          <w:tab w:leader="none" w:pos="26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understands and agrees that no federal or state agency has passed upon or endorsed the merits of the offering of the Subscribed Shares or made any findings or determination as to the fairness of this investment.</w:t>
      </w:r>
    </w:p>
    <w:p>
      <w:pPr>
        <w:spacing w:after="0" w:line="161" w:lineRule="exact"/>
        <w:rPr>
          <w:rFonts w:ascii="Times New Roman" w:cs="Times New Roman" w:eastAsia="Times New Roman" w:hAnsi="Times New Roman"/>
          <w:sz w:val="18"/>
          <w:szCs w:val="18"/>
          <w:color w:val="auto"/>
        </w:rPr>
      </w:pPr>
    </w:p>
    <w:p>
      <w:pPr>
        <w:jc w:val="both"/>
        <w:ind w:left="-656" w:firstLine="656"/>
        <w:spacing w:after="0" w:line="251" w:lineRule="auto"/>
        <w:tabs>
          <w:tab w:leader="none" w:pos="2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Subscriber nor any of its affiliates, officers, directors, managers, managing members, general partners or any other person acting in a similar capacity or carrying out a similar function is (i) a person (including individual or entity) that is the target of economic or financial sanctions or trade embargoes imposed, administered or enforced from time to time by relevant governmental authorities, including, but not limited to those administered by the U.S. government through the Office of Foreign Assets Control of the U.S. Department of the Treasury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or the U.S. Department of State, the United Nations Security Council, the European Union, or His Majesty’s Treasury of the United Kingdom (collectively,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(ii) a person or entity listed on the List of Specially Designated Nationals and Blocked Persons administered by OFAC, or in any Executive Order issued by the President of the United States and administered by OFAC, or any other any Sanctions-related list of sanctioned persons maintained by OFAC, the Department of Commerce or the U.S. Department of State, the United Nations Security Council, the European Union, any EU member state, or the United Kingdom (collectively, “</w:t>
      </w:r>
      <w:r>
        <w:rPr>
          <w:rFonts w:ascii="Times New Roman" w:cs="Times New Roman" w:eastAsia="Times New Roman" w:hAnsi="Times New Roman"/>
          <w:sz w:val="18"/>
          <w:szCs w:val="18"/>
          <w:u w:val="single" w:color="auto"/>
          <w:color w:val="auto"/>
        </w:rPr>
        <w:t>Sanctions Lists</w:t>
      </w:r>
      <w:r>
        <w:rPr>
          <w:rFonts w:ascii="Times New Roman" w:cs="Times New Roman" w:eastAsia="Times New Roman" w:hAnsi="Times New Roman"/>
          <w:sz w:val="18"/>
          <w:szCs w:val="18"/>
          <w:color w:val="auto"/>
        </w:rPr>
        <w:t>”), (iii) organized, incorporated, established, located, resident or a citizen, national, or the government, including any political subdivision, agency, or instrumentality thereof, of, Cuba, Iran, North Korea, Syria, Venezuela, Afghanistan, the Crimea, the so-called Donetsk People’s Republic, or the so-called Luhansk People’s Republic regions of Ukraine, or any other country or territory embargoed or subject to substantial trade restrictions by the United States, the European Union or any individual European Union member state, or the United Kingdom; (iv) directly or indirectly owned or controlled 50% or more by, or acting on behalf of, any such person or persons described in any of the foregoing clauses (i) through (iv); or (v) a non-U.S. shell bank or providing banking services indirectly to a non-U.S. shell bank (collectively, (i) through (v), a “</w:t>
      </w:r>
      <w:r>
        <w:rPr>
          <w:rFonts w:ascii="Times New Roman" w:cs="Times New Roman" w:eastAsia="Times New Roman" w:hAnsi="Times New Roman"/>
          <w:sz w:val="18"/>
          <w:szCs w:val="18"/>
          <w:u w:val="single" w:color="auto"/>
          <w:color w:val="auto"/>
        </w:rPr>
        <w:t>Prohibited Investor</w:t>
      </w:r>
      <w:r>
        <w:rPr>
          <w:rFonts w:ascii="Times New Roman" w:cs="Times New Roman" w:eastAsia="Times New Roman" w:hAnsi="Times New Roman"/>
          <w:sz w:val="18"/>
          <w:szCs w:val="18"/>
          <w:color w:val="auto"/>
        </w:rPr>
        <w:t>”). Subscriber agrees to provide law enforcement agencies, if requested thereby, such records as required by applicable law; provided that Subscriber is permitted to do so under applicable law. Subscriber represents that (i) if it is a financial institution subject to the Bank Secrecy Act (31 U.S.C. Section 5311 et seq.), as amended by the USA PATRIOT Act of 2001, and its implementing regulations (collectively, the “</w:t>
      </w:r>
      <w:r>
        <w:rPr>
          <w:rFonts w:ascii="Times New Roman" w:cs="Times New Roman" w:eastAsia="Times New Roman" w:hAnsi="Times New Roman"/>
          <w:sz w:val="18"/>
          <w:szCs w:val="18"/>
          <w:u w:val="single" w:color="auto"/>
          <w:color w:val="auto"/>
        </w:rPr>
        <w:t>BSA/PATRIOT Act</w:t>
      </w:r>
      <w:r>
        <w:rPr>
          <w:rFonts w:ascii="Times New Roman" w:cs="Times New Roman" w:eastAsia="Times New Roman" w:hAnsi="Times New Roman"/>
          <w:sz w:val="18"/>
          <w:szCs w:val="18"/>
          <w:color w:val="auto"/>
        </w:rPr>
        <w:t>”), that Subscriber maintains policies and procedures to ensure compliance with its obligations under the BSA/PATRIOT Act, and (ii) to the extent required, it maintains policies and procedures reasonably designed to ensure compliance with the anti-money laundering-related laws administered and enforced by other governmental authorities. Subscriber also represents that it maintains policies and procedures reasonably designed to ensure compliance with Sanctions. Subscriber further represents and warrants that (i) none of the funds held by Subscriber and used to purchase the Shares are or will be derived from transactions with or for the benefit of any Prohibited Investor, and (ii) it maintains policies and procedures reasonably designed to ensure the funds held by Subscriber and used to purchase the Shares were legally derived and were not obtained, directly or indirectly, from a Prohibited Investor.</w:t>
      </w:r>
    </w:p>
    <w:p>
      <w:pPr>
        <w:spacing w:after="0" w:line="205" w:lineRule="exact"/>
        <w:rPr>
          <w:rFonts w:ascii="Times New Roman" w:cs="Times New Roman" w:eastAsia="Times New Roman" w:hAnsi="Times New Roman"/>
          <w:sz w:val="18"/>
          <w:szCs w:val="18"/>
          <w:color w:val="auto"/>
        </w:rPr>
      </w:pPr>
    </w:p>
    <w:p>
      <w:pPr>
        <w:jc w:val="both"/>
        <w:ind w:left="-656" w:firstLine="656"/>
        <w:spacing w:after="0" w:line="261" w:lineRule="auto"/>
        <w:tabs>
          <w:tab w:leader="none" w:pos="26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foreign person (as defined in 31 C.F.R. Part 800.224) in which the national or subnational governments of a single foreign state have a substantial interest (as defined in 31 C.F.R. Part 800.244) will acquire a substantial interest in the Company as a result of the purchase and sale of Subscribed Shares hereunder, and no foreign person will have control (as defined in 31 C.F.R. Part 800.208) over the Company from and after the Closing as a result of the purchase and sale of Subscribed Shares hereunder.</w:t>
      </w:r>
    </w:p>
    <w:p>
      <w:pPr>
        <w:spacing w:after="0" w:line="179" w:lineRule="exact"/>
        <w:rPr>
          <w:rFonts w:ascii="Times New Roman" w:cs="Times New Roman" w:eastAsia="Times New Roman" w:hAnsi="Times New Roman"/>
          <w:sz w:val="18"/>
          <w:szCs w:val="18"/>
          <w:color w:val="auto"/>
        </w:rPr>
      </w:pPr>
    </w:p>
    <w:p>
      <w:pPr>
        <w:jc w:val="both"/>
        <w:ind w:left="-656" w:firstLine="656"/>
        <w:spacing w:after="0" w:line="253" w:lineRule="auto"/>
        <w:tabs>
          <w:tab w:leader="none" w:pos="26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Subscriber is an employee benefit plan that is subject to Title I of the Employee Retirement Income Security Act of 1974, as amended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a plan, an individual retirement account or other arrangement that is subject to section 4975 of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or an employee benefit plan that is a governmental plan (as defined in section 3(32) of ERISA), a church plan (as defined in section 3(33) of ERISA), a non-U.S. plan (as described in section 4(b)(4) of ERISA) or other plan that is not subject to the foregoing but may be subject to provisions under any other federal, state, local, non-U.S. or other laws or regulations that are similar to such provisions of ERISA or the Code, or an entity whose underlying assets are considered to include “plan assets” of any such plan, account or arrangement (each, a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subject to the fiduciary or prohibited transaction provisions of ERISA or section 4975 of the Code, Subscriber represents and warrants that (i) it has not relied on the Company or any of their respective affiliates (the “</w:t>
      </w:r>
      <w:r>
        <w:rPr>
          <w:rFonts w:ascii="Times New Roman" w:cs="Times New Roman" w:eastAsia="Times New Roman" w:hAnsi="Times New Roman"/>
          <w:sz w:val="18"/>
          <w:szCs w:val="18"/>
          <w:u w:val="single" w:color="auto"/>
          <w:color w:val="auto"/>
        </w:rPr>
        <w:t>Transaction Parties</w:t>
      </w:r>
      <w:r>
        <w:rPr>
          <w:rFonts w:ascii="Times New Roman" w:cs="Times New Roman" w:eastAsia="Times New Roman" w:hAnsi="Times New Roman"/>
          <w:sz w:val="18"/>
          <w:szCs w:val="18"/>
          <w:color w:val="auto"/>
        </w:rPr>
        <w:t>”) for investment advice or as the Plan’s fiduciary with respect to its decision to acquire and hold the Subscribed Shares, and none of the Transaction Parties shall at any time be relied upon as the Plan’s fiduciary with respect to any decision to acquire, continue to hold or transfer the Subscribed Shares and (ii) the acquisition and holding of the Subscribed Shares will not result in a non-exempt prohibited transaction under ERISA or section 4975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424815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2" w:name="page13"/>
    <w:bookmarkEnd w:id="12"/>
    <w:p>
      <w:pPr>
        <w:ind w:left="-656" w:firstLine="656"/>
        <w:spacing w:after="0" w:line="282" w:lineRule="auto"/>
        <w:tabs>
          <w:tab w:leader="none" w:pos="22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Subscriber has or has commitments to have and, when required to deliver payment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Subscriber will have sufficient funds to pay the Purchase Price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656" w:firstLine="656"/>
        <w:spacing w:after="0" w:line="253" w:lineRule="auto"/>
        <w:tabs>
          <w:tab w:leader="none" w:pos="23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Subscriber acknowledges that it is not relying upon, and has not relied upon, any statement, representation or warranty made by any person, firm or corporation (including, without limitation, the Company, Target, the Acquired Companies or any of their respective affiliates or Representatives), other than the representations and warranties of the Company contained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this Subscription Agreement, in making its investment or decision to invest in the Company. Subscriber agrees that none of (i) any other agreement related to the private placement of shares of Common Stock (including with the controlling persons, officers, directors, partners, agents or employees of any such Subscriber) nor (ii) the Company, the Acquired Companies or any of their respective affiliates or Representatives, shall be liable (including, without limitation, for or with respect to any losses, claims, damages, obligations, penalties, judgments, awards, liabilities, costs, expenses or disbursements incurred by Subscriber, the Company, or any other person or entity), whether in contract, tort or otherwise, or have any liability or obligation to Subscriber, or any person claiming through Subscriber, pursuant to this Subscription Agreement or related to the private placement of the Subscribed Shares, the negotiation hereof or the subject matter hereof, or the transactions contemplated hereby, for any action heretofore or hereafter taken or omitted to be taken by any of the foregoing in connection with the purchase of the Subscribed Shares.</w:t>
      </w:r>
    </w:p>
    <w:p>
      <w:pPr>
        <w:spacing w:after="0" w:line="191" w:lineRule="exact"/>
        <w:rPr>
          <w:rFonts w:ascii="Times New Roman" w:cs="Times New Roman" w:eastAsia="Times New Roman" w:hAnsi="Times New Roman"/>
          <w:sz w:val="18"/>
          <w:szCs w:val="18"/>
          <w:color w:val="auto"/>
        </w:rPr>
      </w:pPr>
    </w:p>
    <w:p>
      <w:pPr>
        <w:ind w:left="-656" w:firstLine="656"/>
        <w:spacing w:after="0" w:line="282" w:lineRule="auto"/>
        <w:tabs>
          <w:tab w:leader="none" w:pos="21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broker or finder is entitled to any brokerage or finder’s fee or commission to be paid by Subscriber solely in connection with the sale of the Subscribed Shares to Subscriber.</w:t>
      </w:r>
    </w:p>
    <w:p>
      <w:pPr>
        <w:spacing w:after="0" w:line="161" w:lineRule="exact"/>
        <w:rPr>
          <w:rFonts w:ascii="Times New Roman" w:cs="Times New Roman" w:eastAsia="Times New Roman" w:hAnsi="Times New Roman"/>
          <w:sz w:val="18"/>
          <w:szCs w:val="18"/>
          <w:color w:val="auto"/>
        </w:rPr>
      </w:pPr>
    </w:p>
    <w:p>
      <w:pPr>
        <w:ind w:left="-656" w:firstLine="656"/>
        <w:spacing w:after="0" w:line="282" w:lineRule="auto"/>
        <w:tabs>
          <w:tab w:leader="none" w:pos="24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all times on or prior to the Closing Date, Subscriber has no binding commitment to dispose of, or otherwise transfer (directly or indirectly), any of the Subscribed Shares.</w:t>
      </w:r>
    </w:p>
    <w:p>
      <w:pPr>
        <w:spacing w:after="0" w:line="161" w:lineRule="exact"/>
        <w:rPr>
          <w:rFonts w:ascii="Times New Roman" w:cs="Times New Roman" w:eastAsia="Times New Roman" w:hAnsi="Times New Roman"/>
          <w:sz w:val="18"/>
          <w:szCs w:val="18"/>
          <w:color w:val="auto"/>
        </w:rPr>
      </w:pPr>
    </w:p>
    <w:p>
      <w:pPr>
        <w:jc w:val="both"/>
        <w:ind w:left="-656" w:firstLine="656"/>
        <w:spacing w:after="0" w:line="258" w:lineRule="auto"/>
        <w:tabs>
          <w:tab w:leader="none" w:pos="26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disclosed in a Schedule 13D or Schedule 13G (or amendments thereto) filed by Subscriber with the Commission with respect to the beneficial ownership of the Company’s outstanding securities prior to the date hereof, Subscriber is not currently (and at all times through Closing will refrain from being or becoming) a member of a “group” (within the meaning of Section 13(d)(3) or Section 14(d)(2) of the Exchange Act, or any successor provision), including any group acting for the purpose of acquiring, holding or disposing of equity securities of the Company (within the meaning of Rule 13d-5(b)(1) under the Exchange Act).</w:t>
      </w:r>
    </w:p>
    <w:p>
      <w:pPr>
        <w:spacing w:after="0" w:line="183" w:lineRule="exact"/>
        <w:rPr>
          <w:rFonts w:ascii="Times New Roman" w:cs="Times New Roman" w:eastAsia="Times New Roman" w:hAnsi="Times New Roman"/>
          <w:sz w:val="18"/>
          <w:szCs w:val="18"/>
          <w:color w:val="auto"/>
        </w:rPr>
      </w:pPr>
    </w:p>
    <w:p>
      <w:pPr>
        <w:ind w:left="-656" w:firstLine="656"/>
        <w:spacing w:after="0" w:line="282" w:lineRule="auto"/>
        <w:tabs>
          <w:tab w:leader="none" w:pos="28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acknowledges its obligations under applicable securities laws with respect to the treatment of non-public information relating to the Company and Target.</w:t>
      </w:r>
    </w:p>
    <w:p>
      <w:pPr>
        <w:spacing w:after="0" w:line="161" w:lineRule="exact"/>
        <w:rPr>
          <w:rFonts w:ascii="Times New Roman" w:cs="Times New Roman" w:eastAsia="Times New Roman" w:hAnsi="Times New Roman"/>
          <w:sz w:val="18"/>
          <w:szCs w:val="18"/>
          <w:color w:val="auto"/>
        </w:rPr>
      </w:pPr>
    </w:p>
    <w:p>
      <w:pPr>
        <w:ind w:left="-656" w:firstLine="656"/>
        <w:spacing w:after="0" w:line="282" w:lineRule="auto"/>
        <w:tabs>
          <w:tab w:leader="none" w:pos="25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acknowledges that any restatement, revision, correction or other modification of the SEC Documents to the extent resulting from the SEC Guidance shall not constitute a breach by the Company of this Subscription Agreement.</w:t>
      </w:r>
    </w:p>
    <w:p>
      <w:pPr>
        <w:spacing w:after="0" w:line="161" w:lineRule="exact"/>
        <w:rPr>
          <w:rFonts w:ascii="Times New Roman" w:cs="Times New Roman" w:eastAsia="Times New Roman" w:hAnsi="Times New Roman"/>
          <w:sz w:val="18"/>
          <w:szCs w:val="18"/>
          <w:color w:val="auto"/>
        </w:rPr>
      </w:pPr>
    </w:p>
    <w:p>
      <w:pPr>
        <w:ind w:left="-656" w:firstLine="656"/>
        <w:spacing w:after="0" w:line="282" w:lineRule="auto"/>
        <w:tabs>
          <w:tab w:leader="none" w:pos="26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acknowledges having received and read the Risk Factors (as defined below) included in the Proxy Statement with respect to the Transactions and the Company’s other SEC Documents (the “</w:t>
      </w:r>
      <w:r>
        <w:rPr>
          <w:rFonts w:ascii="Times New Roman" w:cs="Times New Roman" w:eastAsia="Times New Roman" w:hAnsi="Times New Roman"/>
          <w:sz w:val="18"/>
          <w:szCs w:val="18"/>
          <w:u w:val="single" w:color="auto"/>
          <w:color w:val="auto"/>
        </w:rPr>
        <w:t>Risk Factors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405765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3" w:name="page14"/>
    <w:bookmarkEnd w:id="13"/>
    <w:p>
      <w:pPr>
        <w:ind w:left="4"/>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Registration of Subscribed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56" w:firstLine="656"/>
        <w:spacing w:after="0" w:line="251" w:lineRule="auto"/>
        <w:tabs>
          <w:tab w:leader="none" w:pos="24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6(c)</w:t>
      </w:r>
      <w:r>
        <w:rPr>
          <w:rFonts w:ascii="Times New Roman" w:cs="Times New Roman" w:eastAsia="Times New Roman" w:hAnsi="Times New Roman"/>
          <w:sz w:val="18"/>
          <w:szCs w:val="18"/>
          <w:color w:val="auto"/>
        </w:rPr>
        <w:t>, the Company agrees that, within forty-five calendar days following the Closing Date, the Company will file with the Commission (at the Company’s sole cost and expense) a registration statement registering the resale of the Subscribed Shares (the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Statement</w:t>
      </w:r>
      <w:r>
        <w:rPr>
          <w:rFonts w:ascii="Times New Roman" w:cs="Times New Roman" w:eastAsia="Times New Roman" w:hAnsi="Times New Roman"/>
          <w:sz w:val="18"/>
          <w:szCs w:val="18"/>
          <w:color w:val="auto"/>
        </w:rPr>
        <w:t>”), and the Company shall use its commercially reasonable efforts to have the Registration Statement declared effective as soon as practicable after the filing thereof, but in any event no later than ninety calendar days after the Closing Date (the “</w:t>
      </w:r>
      <w:r>
        <w:rPr>
          <w:rFonts w:ascii="Times New Roman" w:cs="Times New Roman" w:eastAsia="Times New Roman" w:hAnsi="Times New Roman"/>
          <w:sz w:val="18"/>
          <w:szCs w:val="18"/>
          <w:u w:val="single" w:color="auto"/>
          <w:color w:val="auto"/>
        </w:rPr>
        <w:t>Effectiveness Deadline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Effectiveness Deadline shall be extended to one hundred twenty calendar days after the Closing Date if the Registration Statement is reviewed by, and comments thereto are provided from, the Commission;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Company shall have the Registration Statement declared effective within five Business Days after the date the Company is notified (orally or in writing, whichever is earlier) by the staff of the Commission that the Registration Statement will not be “reviewed” or will not be subject to further review;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 if the Effectiveness Deadline falls on a Saturday, Sunday or other day that the Commission is closed for business, the Effectiveness Deadline shall be extended to the next Business Day on which the Commission is open for business and (ii) if the Commission is closed for operations due to a government shutdown, the Effectiveness Deadline shall be extended by the same number of Business Days that the Commission remains closed for. Unless otherwise agreed to in writing by Subscriber prior to the filing of the Registration Statement, Subscriber shall not be identified as a statutory underwriter in the Registration Statement; provided, that if the Commission requests that Subscriber be identified as a statutory underwriter in the Registration Statement, Subscriber will have the opportunity to withdraw from the Registration Statement upon its prompt written request to the Company. Notwithstanding the foregoing, if the Commission prevents the Company from including any or all of the shares proposed to be registered under the Registration Statement due to limitations on the use of Rule 415 of the Securities Act for the resale of the Subscribed Shares by the applicable stockholders or otherwise, such Registration Statement shall register for resale such number of Subscribed Shares which is equal to the maximum number of Subscribed Shares as is permitted by the Commission. In such event, the number of Subscribed Shares or other shares to be registered for each selling stockholder named in the Registration Statement shall be reduced pro rata, unless otherwise directed in writing by a selling stockholder as to its securities to register fewer securities, among all such selling stockholders (except that such pro rata reduction shall not apply with respect to any securities the registration of which is necessary to satisfy applicable listing rules of a national securities exchange) and as promptly as practicable after being permitted to register additional shares under Rule 415 under the Securities Act, the Company shall use its commercially reasonable efforts to amend the Registration Statement or file one or more new Registration Statement(s) (such amendment or new Registration Statement shall also be deemed to be a “Registration Statement” hereunder) to register such additional Subscribed Shares and cause such amendment or Registration Statement(s) to become effective as promptly as practicable after the filing thereof, but in any event no later than thirty calendar days after the filing of such Registration Statement (the “</w:t>
      </w:r>
      <w:r>
        <w:rPr>
          <w:rFonts w:ascii="Times New Roman" w:cs="Times New Roman" w:eastAsia="Times New Roman" w:hAnsi="Times New Roman"/>
          <w:sz w:val="18"/>
          <w:szCs w:val="18"/>
          <w:u w:val="single" w:color="auto"/>
          <w:color w:val="auto"/>
        </w:rPr>
        <w:t>Additional Effectiveness Deadline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Additional Effectiveness Deadline shall be extended to ninety calendar days (or one hundred twenty calendar days if the Commission notifies the Company that it will “review” such Registration Statement) after the filing of such Registration Statement if such Registration Statement is reviewed by, and comments thereto are provided from, the Commission;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Company shall have such Registration Statement declared effective within five Business Days after the date the Company is notified (orally or in writing, whichever is earlier) by the staff of the Commission that such Registration Statement will not be “reviewed” or will not be subject to further review;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 if such day falls on a Saturday, Sunday or other day that the Commission is closed for business, the Additional Effectiveness Deadline shall be extended to the next Business Day on which the Commission is open for business and (ii) if the Commission is closed for operations due to a government shutdown, the Effectiveness Deadline shall be extended by the same number of Business Days that the Commission remains closed for. Any failure by the Company to file a Registration Statement by the Effectiveness Deadline or Additional Effectiveness Deadline shall not otherwise relieve the Company of its obligations to file or effect a Registration Statement as set forth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w:t>
      </w:r>
    </w:p>
    <w:p>
      <w:pPr>
        <w:spacing w:after="0" w:line="199" w:lineRule="exact"/>
        <w:rPr>
          <w:rFonts w:ascii="Times New Roman" w:cs="Times New Roman" w:eastAsia="Times New Roman" w:hAnsi="Times New Roman"/>
          <w:sz w:val="18"/>
          <w:szCs w:val="18"/>
          <w:color w:val="auto"/>
        </w:rPr>
      </w:pPr>
    </w:p>
    <w:p>
      <w:pPr>
        <w:jc w:val="both"/>
        <w:ind w:left="-656" w:firstLine="656"/>
        <w:spacing w:after="0" w:line="251" w:lineRule="auto"/>
        <w:tabs>
          <w:tab w:leader="none" w:pos="24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that, except for such times as the Company is permitted hereunder to suspend the use of the prospectus forming part of a Registration Statement, the Company will use its commercially reasonable efforts to cause such Registration Statement to remain effective with respect to Subscriber, including to prepare and file any post-effective amendment to such Registration Statement or a supplement to the related prospectus such that the prospectus will not include any untrue statement or a material fact or omit to state any material fact necessary to make the statements therein, in light of the circumstances under which they were made, not misleading, until the earliest to occur of (i) the date on which Subscriber ceases to hold any Subscribed Shares issued pursuant to this Subscription Agreement and (ii) the first date on which Subscriber can sell all of its Subscribed Shares issued pursuant to this Subscription Agreement (or shares received in exchange therefor) under Rule 144 of the Securities Act without limitation as to the manner of sale or the amount of such securities that may be sold (the earliest of clauses (i) and (ii), the “</w:t>
      </w:r>
      <w:r>
        <w:rPr>
          <w:rFonts w:ascii="Times New Roman" w:cs="Times New Roman" w:eastAsia="Times New Roman" w:hAnsi="Times New Roman"/>
          <w:sz w:val="18"/>
          <w:szCs w:val="18"/>
          <w:u w:val="single" w:color="auto"/>
          <w:color w:val="auto"/>
        </w:rPr>
        <w:t>End Date</w:t>
      </w:r>
      <w:r>
        <w:rPr>
          <w:rFonts w:ascii="Times New Roman" w:cs="Times New Roman" w:eastAsia="Times New Roman" w:hAnsi="Times New Roman"/>
          <w:sz w:val="18"/>
          <w:szCs w:val="18"/>
          <w:color w:val="auto"/>
        </w:rPr>
        <w:t xml:space="preserve">”). Prior to the End Date, the Company will use commercially reasonable efforts to obtain the withdrawal of any order suspending the effectiveness of any Registration Statement as soon as reasonably practicable; file all reports, and provide all customary and reasonable cooperation, necessary to enable Subscriber to resell Subscribed Shares pursuant to the Registration Statement; qualify the Subscribed Shares for listing on the applicable stock exchange on which the Common Stock is then listed and update or amend the Registration Statement as necessary to include Subscribed Shares. The Company will use its commercially reasonable efforts to (A) for so long as Subscriber holds Subscribed Shares, make and keep public information available (as those terms are understood and defined in Rule 144) and file with the Commission in a timely manner all reports and other documents required of the Company under the Exchange Act so long as the Company remains subject to such requirements to enable Subscriber to resell the Subscribed Shares pursuant to Rule 144, (B) at the reasonable request of Subscriber, deliver all the necessary documentation to cause the Company’s transfer agent to remove all restrictive legends from any Subscribed Shares being sold under the Registration Statement or pursuant to Rule 144 at the time of sale of the Subscribed Shares, or that may be sold by Subscriber without restriction under Rule 144, including without limitation, any volume and manner of sale restrictions, and (C) cause its legal counsel to deliver to the transfer agent the necessary legal opinions required by the transfer agent, if any, in connection with the instruction under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upon the receipt of Subscriber representation letters and such other customary supporting documentation as requested by (and in a form reasonably acceptable to) such counsel. Subscriber agrees to disclose its beneficial ownership, as determined in accordance with Rule 13d-3 of the Exchange Act, of Subscribed Shares to the Company (or its successor) upon reasonable request to assist the Company in making the determination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433705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4" w:name="page15"/>
    <w:bookmarkEnd w:id="14"/>
    <w:p>
      <w:pPr>
        <w:jc w:val="both"/>
        <w:ind w:left="-656" w:firstLine="656"/>
        <w:spacing w:after="0" w:line="251" w:lineRule="auto"/>
        <w:tabs>
          <w:tab w:leader="none" w:pos="26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obligations to include the Subscribed Shares in the Registration Statement are contingent upon Subscriber furnishing in writing to the Company a completed selling stockholder questionnaire in customary form that contains such information regarding Subscriber, the securities of the Company held by Subscriber and the intended method of disposition of the Subscribed Shares as shall be reasonably requested by the Company to effect the registration of the Subscribed Shares, and Subscriber shall execute such documents in connection with such registration as the Company may reasonably request that are customary of a selling stockholder in similar situations, including providing that the Company shall be entitled to postpone and suspend the effectiveness or use of the Registration Statement (i) during any customary blackout or similar period or as permitted hereunder and (ii) as may be necessary in connection with the preparation and filing of a post-effective amendment to the Registration Statement following the filing of the Company’s Annual Report on Form 10-K for its first completed fiscal year following the effective date of the Registration Statement;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Company shall request such information from Subscriber, including the selling stockholder questionnaire, at least five calendar days prior to the anticipated date of filing the Registration Statement with the Commission. In the case of the registration effected by the Company pursuant to this Subscription Agreement, the Company shall, upon reasonable request, inform Subscriber as to the status of such registration. Subscriber shall not be entitled to use the Registration Statement for an underwritten offering of Subscribed Shares. Notwithstanding anything to the contrary contained herein, the Company may delay or postpone filing of such Registration Statement, and from time to time require Subscriber not to sell under the Registration Statement or suspend the use or effectiveness of any such Registration Statement if (A) it determines in good faith that in order for the registration statement to not contain a material misstatement or omission, an amendment thereto would be needed, (B) such filing or use would materially affect a bona fide business or financing transaction of the Company or would require premature disclosure of information that would materially adversely affect the Company, or (C) in the good faith judgment of the majority of the members of the Company’s board of directors, such filing or effectiveness or use of such Registration Statement would be seriously detrimental to the Company, or (D) the majority of the board determines to delay the filing or initial effectiveness of, or suspend use of, a Registration Statement and such delay or suspension arises out of, or is a result of, or is related to or is in connection with the SEC Guidance or future Commission guidance directed at special purpose acquisition companies, or any related disclosure or related matters (each such circumstance, a “</w:t>
      </w:r>
      <w:r>
        <w:rPr>
          <w:rFonts w:ascii="Times New Roman" w:cs="Times New Roman" w:eastAsia="Times New Roman" w:hAnsi="Times New Roman"/>
          <w:sz w:val="18"/>
          <w:szCs w:val="18"/>
          <w:u w:val="single" w:color="auto"/>
          <w:color w:val="auto"/>
        </w:rPr>
        <w:t>Suspension Event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(w) the Company shall not so delay filing or so suspend the use of the Registration Statement for a period of more than sixty consecutive days or more than one hundred twenty total calendar days, or more than three times in any three hundred sixty day period and (x) the Company shall use commercially reasonable efforts to make such registration statement available for the sale by Subscriber of such securities as soon as practicable thereafter.</w:t>
      </w:r>
    </w:p>
    <w:p>
      <w:pPr>
        <w:spacing w:after="0" w:line="204" w:lineRule="exact"/>
        <w:rPr>
          <w:rFonts w:ascii="Times New Roman" w:cs="Times New Roman" w:eastAsia="Times New Roman" w:hAnsi="Times New Roman"/>
          <w:sz w:val="18"/>
          <w:szCs w:val="18"/>
          <w:color w:val="auto"/>
        </w:rPr>
      </w:pPr>
    </w:p>
    <w:p>
      <w:pPr>
        <w:jc w:val="both"/>
        <w:ind w:left="-656" w:firstLine="656"/>
        <w:spacing w:after="0" w:line="252" w:lineRule="auto"/>
        <w:tabs>
          <w:tab w:leader="none" w:pos="27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of any written notice from the Company (which notice shall not contain any material non-public information regarding the Company) of the happening of (i) an issuance by the Commission of any stop order suspending the effectiveness of any Registration Statement or the initiation of any proceedings for such purpose, which notice shall be given no later than three Business Days from the date of such event, (ii) any Suspension Event during the period that the Registration Statement is effective, which notice shall be given no later than three Business Days from the date of such Suspension Event, or (iii) if as a result of a Suspension Event the Registration Statement or related prospectus contains any untrue statement of a material fact or omits to state any material fact required to be stated therein or necessary to make the statements therein, in light of the circumstances under which they were made (in the case of the prospectus) not misleading, Subscriber agrees that (1) it will immediately discontinue offers and sales of the Subscribed Shares under the Registration Statement until Subscriber receives copies of a supplemental or amended prospectus (which the Company agrees to promptly prepare) that corrects the misstatement(s) or omission(s) referred to above and receives notice that any post-effective amendment has become effective or unless otherwise notified by the Company that it may resume such offers and sales and (2) it will maintain the confidentiality of any information included in such written notice delivered by the Company unless otherwise required by law, subpoena or regulatory request or requirement. If so directed by the Company, Subscriber will deliver to the Company or, in Subscriber’s sole discretion destroy, all copies of the prospectus covering the Subscribed Shares in Subscriber’s possession; provided, however, that this obligation to deliver or destroy all copies of the prospectus covering the Subscribed Shares shall not apply (w) to the extent Subscriber is required to retain a copy of such prospectus (A) in order to comply with applicable legal, regulatory, self-regulatory or professional requirements or (B) in accordance with a bona fide pre-existing document retention policy or (x) to copies stored electronically on archival servers as a result of automatic data back-up.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426720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5" w:name="page16"/>
    <w:bookmarkEnd w:id="15"/>
    <w:p>
      <w:pPr>
        <w:jc w:val="both"/>
        <w:ind w:left="-656" w:firstLine="656"/>
        <w:spacing w:after="0" w:line="261" w:lineRule="auto"/>
        <w:tabs>
          <w:tab w:leader="none" w:pos="26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of this Subscription Agreement, (i) “</w:t>
      </w:r>
      <w:r>
        <w:rPr>
          <w:rFonts w:ascii="Times New Roman" w:cs="Times New Roman" w:eastAsia="Times New Roman" w:hAnsi="Times New Roman"/>
          <w:sz w:val="18"/>
          <w:szCs w:val="18"/>
          <w:u w:val="single" w:color="auto"/>
          <w:color w:val="auto"/>
        </w:rPr>
        <w:t>Subscribed Shares</w:t>
      </w:r>
      <w:r>
        <w:rPr>
          <w:rFonts w:ascii="Times New Roman" w:cs="Times New Roman" w:eastAsia="Times New Roman" w:hAnsi="Times New Roman"/>
          <w:sz w:val="18"/>
          <w:szCs w:val="18"/>
          <w:color w:val="auto"/>
        </w:rPr>
        <w:t>” shall mean, as of any date of determination, the Subscribed Shares (as defined in the recitals to this Subscription Agreement) and any other equity security issued or issuable with respect to the Subscribed Shares by way of stock split, dividend, distribution, recapitalization, merger, exchange, or replacement, and (ii) “</w:t>
      </w:r>
      <w:r>
        <w:rPr>
          <w:rFonts w:ascii="Times New Roman" w:cs="Times New Roman" w:eastAsia="Times New Roman" w:hAnsi="Times New Roman"/>
          <w:sz w:val="18"/>
          <w:szCs w:val="18"/>
          <w:u w:val="single" w:color="auto"/>
          <w:color w:val="auto"/>
        </w:rPr>
        <w:t>Subscriber</w:t>
      </w:r>
      <w:r>
        <w:rPr>
          <w:rFonts w:ascii="Times New Roman" w:cs="Times New Roman" w:eastAsia="Times New Roman" w:hAnsi="Times New Roman"/>
          <w:sz w:val="18"/>
          <w:szCs w:val="18"/>
          <w:color w:val="auto"/>
        </w:rPr>
        <w:t xml:space="preserve">” shall include any person to which the rights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have been duly assigned.</w:t>
      </w:r>
    </w:p>
    <w:p>
      <w:pPr>
        <w:spacing w:after="0" w:line="179" w:lineRule="exact"/>
        <w:rPr>
          <w:rFonts w:ascii="Times New Roman" w:cs="Times New Roman" w:eastAsia="Times New Roman" w:hAnsi="Times New Roman"/>
          <w:sz w:val="18"/>
          <w:szCs w:val="18"/>
          <w:color w:val="auto"/>
        </w:rPr>
      </w:pPr>
    </w:p>
    <w:p>
      <w:pPr>
        <w:jc w:val="both"/>
        <w:ind w:left="-656" w:firstLine="656"/>
        <w:spacing w:after="0" w:line="252" w:lineRule="auto"/>
        <w:tabs>
          <w:tab w:leader="none" w:pos="21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notwithstanding any termination of this Subscription Agreement, indemnify, defend and hold harmless Subscriber, (to the extent Subscriber is a seller under the Registration Statement), the officers, directors, members, managers, partners, agents and employees of Subscriber, each person who controls Subscriber (within the meaning of Section 15 of the Securities Act or Section 20 of the Exchange Act) and the officers, directors, members, managers, partners, agents and employees of each such controlling person, to the fullest extent permitted by applicable law, from and against any and all losses, claims, damages, liabilities, costs (including, without limitation, reasonable and documented attorneys’ fees) and expenses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xml:space="preserve">”) arising out of or caused by or based upon (i) any untrue or alleged untrue statement of a material fact contained in the Registration Statement, any prospectus included in the Registration Statement or any form of prospectus or in any amendment or supplement thereto or in any preliminary prospectus, or any omission or alleged omission to state a material fact required to be stated therein or necessary to make the statements therein (in the case of any prospectus or form of prospectus or supplement thereto, in light of the circumstances under which they were made) not misleading, or (ii) any violation or alleged violation by the Company of the Securities Act, Exchange Act or any state securities law or any rule or regulation thereunder, in connection with the performance of its obligations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except, in each case, to the extent that such untrue statements, alleged untrue statements, omissions or alleged omissions are (1) based upon information regarding Subscriber furnished in writing to the Company by or on behalf of Subscriber expressly for use therein or Subscriber has omitted a material fact from such information or (2) result from or in connection with any offers or sales effected by or on behalf of Subscriber in violation of </w:t>
      </w:r>
      <w:r>
        <w:rPr>
          <w:rFonts w:ascii="Times New Roman" w:cs="Times New Roman" w:eastAsia="Times New Roman" w:hAnsi="Times New Roman"/>
          <w:sz w:val="18"/>
          <w:szCs w:val="18"/>
          <w:u w:val="single" w:color="auto"/>
          <w:color w:val="auto"/>
        </w:rPr>
        <w:t>Section 6(d)</w:t>
      </w:r>
      <w:r>
        <w:rPr>
          <w:rFonts w:ascii="Times New Roman" w:cs="Times New Roman" w:eastAsia="Times New Roman" w:hAnsi="Times New Roman"/>
          <w:sz w:val="18"/>
          <w:szCs w:val="18"/>
          <w:color w:val="auto"/>
        </w:rPr>
        <w:t xml:space="preserve">. Notwithstanding the foregoing, the Company’s indemnification obligations shall not apply to amounts paid in settlement of any Losses or action if such settlement is effected without the prior written consent of the Company (which consent shall not be unreasonably withheld or delayed). Upon the request of Subscriber, the Company shall provide Subscriber with an update on any threatened or asserted proceedings arising from or in connection with the transactions contemplated by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of which the Company receives notice in writing.</w:t>
      </w:r>
    </w:p>
    <w:p>
      <w:pPr>
        <w:spacing w:after="0" w:line="191" w:lineRule="exact"/>
        <w:rPr>
          <w:rFonts w:ascii="Times New Roman" w:cs="Times New Roman" w:eastAsia="Times New Roman" w:hAnsi="Times New Roman"/>
          <w:sz w:val="18"/>
          <w:szCs w:val="18"/>
          <w:color w:val="auto"/>
        </w:rPr>
      </w:pPr>
    </w:p>
    <w:p>
      <w:pPr>
        <w:jc w:val="both"/>
        <w:ind w:left="-656" w:firstLine="656"/>
        <w:spacing w:after="0" w:line="252" w:lineRule="auto"/>
        <w:tabs>
          <w:tab w:leader="none" w:pos="25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shall indemnify and hold harmless the Company, its directors, officers, members, managers, partners, agents and employees, each person who controls the Company (within the meaning of Section 15 of the Securities Act and Section 20 of the Exchange Act), and the directors, officers, members, managers, partners, agents or employees of such controlling persons, to the fullest extent permitted by applicable law, from and against all Losses arising out of or based upon any untrue or alleged untrue statement of a material fact contained in any Registration Statement, any prospectus included in the Registration Statement,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any form of prospectus or supplement thereto, in light of the circumstances under which they were made) not misleading to the extent, but only to the extent, that such untrue statements, alleged untrue statements, omissions or alleged omissions are based upon information regarding Subscriber furnished in writing to the Company by or on behalf of Subscriber expressly for use therein. In no event shall the liability of Subscriber be greater in amount than the dollar amount of the net proceeds received by Subscriber upon the sale of the Subscribed Shares giving rise to such indemnification obligation. Notwithstanding the forgoing, Subscriber’s indemnification obligation shall not apply to amounts paid in settlement of any Losses or action if such settlement is effected without the prior written consent of Subscriber (which consent shall not be unreasonably withheld or delayed) nor shall Subscriber be liable for any Losses to the extent they arise out of or are based upon a violation which occurs in reliance upon and in conformity with written information furnished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428625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6" w:name="page17"/>
    <w:bookmarkEnd w:id="16"/>
    <w:p>
      <w:pPr>
        <w:jc w:val="both"/>
        <w:ind w:left="-656" w:firstLine="656"/>
        <w:spacing w:after="0" w:line="269" w:lineRule="auto"/>
        <w:tabs>
          <w:tab w:leader="none" w:pos="241"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or entity entitled to indemnification herein shall (i) give prompt written notice to the indemnifying party of any claim with respect to which it seeks indemnification (provided that the failure to give prompt notice shall not impair any person’s or entity’s right to indemnification hereunder to the extent such failure has not prejudiced the indemnifying party)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conditioned or delayed). An indemnifying party who is not entitled to, or elects not to, assume the defense of a claim shall not be obligated to pay the fees and expenses of more than one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which settlement shall not include a statement or admission of fault and culpability on the part of such indemnified party, and which settlement shall include as an unconditional term thereof the giving by the claimant or plaintiff to such indemnified party of a release from all liability in respect to such claim or litigation.</w:t>
      </w:r>
    </w:p>
    <w:p>
      <w:pPr>
        <w:spacing w:after="0" w:line="175" w:lineRule="exact"/>
        <w:rPr>
          <w:rFonts w:ascii="Times New Roman" w:cs="Times New Roman" w:eastAsia="Times New Roman" w:hAnsi="Times New Roman"/>
          <w:sz w:val="17"/>
          <w:szCs w:val="17"/>
          <w:color w:val="auto"/>
        </w:rPr>
      </w:pPr>
    </w:p>
    <w:p>
      <w:pPr>
        <w:jc w:val="both"/>
        <w:ind w:left="-656" w:firstLine="656"/>
        <w:spacing w:after="0" w:line="266" w:lineRule="auto"/>
        <w:tabs>
          <w:tab w:leader="none" w:pos="21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provided for under this Subscription Agreement shall remain in full force and effect regardless of any investigation made by or on behalf of the indemnified party or any officer, director or controlling person or entity of such indemnified party and shall survive the transfer of the Subscribed Shares pursuant to this Subscription Agreement.</w:t>
      </w:r>
    </w:p>
    <w:p>
      <w:pPr>
        <w:spacing w:after="0" w:line="175" w:lineRule="exact"/>
        <w:rPr>
          <w:rFonts w:ascii="Times New Roman" w:cs="Times New Roman" w:eastAsia="Times New Roman" w:hAnsi="Times New Roman"/>
          <w:sz w:val="18"/>
          <w:szCs w:val="18"/>
          <w:color w:val="auto"/>
        </w:rPr>
      </w:pPr>
    </w:p>
    <w:p>
      <w:pPr>
        <w:jc w:val="both"/>
        <w:ind w:left="-656" w:firstLine="656"/>
        <w:spacing w:after="0" w:line="252" w:lineRule="auto"/>
        <w:tabs>
          <w:tab w:leader="none" w:pos="21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indemnification provided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from the indemnifying party is unavailable or insufficient to hold harmless an indemnified party in respect of any Losses, then the indemnifying party, in lieu of indemnifying the indemnified party, shall contribute to the amount paid or payable by the indemnified party as a result of such Losses in such proportion as is appropriate to reflect the relative fault of the indemnifying party and the indemnified party, as well as any other relevant equitable considerations;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liability of Subscriber shall be limited to the net proceeds received by such Subscriber from the sale of Subscribed Shares giving rise to such indemnification obligation.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not made by, in the case of an omission), or relates to information supplied by (or not supplied by, in the case of an omission), or on behalf of such indemnifying party or indemnified party, and the indemnifying party’s and indemnified party’s relative intent, knowledge, access to information and opportunity to correct or prevent such action. The amount paid or payable by a party as a result of the Losses shall be deemed to include, subject to the limitations set forth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any legal or other fees, charges or expenses reasonably incurred by such party in connection with any investigation or proceeding. No person guilty of fraudulent misrepresentation (within the meaning of Section 11(f) of the Securities Act) shall be entitled to contribution pursuant to this </w:t>
      </w:r>
      <w:r>
        <w:rPr>
          <w:rFonts w:ascii="Times New Roman" w:cs="Times New Roman" w:eastAsia="Times New Roman" w:hAnsi="Times New Roman"/>
          <w:sz w:val="18"/>
          <w:szCs w:val="18"/>
          <w:u w:val="single" w:color="auto"/>
          <w:color w:val="auto"/>
        </w:rPr>
        <w:t>Section 6(j)</w:t>
      </w:r>
      <w:r>
        <w:rPr>
          <w:rFonts w:ascii="Times New Roman" w:cs="Times New Roman" w:eastAsia="Times New Roman" w:hAnsi="Times New Roman"/>
          <w:sz w:val="18"/>
          <w:szCs w:val="18"/>
          <w:color w:val="auto"/>
        </w:rPr>
        <w:t xml:space="preserve"> from any person or entity who was not guilty of such fraudulent misrepresentation. Notwithstanding anything to the contrary herein, in no event will any party be liable for punitive damages in connection with this Subscription Agreement or the transactions contemplated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428625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7" w:name="page18"/>
    <w:bookmarkEnd w:id="17"/>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This Subscription Agreement shall terminate and be void and of no further force and effect, and all rights and obligations of the parties hereunder shall terminate without any further liability on the part of any party in respect thereof, upon the earliest to occur of (a) such date and time as the Merger Agreement is terminated in accordance with its terms and (b) the mutual written agreement of the parties hereto to terminate this Subscription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herein will relieve any party from liability for any willful breach hereof prior to the time of termination, and each party will be entitled to any remedies at law or in equity to recover losses, liabilities or damages arising from such breach. The Company shall notify Subscriber of the termination of the Merger Agreement promptly after the termination thereof. Upon the termination hereof in accordance with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any monies paid by Subscriber to the Company in connection herewith shall promptly (and in any event within one Business Day) be returned in full to Subscriber by wire transfer of U.S. dollars in immediately available funds to the account specified by Subscriber, without any deduction for or on account of any tax withholding, charges or set-off, whether or not the Transactions shall have been consummated.</w:t>
      </w:r>
    </w:p>
    <w:p>
      <w:pPr>
        <w:spacing w:after="0" w:line="18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Trust Account Waiver</w:t>
      </w:r>
      <w:r>
        <w:rPr>
          <w:rFonts w:ascii="Times New Roman" w:cs="Times New Roman" w:eastAsia="Times New Roman" w:hAnsi="Times New Roman"/>
          <w:sz w:val="18"/>
          <w:szCs w:val="18"/>
          <w:color w:val="auto"/>
        </w:rPr>
        <w:t>. Subscriber hereby acknowledges that, as described in the Company’s prospectus relating to its initial public offering (the “</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dated December 14, 2021 available at www.sec.gov, the Company has established a trust account (the “</w:t>
      </w:r>
      <w:r>
        <w:rPr>
          <w:rFonts w:ascii="Times New Roman" w:cs="Times New Roman" w:eastAsia="Times New Roman" w:hAnsi="Times New Roman"/>
          <w:sz w:val="18"/>
          <w:szCs w:val="18"/>
          <w:u w:val="single" w:color="auto"/>
          <w:color w:val="auto"/>
        </w:rPr>
        <w:t>Trust Account</w:t>
      </w:r>
      <w:r>
        <w:rPr>
          <w:rFonts w:ascii="Times New Roman" w:cs="Times New Roman" w:eastAsia="Times New Roman" w:hAnsi="Times New Roman"/>
          <w:sz w:val="18"/>
          <w:szCs w:val="18"/>
          <w:color w:val="auto"/>
        </w:rPr>
        <w:t>”) containing the proceeds of the IPO and from certain private placements occurring simultaneously with the IPO (including interest accrued from time to time thereon) for the benefit of the Company, its public stockholders and certain other parties (including the underwriters of the IPO), and that, except as otherwise described in such prospectus, the Company may disburse monies from the Trust Account only to (x) its public stockholders in the event they elect to have their shares of Common Stock redeemed for cash in connection with the consummation of the Company’s initial business combination, an amendment to its Certificate of Incorporation to extend the deadline by which the Company must consummate its initial business combination, or the Company’s failure to consummate an initial business combination by such deadline, (y) pay certain taxes from time to time, or (z) the Company after or concurrently with the consummation of its initial business combination. For and in consideration of the Company entering into this Subscription Agreement, and for other good and valuable consideration, the receipt and sufficiency of which are hereby acknowledged, Subscriber, on behalf of itself and its affiliates, hereby (a) agrees that it does not now and shall not at any time hereafter have any right, title, interest or claim of any kind in or to any assets held in the Trust Account, and shall not make any claim against the Trust Account, arising out or as a result of, in connection with or relating in any way to this Subscription Agreement, and regardless of whether such claim arises based on contract, tort, equity or any other theory of legal liability (any and all such claims are collectively referred to hereafter as the “</w:t>
      </w:r>
      <w:r>
        <w:rPr>
          <w:rFonts w:ascii="Times New Roman" w:cs="Times New Roman" w:eastAsia="Times New Roman" w:hAnsi="Times New Roman"/>
          <w:sz w:val="18"/>
          <w:szCs w:val="18"/>
          <w:u w:val="single" w:color="auto"/>
          <w:color w:val="auto"/>
        </w:rPr>
        <w:t>Released Claims</w:t>
      </w:r>
      <w:r>
        <w:rPr>
          <w:rFonts w:ascii="Times New Roman" w:cs="Times New Roman" w:eastAsia="Times New Roman" w:hAnsi="Times New Roman"/>
          <w:sz w:val="18"/>
          <w:szCs w:val="18"/>
          <w:color w:val="auto"/>
        </w:rPr>
        <w:t xml:space="preserve">”), (b) irrevocably waives any Released Claims that it may have against the Trust Account now or in the future as a result of, or arising out of, this Subscription Agreement, and (c) will not seek recourse against the Trust Account as a result of, in connection with or relating in any way to this Subscription Agreement. Subscriber acknowledges and agrees that such irrevocable waiver is a material inducement to the Company to enter into this Subscription Agreement, and further intends and understands such waiver to be valid, binding, and enforceable against Subscriber in accordance with applicable law. To the extent Subscriber commences any action or proceeding based upon, in connection with, relating to or arising out of any matter relating to the Company or its Representatives, which proceeding seeks, in whole or in part, monetary relief against the Company or its Representatives, Subscriber hereby acknowledges and agrees that its sole remedy shall be against funds held outside of the Trust Account and that such claim shall not permit Subscriber (or any person claiming on Subscriber’s behalf or in lieu of Subscriber) to have any claim against the Trust Account (including any distributions therefrom) or any amounts contained therein. Nothing in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shall be deemed to limit Subscriber’s right to distributions from the Trust Account in accordance with the Company’s Certificate of Incorporation in respect of any redemptions by Subscriber in respect of Common Stock acquired by any means other than pursuant to this Subscription Agreement. Notwithstanding anything in this Subscription Agreement to the contrary, the provisions of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shall survive termination of this Subscription Agreement.</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5" w:lineRule="auto"/>
        <w:tabs>
          <w:tab w:leader="none" w:pos="892"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notices, requests, demands, claims, and other communications hereunder shall be in writing. Any notice, request, demand, claim, or other communication hereunder shall be deemed duly given (i) when delivered personally to the recipient, (ii) when sent by electronic mail, with no mail undeliverable or other rejection notice, on the date of transmission to such recipient, if sent on a Business Day prior to 5:00 p.m. New York City time, or on the Business Day following the date of transmission, if sent on a day that is not a Business Day or after 5:00 p.m. New York City time on a Business Day,</w:t>
      </w:r>
    </w:p>
    <w:p>
      <w:pPr>
        <w:spacing w:after="0" w:line="2" w:lineRule="exact"/>
        <w:rPr>
          <w:rFonts w:ascii="Times New Roman" w:cs="Times New Roman" w:eastAsia="Times New Roman" w:hAnsi="Times New Roman"/>
          <w:sz w:val="18"/>
          <w:szCs w:val="18"/>
          <w:color w:val="auto"/>
        </w:rPr>
      </w:pPr>
    </w:p>
    <w:p>
      <w:pPr>
        <w:jc w:val="both"/>
        <w:ind w:firstLine="8"/>
        <w:spacing w:after="0" w:line="252" w:lineRule="auto"/>
        <w:tabs>
          <w:tab w:leader="none" w:pos="32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one Business Day after being sent to the recipient via overnight mail by reputable overnight courier service (charges prepaid), or (iv) four Business Days after being mailed to the recipient by certified or registered mail, return receipt requested and postage prepaid, and, in each case, addressed to the intended recipient at its address specified on the signature page hereof or to such electronic mail address or address as subsequently modified by written notice given in accordance with this </w:t>
      </w:r>
      <w:r>
        <w:rPr>
          <w:rFonts w:ascii="Times New Roman" w:cs="Times New Roman" w:eastAsia="Times New Roman" w:hAnsi="Times New Roman"/>
          <w:sz w:val="18"/>
          <w:szCs w:val="18"/>
          <w:u w:val="single" w:color="auto"/>
          <w:color w:val="auto"/>
        </w:rPr>
        <w:t>Section 9(a)</w:t>
      </w:r>
      <w:r>
        <w:rPr>
          <w:rFonts w:ascii="Times New Roman" w:cs="Times New Roman" w:eastAsia="Times New Roman" w:hAnsi="Times New Roman"/>
          <w:sz w:val="18"/>
          <w:szCs w:val="18"/>
          <w:color w:val="auto"/>
        </w:rPr>
        <w:t xml:space="preserve">. A courtesy electronic copy of any notice sent by methods (i), (iii), or (iv) above shall also be sent to the recipient via electronic mail if an electronic mail address is provided in the applicable signature page hereof or to an electronic mail address as subsequently modified by written notice given in accordance with this </w:t>
      </w:r>
      <w:r>
        <w:rPr>
          <w:rFonts w:ascii="Times New Roman" w:cs="Times New Roman" w:eastAsia="Times New Roman" w:hAnsi="Times New Roman"/>
          <w:sz w:val="18"/>
          <w:szCs w:val="18"/>
          <w:u w:val="single" w:color="auto"/>
          <w:color w:val="auto"/>
        </w:rPr>
        <w:t>Section 9(a)</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ind w:firstLine="656"/>
        <w:spacing w:after="0" w:line="254" w:lineRule="auto"/>
        <w:tabs>
          <w:tab w:leader="none" w:pos="90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Subscriber acknowledges that the Company and others, including after the Closing, Target, will rely on the acknowledgments, understandings, agreements, representations and warranties of Subscriber contained in this Subscription Agreement; provided, however, that the foregoing clause of this </w:t>
      </w:r>
      <w:r>
        <w:rPr>
          <w:rFonts w:ascii="Times New Roman" w:cs="Times New Roman" w:eastAsia="Times New Roman" w:hAnsi="Times New Roman"/>
          <w:sz w:val="18"/>
          <w:szCs w:val="18"/>
          <w:u w:val="single" w:color="auto"/>
          <w:color w:val="auto"/>
        </w:rPr>
        <w:t>Section 9(b)</w:t>
      </w:r>
      <w:r>
        <w:rPr>
          <w:rFonts w:ascii="Times New Roman" w:cs="Times New Roman" w:eastAsia="Times New Roman" w:hAnsi="Times New Roman"/>
          <w:sz w:val="18"/>
          <w:szCs w:val="18"/>
          <w:color w:val="auto"/>
        </w:rPr>
        <w:t xml:space="preserve"> shall not give the Company or Target any rights other than those expressly set forth herein. Prior to the Closing, Subscriber agrees to promptly notify the Company if it becomes aware that any of the acknowledgments, understandings, agreements, representations and warranties of Subscriber set forth herein are no longer accurate in all material respects. The Company acknowledges that Subscriber will rely on the acknowledgments, understandings, agreements, representations and warranties contained in this Subscription Agreement. Prior to the Closing, the Company agrees to promptly notify Subscriber if they become aware that any of the acknowledgments, understandings, agreements, representations and warranties of the Company set forth herein are no longer accurate in all material respects.</w:t>
      </w:r>
    </w:p>
    <w:p>
      <w:pPr>
        <w:spacing w:after="0" w:line="191" w:lineRule="exact"/>
        <w:rPr>
          <w:rFonts w:ascii="Times New Roman" w:cs="Times New Roman" w:eastAsia="Times New Roman" w:hAnsi="Times New Roman"/>
          <w:sz w:val="18"/>
          <w:szCs w:val="18"/>
          <w:color w:val="auto"/>
        </w:rPr>
      </w:pPr>
    </w:p>
    <w:p>
      <w:pPr>
        <w:ind w:firstLine="656"/>
        <w:spacing w:after="0" w:line="282" w:lineRule="auto"/>
        <w:tabs>
          <w:tab w:leader="none" w:pos="8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Subscriber is irrevocably authorized to produce this Subscription Agreement or a copy hereof to any interested party in any administrative or legal proceeding or official inquiry with respect to the matters covered hereby.</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hereto shall pay all of its own expenses in connection with this Subscription Agreement and the transactions contemplated herein.</w:t>
      </w:r>
    </w:p>
    <w:p>
      <w:pPr>
        <w:spacing w:after="0" w:line="225" w:lineRule="exact"/>
        <w:rPr>
          <w:rFonts w:ascii="Times New Roman" w:cs="Times New Roman" w:eastAsia="Times New Roman" w:hAnsi="Times New Roman"/>
          <w:sz w:val="18"/>
          <w:szCs w:val="18"/>
          <w:color w:val="auto"/>
        </w:rPr>
      </w:pPr>
    </w:p>
    <w:p>
      <w:pPr>
        <w:jc w:val="both"/>
        <w:ind w:firstLine="656"/>
        <w:spacing w:after="0" w:line="253" w:lineRule="auto"/>
        <w:tabs>
          <w:tab w:leader="none" w:pos="92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this Subscription Agreement nor any rights that may accrue to Subscriber hereunder (other than the Subscribed Shares acquired hereunder and the rights set forth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may be transferred or assigned by Subscriber. Neither this Subscription Agreement nor any rights that may accrue to the Company hereunder may be transferred or assigned by the Company without the prior written consent of Subscriber, other than in connection with the Transactions. Notwithstanding the foregoing, Subscriber may assign all or a portion of its rights and obligations under this Subscription Agreement to one or more of its affiliates (including other investment funds or accounts managed or advised by the investment manager who acts on behalf of Subscriber) upon written notice to the Company or, with the Company’s prior written consent, to another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any such assignment, the assignee(s) shall become a Subscriber hereunder and have the rights and obligations and be deemed to make the representations and warranties of Subscriber provided for herein to the extent of such assignment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no such assignment shall relieve the assigning Subscriber of its obligations hereunder if any such assignee fails to perform such obligations, unless the Company has given their prior written consent to such relief.</w:t>
      </w:r>
    </w:p>
    <w:p>
      <w:pPr>
        <w:spacing w:after="0" w:line="194"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agreements, representations and warranties made by each party hereto in this Subscription Agreement shall survive the Closing.</w:t>
      </w:r>
    </w:p>
    <w:p>
      <w:pPr>
        <w:spacing w:after="0" w:line="225" w:lineRule="exact"/>
        <w:rPr>
          <w:rFonts w:ascii="Times New Roman" w:cs="Times New Roman" w:eastAsia="Times New Roman" w:hAnsi="Times New Roman"/>
          <w:sz w:val="18"/>
          <w:szCs w:val="18"/>
          <w:color w:val="auto"/>
        </w:rPr>
      </w:pPr>
    </w:p>
    <w:p>
      <w:pPr>
        <w:jc w:val="both"/>
        <w:ind w:firstLine="656"/>
        <w:spacing w:after="0" w:line="273" w:lineRule="auto"/>
        <w:tabs>
          <w:tab w:leader="none" w:pos="925"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 may request from Subscriber such additional information as the Company may reasonably deem necessary to evaluate the eligibility of Subscriber to acquire the Subscribed Shares and to register the Subscribed Shares for resale, and Subscriber shall promptly provide such information as may be reasonably requested, to the extent readily available and to the extent consistent with its internal policies and procedures;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the Company agrees to keep any such information provided by Subscriber confidential, except (A) as required by the federal securities laws, rules or regulations and (B) to the extent such disclosure is required by other laws, rules or regulations, at the request of the staff of the Commission or regulatory agency or under the regulations of the Stock Exchange. Subscriber acknowledges that the Company may file a form of this Subscription Agreement with the Commission as an exhibit to a current or periodic report of the Company, a proxy statement of the Company or a registration statement of the Company.</w:t>
      </w:r>
    </w:p>
    <w:p>
      <w:pPr>
        <w:spacing w:after="0" w:line="171" w:lineRule="exact"/>
        <w:rPr>
          <w:rFonts w:ascii="Times New Roman" w:cs="Times New Roman" w:eastAsia="Times New Roman" w:hAnsi="Times New Roman"/>
          <w:sz w:val="17"/>
          <w:szCs w:val="17"/>
          <w:color w:val="auto"/>
        </w:rPr>
      </w:pPr>
    </w:p>
    <w:p>
      <w:pPr>
        <w:ind w:left="940" w:hanging="284"/>
        <w:spacing w:after="0"/>
        <w:tabs>
          <w:tab w:leader="none" w:pos="9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Subscription Agreement may not be amended, modified or waived except by an instrument in writing, signed by each of the parties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hereto.</w:t>
      </w:r>
    </w:p>
    <w:p>
      <w:pPr>
        <w:spacing w:after="0" w:line="206" w:lineRule="exact"/>
        <w:rPr>
          <w:rFonts w:ascii="Times New Roman" w:cs="Times New Roman" w:eastAsia="Times New Roman" w:hAnsi="Times New Roman"/>
          <w:sz w:val="18"/>
          <w:szCs w:val="18"/>
          <w:color w:val="auto"/>
        </w:rPr>
      </w:pPr>
    </w:p>
    <w:p>
      <w:pPr>
        <w:ind w:firstLine="656"/>
        <w:spacing w:after="0" w:line="282" w:lineRule="auto"/>
        <w:tabs>
          <w:tab w:leader="none" w:pos="87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Subscription Agreement shall constitute the entire agreement, and supersede all other prior agreements, understandings, representations and warranties, both written and oral, among the parties, with respect to the subject matter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ind w:left="-656" w:firstLine="656"/>
        <w:spacing w:after="0" w:line="258" w:lineRule="auto"/>
        <w:tabs>
          <w:tab w:leader="none" w:pos="22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provided herein, this Subscription Agreement is intended for the benefit of the parties hereto and their heirs, executors, administrators, successors, legal representatives, and permitted assigns and is not for the benefit of, nor may any provision hereof be enforced by, any other person. Except as set forth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9(h)</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9(j)</w:t>
      </w:r>
      <w:r>
        <w:rPr>
          <w:rFonts w:ascii="Times New Roman" w:cs="Times New Roman" w:eastAsia="Times New Roman" w:hAnsi="Times New Roman"/>
          <w:sz w:val="18"/>
          <w:szCs w:val="18"/>
          <w:color w:val="auto"/>
        </w:rPr>
        <w:t xml:space="preserve"> with respect to the persons specifically referenced therein, this Subscription Agreement shall not confer any rights or remedies upon any person other than the parties hereto, and their respective successors and assigns.</w:t>
      </w:r>
    </w:p>
    <w:p>
      <w:pPr>
        <w:spacing w:after="0" w:line="183" w:lineRule="exact"/>
        <w:rPr>
          <w:rFonts w:ascii="Times New Roman" w:cs="Times New Roman" w:eastAsia="Times New Roman" w:hAnsi="Times New Roman"/>
          <w:sz w:val="18"/>
          <w:szCs w:val="18"/>
          <w:color w:val="auto"/>
        </w:rPr>
      </w:pPr>
    </w:p>
    <w:p>
      <w:pPr>
        <w:jc w:val="both"/>
        <w:ind w:left="-656" w:firstLine="656"/>
        <w:spacing w:after="0" w:line="253" w:lineRule="auto"/>
        <w:tabs>
          <w:tab w:leader="none" w:pos="26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hereto acknowledge and agree that irreparable damage would occur in the event that any of the provisions of this Subscription Agreement were not performed in accordance with their specific terms or were otherwise breached and that money or other legal remedies would not be an adequate remedy for such damage. It is accordingly agreed that the parties shall be entitled to equitable relief, including in the form of an injunction or injunctions to prevent breaches or threatened breaches of this Subscription Agreement and to enforce specifically the terms and provisions of this Subscription Agreement, this being in addition to any other remedy to which such party is entitled at law, in equity, in contract, in tort or otherwise. The parties hereto acknowledge and agree that the Company shall be entitled to specifically enforce Subscriber’s obligations to fund the Subscription and the provisions of the Subscription Agreement, in each case, on the terms and subject to the conditions set forth herein. The parties hereto further acknowledge and agree: (x) to waive any requirement for the security or posting of any bond in connection with any such equitable remedy; (y) not to assert that a remedy of specific enforcement pursuant to this </w:t>
      </w:r>
      <w:r>
        <w:rPr>
          <w:rFonts w:ascii="Times New Roman" w:cs="Times New Roman" w:eastAsia="Times New Roman" w:hAnsi="Times New Roman"/>
          <w:sz w:val="18"/>
          <w:szCs w:val="18"/>
          <w:u w:val="single" w:color="auto"/>
          <w:color w:val="auto"/>
        </w:rPr>
        <w:t>Section 9(k)</w:t>
      </w:r>
      <w:r>
        <w:rPr>
          <w:rFonts w:ascii="Times New Roman" w:cs="Times New Roman" w:eastAsia="Times New Roman" w:hAnsi="Times New Roman"/>
          <w:sz w:val="18"/>
          <w:szCs w:val="18"/>
          <w:color w:val="auto"/>
        </w:rPr>
        <w:t xml:space="preserve"> is unenforceable, invalid, contrary to applicable law or inequitable for any reason; and (z) to waive any defenses in any action for specific performance, including the defense that a remedy at law would be adequate.</w:t>
      </w:r>
    </w:p>
    <w:p>
      <w:pPr>
        <w:spacing w:after="0" w:line="194" w:lineRule="exact"/>
        <w:rPr>
          <w:rFonts w:ascii="Times New Roman" w:cs="Times New Roman" w:eastAsia="Times New Roman" w:hAnsi="Times New Roman"/>
          <w:sz w:val="18"/>
          <w:szCs w:val="18"/>
          <w:color w:val="auto"/>
        </w:rPr>
      </w:pPr>
    </w:p>
    <w:p>
      <w:pPr>
        <w:ind w:left="-656" w:firstLine="656"/>
        <w:spacing w:after="0" w:line="282" w:lineRule="auto"/>
        <w:tabs>
          <w:tab w:leader="none" w:pos="24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provision of this Subscription Agreement shall be invalid, illegal or unenforceable, the validity, legality or enforceability of the remaining provisions of this Subscription Agreement shall not in any way be affected or impaired thereby and shall continue in full force and effect.</w:t>
      </w:r>
    </w:p>
    <w:p>
      <w:pPr>
        <w:spacing w:after="0" w:line="161" w:lineRule="exact"/>
        <w:rPr>
          <w:rFonts w:ascii="Times New Roman" w:cs="Times New Roman" w:eastAsia="Times New Roman" w:hAnsi="Times New Roman"/>
          <w:sz w:val="18"/>
          <w:szCs w:val="18"/>
          <w:color w:val="auto"/>
        </w:rPr>
      </w:pPr>
    </w:p>
    <w:p>
      <w:pPr>
        <w:jc w:val="both"/>
        <w:ind w:left="-656" w:firstLine="656"/>
        <w:spacing w:after="0" w:line="254" w:lineRule="auto"/>
        <w:tabs>
          <w:tab w:leader="none" w:pos="30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failure or delay by a party hereto in exercising any right, power or remedy under this Subscription Agreement, and no course of dealing between the parties hereto, shall operate as a waiver of any such right, power or remedy of such party. No single or partial exercise of any right, power or remedy under this Subscription Agreement by a party hereto, nor any abandonment or discontinuance of steps to enforce any such right, power or remedy, shall preclude such party from any other or further exercise thereof or the exercise of any other right, power or remedy hereunder. The election of any remedy by a party hereto shall not constitute a waiver of the right of such party to pursue other available remedies. No notice to or demand on a party not expressly required under this Subscription Agreement shall entitle the party receiving such notice or demand to any other or further notice or demand in similar or other circumstances or constitute a waiver of the rights of the party giving such notice or demand to any other or further action in any circumstances without such notice or demand.</w:t>
      </w:r>
    </w:p>
    <w:p>
      <w:pPr>
        <w:spacing w:after="0" w:line="191" w:lineRule="exact"/>
        <w:rPr>
          <w:rFonts w:ascii="Times New Roman" w:cs="Times New Roman" w:eastAsia="Times New Roman" w:hAnsi="Times New Roman"/>
          <w:sz w:val="18"/>
          <w:szCs w:val="18"/>
          <w:color w:val="auto"/>
        </w:rPr>
      </w:pPr>
    </w:p>
    <w:p>
      <w:pPr>
        <w:jc w:val="both"/>
        <w:ind w:left="-656" w:right="20" w:firstLine="656"/>
        <w:spacing w:after="0" w:line="266" w:lineRule="auto"/>
        <w:tabs>
          <w:tab w:leader="none" w:pos="27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Subscription Agreement may be executed and delivered in one or more counterparts (including by electronic mail, in .pdf or other electronic submission) and by different parties in separate counterparts, with the same effect as if all parties hereto had signed the same document. All counterparts so executed and delivered shall be construed together and shall constitute one and the same agreement.</w:t>
      </w:r>
    </w:p>
    <w:p>
      <w:pPr>
        <w:spacing w:after="0" w:line="175" w:lineRule="exact"/>
        <w:rPr>
          <w:rFonts w:ascii="Times New Roman" w:cs="Times New Roman" w:eastAsia="Times New Roman" w:hAnsi="Times New Roman"/>
          <w:sz w:val="18"/>
          <w:szCs w:val="18"/>
          <w:color w:val="auto"/>
        </w:rPr>
      </w:pPr>
    </w:p>
    <w:p>
      <w:pPr>
        <w:jc w:val="both"/>
        <w:ind w:left="-656" w:firstLine="656"/>
        <w:spacing w:after="0" w:line="266" w:lineRule="auto"/>
        <w:tabs>
          <w:tab w:leader="none" w:pos="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Subscription Agreement and all disputes, legal actions, suits and proceedings arising out of or relating to this Subscription Agreement shall be governed by, and construed in accordance with, the laws of the State of Delaware, without regard to the principles of conflicts of laws that would otherwise require the application of the law of any other state.</w:t>
      </w:r>
    </w:p>
    <w:p>
      <w:pPr>
        <w:spacing w:after="0" w:line="171" w:lineRule="exact"/>
        <w:rPr>
          <w:rFonts w:ascii="Times New Roman" w:cs="Times New Roman" w:eastAsia="Times New Roman" w:hAnsi="Times New Roman"/>
          <w:sz w:val="18"/>
          <w:szCs w:val="18"/>
          <w:color w:val="auto"/>
        </w:rPr>
      </w:pPr>
    </w:p>
    <w:p>
      <w:pPr>
        <w:jc w:val="both"/>
        <w:ind w:left="-656" w:firstLine="656"/>
        <w:spacing w:after="0" w:line="254" w:lineRule="auto"/>
        <w:tabs>
          <w:tab w:leader="none" w:pos="299"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EACH PARTY HEREBY WAIVES ITS RESPECTIVE RIGHTS TO A TRIAL BY JURY OF ANY CLAIM OR CAUSE OF ACTION BASED UPON OR ARISING OUT OR RELATED TO THIS SUBSCRIPTION AGREEMENT OR THE TRANSACTIONS CONTEMPLATED HEREBY IN ANY ACTION, PROCEEDING OR OTHER LITIGATION OF ANY TYPE BROUGHT BY ANY PARTY AGAINST ANY OTHER PARTY OR ANY AFFILIATE OF ANY OTHER SUCH PARTY, WHETHER WITH RESPECT TO CONTRACT CLAIMS, TORT CLAIMS OR OTHERWISE. THE PARTIES AGREE THAT ANY SUCH CLAIM OR CAUSE OF ACTION SHALL BE TRIED BY A COURT TRIAL WITHOUT A JURY. WITHOUT LIMITING THE FOREGOING, THE PARTIES FURTHER AGREE THAT THEIR RESPECTIVE RIGHT TO A TRIAL BY JURY IS WAIVED BY OPERATION OF THIS SECTION AS TO ANY ACTION, COUNTERCLAIM OR OTHER PROCEEDING WHICH SEEKS, IN WHOLE OR IN PART, TO CHALLENGE THE VALIDITY OR ENFORCEABILITY OF THIS SUBSCRIPTION AGREEMENT OR ANY PROVISION HEREOF. THIS WAIVER SHALL APPLY TO ANY SUBSEQUENT AMENDMENTS, RENEWALS, SUPPLEMENTS OR MODIFICATIONS TO THIS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423545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0" w:name="page21"/>
    <w:bookmarkEnd w:id="20"/>
    <w:p>
      <w:pPr>
        <w:jc w:val="both"/>
        <w:ind w:left="-656" w:firstLine="656"/>
        <w:spacing w:after="0" w:line="253" w:lineRule="auto"/>
        <w:tabs>
          <w:tab w:leader="none" w:pos="27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all disputes, legal actions, suits and proceedings arising out of or relating to this Subscription Agreement must be brought exclusively in the Court of Chancery of the State of Delaware and any state appellate court therefrom within the State of Delaware (or, if the Court of Chancery of the State of Delaware declines to accept jurisdiction over a particular matter, any federal court within the State of Delaware or, in the event each federal court within the State of Delaware declines to accept jurisdiction over a particular matter, any state court within the State of Delaware) (collectively the “</w:t>
      </w:r>
      <w:r>
        <w:rPr>
          <w:rFonts w:ascii="Times New Roman" w:cs="Times New Roman" w:eastAsia="Times New Roman" w:hAnsi="Times New Roman"/>
          <w:sz w:val="18"/>
          <w:szCs w:val="18"/>
          <w:u w:val="single" w:color="auto"/>
          <w:color w:val="auto"/>
        </w:rPr>
        <w:t>Designated Courts</w:t>
      </w:r>
      <w:r>
        <w:rPr>
          <w:rFonts w:ascii="Times New Roman" w:cs="Times New Roman" w:eastAsia="Times New Roman" w:hAnsi="Times New Roman"/>
          <w:sz w:val="18"/>
          <w:szCs w:val="18"/>
          <w:color w:val="auto"/>
        </w:rPr>
        <w:t xml:space="preserve">”). Each party hereby consents and submits to the exclusive jurisdiction of the Designated Courts. No legal action, suit or proceeding with respect to this Subscription Agreement may be brought in any other forum. Notwithstanding the foregoing, a final judgement in any such action may be enforced in other jurisdictions by suit on the judgment or in any other manner provided by law. Each party hereby irrevocably waives all claims of immunity from jurisdiction, and any objection which such party may now or hereafter have to the laying of venue of any suit, action or proceeding in any Designated Court, including any right to object on the basis that any dispute, action, suit or proceeding brought in the Designated Courts has been brought in an improper or inconvenient forum or venue. Each of the parties also agrees that delivery of any process, summons, notice or document to a party hereof in compliance with </w:t>
      </w:r>
      <w:r>
        <w:rPr>
          <w:rFonts w:ascii="Times New Roman" w:cs="Times New Roman" w:eastAsia="Times New Roman" w:hAnsi="Times New Roman"/>
          <w:sz w:val="18"/>
          <w:szCs w:val="18"/>
          <w:u w:val="single" w:color="auto"/>
          <w:color w:val="auto"/>
        </w:rPr>
        <w:t>Section 9(a)</w:t>
      </w:r>
      <w:r>
        <w:rPr>
          <w:rFonts w:ascii="Times New Roman" w:cs="Times New Roman" w:eastAsia="Times New Roman" w:hAnsi="Times New Roman"/>
          <w:sz w:val="18"/>
          <w:szCs w:val="18"/>
          <w:color w:val="auto"/>
        </w:rPr>
        <w:t xml:space="preserve"> of this Subscription Agreement shall be effective service of process for any action, suit or proceeding in a Designated Court with respect to any matters to which the parties have submitted to jurisdiction as set forth above.</w:t>
      </w:r>
    </w:p>
    <w:p>
      <w:pPr>
        <w:spacing w:after="0" w:line="189" w:lineRule="exact"/>
        <w:rPr>
          <w:rFonts w:ascii="Times New Roman" w:cs="Times New Roman" w:eastAsia="Times New Roman" w:hAnsi="Times New Roman"/>
          <w:sz w:val="18"/>
          <w:szCs w:val="18"/>
          <w:color w:val="auto"/>
        </w:rPr>
      </w:pPr>
    </w:p>
    <w:p>
      <w:pPr>
        <w:jc w:val="both"/>
        <w:ind w:left="-656" w:firstLine="656"/>
        <w:spacing w:after="0" w:line="266" w:lineRule="auto"/>
        <w:tabs>
          <w:tab w:leader="none" w:pos="21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Subscription Agreement may only be enforced against, and any claim, action, suit or other legal proceeding based upon, arising out of, or related to this Subscription Agreement, or the negotiation, execution or performance of this Subscription Agreement, may only be brought against the entities that are expressly named as parties hereto.</w:t>
      </w:r>
    </w:p>
    <w:p>
      <w:pPr>
        <w:spacing w:after="0" w:line="175" w:lineRule="exact"/>
        <w:rPr>
          <w:rFonts w:ascii="Times New Roman" w:cs="Times New Roman" w:eastAsia="Times New Roman" w:hAnsi="Times New Roman"/>
          <w:sz w:val="18"/>
          <w:szCs w:val="18"/>
          <w:color w:val="auto"/>
        </w:rPr>
      </w:pPr>
    </w:p>
    <w:p>
      <w:pPr>
        <w:jc w:val="both"/>
        <w:ind w:left="-656" w:firstLine="656"/>
        <w:spacing w:after="0" w:line="253" w:lineRule="auto"/>
        <w:tabs>
          <w:tab w:leader="none" w:pos="25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by 9:00 a.m., New York City time, on the first Business Day immediately following the date of this Subscription Agreement, file with the Commission a Current Report on Form 8-K (the “</w:t>
      </w:r>
      <w:r>
        <w:rPr>
          <w:rFonts w:ascii="Times New Roman" w:cs="Times New Roman" w:eastAsia="Times New Roman" w:hAnsi="Times New Roman"/>
          <w:sz w:val="18"/>
          <w:szCs w:val="18"/>
          <w:u w:val="single" w:color="auto"/>
          <w:color w:val="auto"/>
        </w:rPr>
        <w:t>Disclosure Document</w:t>
      </w:r>
      <w:r>
        <w:rPr>
          <w:rFonts w:ascii="Times New Roman" w:cs="Times New Roman" w:eastAsia="Times New Roman" w:hAnsi="Times New Roman"/>
          <w:sz w:val="18"/>
          <w:szCs w:val="18"/>
          <w:color w:val="auto"/>
        </w:rPr>
        <w:t>”) disclosing all material terms of this Subscription Agreement and the transactions contemplated hereby and thereby. Notwithstanding anything in this Subscription Agreement to the contrary, each of the Company (i) shall not publicly disclose the name of Subscriber or any of its affiliates or advisers, or include the name of Subscriber or any of its affiliates or advisers in any press release, without the prior written consent of Subscriber and (ii) shall not publicly disclose the name of Subscriber or any of its affiliates or advisers, or include the name of Subscriber or any of its affiliates or advisers in any filing with the Commission or any regulatory agency or trading market, without the prior written consent of Subscriber, except (A) as required by the federal securities laws, rules or regulations and (B) to the extent such disclosure is required by other laws, rules or regulations, at the request of the staff of the Commission or regulatory agency or under the regulations of the Stock Exchange, in which case of clause (A) or (B), the Company, as applicable, shall provide Subscriber with prior written notice (including by e-mail) of such permitted disclosure, and shall reasonably consult with Subscriber regarding such disclosure. Subscriber will promptly provide any information reasonably requested by the Company for any regulatory application or filing made or approval sought in connection with the Transactions (including filings with the Commission).</w:t>
      </w:r>
    </w:p>
    <w:p>
      <w:pPr>
        <w:spacing w:after="0" w:line="189" w:lineRule="exact"/>
        <w:rPr>
          <w:rFonts w:ascii="Times New Roman" w:cs="Times New Roman" w:eastAsia="Times New Roman" w:hAnsi="Times New Roman"/>
          <w:sz w:val="18"/>
          <w:szCs w:val="18"/>
          <w:color w:val="auto"/>
        </w:rPr>
      </w:pPr>
    </w:p>
    <w:p>
      <w:pPr>
        <w:jc w:val="both"/>
        <w:ind w:left="-656" w:firstLine="656"/>
        <w:spacing w:after="0" w:line="266" w:lineRule="auto"/>
        <w:tabs>
          <w:tab w:leader="none" w:pos="24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change in the Common Stock shall occur between the date of this Subscription Agreement and the Closing by reason of any reclassification, recapitalization, stock split, reverse stock split, combination, exchange, or readjustment of shares, or any share dividend, the number of Subscribed Shares issued to Subscriber hereunder shall be appropriately adjusted to reflect such change.</w:t>
      </w:r>
    </w:p>
    <w:p>
      <w:pPr>
        <w:spacing w:after="0" w:line="175" w:lineRule="exact"/>
        <w:rPr>
          <w:rFonts w:ascii="Times New Roman" w:cs="Times New Roman" w:eastAsia="Times New Roman" w:hAnsi="Times New Roman"/>
          <w:sz w:val="18"/>
          <w:szCs w:val="18"/>
          <w:color w:val="auto"/>
        </w:rPr>
      </w:pPr>
    </w:p>
    <w:p>
      <w:pPr>
        <w:jc w:val="both"/>
        <w:ind w:left="-656" w:firstLine="656"/>
        <w:spacing w:after="0" w:line="252" w:lineRule="auto"/>
        <w:tabs>
          <w:tab w:leader="none" w:pos="26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Subscriber under this Subscription Agreement are several and not joint with the obligations of any other investor, and Subscriber shall not be responsible in any way for the performance of the obligations of any other investor. The decision of Subscriber to purchase Subscribed Shares pursuant to this Subscription Agreement has been made by Subscriber independently of any other investor and independently of any information, materials, statements or opinions as to the business, affairs, operations, assets, properties, liabilities, results of operations, condition (financial or otherwise) or prospects of the Company, Target or any of their respective affiliates or subsidiaries which may have been made or given by any other investor or by any agent or employee of any other investor, and neither Subscriber nor any of its agents or employees shall have any liability to any other investor (or any other person) relating to or arising from any such information, materials, statements or opinions. Nothing contained herein, and no action taken by Subscriber or other investor pursuant hereto, shall be deemed to constitute Subscriber and any other investors as a partnership, an association, a joint venture or any other kind of entity, or create a presumption that Subscriber and other investors are in any way acting in concert or as a group with respect to such obligations or the transactions contemplated by this Subscription Agreement. Subscriber acknowledges that no other person has acted as agent for Subscriber in connection with making its investment hereunder and no other person will be acting as agent of Subscriber in connection with monitoring its investment in the Subscribed Shares or enforcing its rights under this Subscription Agreement. Subscriber shall be entitled to independently protect and enforce its rights, including without limitation the rights arising out of this Subscription Agreement, and it shall not be necessary for any other investor to be joined as an additional party in any proceeding for such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428625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1" w:name="page22"/>
    <w:bookmarkEnd w:id="21"/>
    <w:p>
      <w:pPr>
        <w:jc w:val="both"/>
        <w:ind w:firstLine="656"/>
        <w:spacing w:after="0" w:line="255"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headings herein are for convenience only, do not constitute a part of this Subscription Agreement and shall not be deemed to limit or affect any of the provisions hereof. The language used in this Subscription Agreement will be deemed to be the language chosen by the parties hereto to express their mutual intent, and no rules of strict construction will be applied against any party. Unless the context otherwise requires, (i) all references to Sections, Schedules or Exhibits are to Sections, Schedules or Exhibits contained in or attached to this Subscription Agreement, (ii) each accounting term not otherwise defined in this Subscription Agreement has the meaning assigned to it in accordance with GAAP, (iii) words in the singular or plural include the singular and plural and pronouns stated in either the masculine, the feminine or neuter gender shall include the masculine, feminine and neuter, (iv) the use of the word “including” in this Subscription Agreement shall be by way of example rather than limitation, and (v) the word “or” shall not be exclusive.</w:t>
      </w:r>
    </w:p>
    <w:p>
      <w:pPr>
        <w:spacing w:after="0" w:line="188"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requested by Subscriber and its auditors, Company shall provide sufficient information for purposes of audit confirmations.</w:t>
      </w:r>
    </w:p>
    <w:p>
      <w:pPr>
        <w:spacing w:after="0" w:line="225" w:lineRule="exact"/>
        <w:rPr>
          <w:rFonts w:ascii="Times New Roman" w:cs="Times New Roman" w:eastAsia="Times New Roman" w:hAnsi="Times New Roman"/>
          <w:sz w:val="18"/>
          <w:szCs w:val="18"/>
          <w:color w:val="auto"/>
        </w:rPr>
      </w:pPr>
    </w:p>
    <w:p>
      <w:pPr>
        <w:jc w:val="both"/>
        <w:ind w:firstLine="656"/>
        <w:spacing w:after="0" w:line="258" w:lineRule="auto"/>
        <w:tabs>
          <w:tab w:leader="none" w:pos="90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hereinto the contrary, Blaize shall be entitled to rely upon, shall be an express third party beneficiary of, and shall be entitled to enforce, the provisions of this Agreement, including without limitation, the Subscription. For the avoidance of doubt, the Agreement shall not be terminated, cancelled, amended, modified, supplemented or changed, or any provision, default, breach or performance waived, or any assignment or novation made in a manner without written consent of the Blaize (to be granted or withheld in its sole discretion). The Parties hereto agree that Blaize shall be an express third-party beneficiary of this Agreement as provided herein.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ind w:left="66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Company has accepted this Subscription Agreement as of the date first set forth above.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Shahal Khan</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Address for Notices: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BurTech Acquisition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1300 Pennsylvania Ave NW, Suite 700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20004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Roman Livson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roman@burkhan.world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Roman Livson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No.: (917) 545-7743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roman@burkhan.world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23" w:name="page24"/>
    <w:bookmarkEnd w:id="23"/>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Subscriber has executed or caused this Subscription Agreement to be executed by its duly authorized representative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of the date set forth below.</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Subscriber: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 · ]</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 · ]</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Date: [ ·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 ·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No.: [ ·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for notices: [ ·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Common Stock subscribed for: [ · ] shares for $[ · ]</w:t>
      </w:r>
    </w:p>
    <w:p>
      <w:pPr>
        <w:spacing w:after="0" w:line="207"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625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934720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Blaize has executed or caused this Subscription Agreement to be executed by its duly authorized representative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date set forth below.</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Blaize,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Dinakar Munagala</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ELIGIBILITY REPRESENTATIONS OF SUBSCRIBER</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This Annex B should be completed and signed by Subscriber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constitutes a part of the Subscription Agreement.</w:t>
      </w:r>
    </w:p>
    <w:p>
      <w:pPr>
        <w:spacing w:after="0" w:line="207" w:lineRule="exact"/>
        <w:rPr>
          <w:sz w:val="20"/>
          <w:szCs w:val="20"/>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INSTITUTIONAL BUYER STATUS (Please check the box, if applicable)</w:t>
      </w:r>
    </w:p>
    <w:p>
      <w:pPr>
        <w:spacing w:after="0" w:line="225" w:lineRule="exact"/>
        <w:rPr>
          <w:sz w:val="20"/>
          <w:szCs w:val="20"/>
          <w:color w:val="auto"/>
        </w:rPr>
      </w:pPr>
    </w:p>
    <w:p>
      <w:pPr>
        <w:ind w:left="340" w:hanging="332"/>
        <w:spacing w:after="0"/>
        <w:tabs>
          <w:tab w:leader="none" w:pos="340" w:val="left"/>
        </w:tabs>
        <w:numPr>
          <w:ilvl w:val="0"/>
          <w:numId w:val="3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Subscriber is a “qualified institutional buyer” (as defined in Rule 144A under the Securities Act) (a “QIB”)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3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We are subscribing for the Subscribed Shares as a fiduciary or agent for one or more investor accounts, and each owner of such account is a QIB.</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9" w:lineRule="exact"/>
        <w:rPr>
          <w:sz w:val="20"/>
          <w:szCs w:val="20"/>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ACCREDITED INVESTOR STATUS (Please check the box)</w:t>
      </w:r>
    </w:p>
    <w:p>
      <w:pPr>
        <w:spacing w:after="0" w:line="225" w:lineRule="exact"/>
        <w:rPr>
          <w:sz w:val="20"/>
          <w:szCs w:val="20"/>
          <w:color w:val="auto"/>
        </w:rPr>
      </w:pPr>
    </w:p>
    <w:p>
      <w:pPr>
        <w:jc w:val="both"/>
        <w:ind w:left="340" w:hanging="332"/>
        <w:spacing w:after="0" w:line="266" w:lineRule="auto"/>
        <w:tabs>
          <w:tab w:leader="none" w:pos="340" w:val="left"/>
        </w:tabs>
        <w:numPr>
          <w:ilvl w:val="0"/>
          <w:numId w:val="3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Subscriber is an “accredited investor” (within the meaning of Rule 501(a) under the Securities Act) or an entity in which all of the equity holders are accredited investors within the meaning of Rule 501(a) under the Securities Act, and has marked and initialed the appropriate box below indicating the provision under which it qualifies as an “accredited investor.”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9" w:lineRule="exact"/>
        <w:rPr>
          <w:sz w:val="20"/>
          <w:szCs w:val="20"/>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 STATUS</w:t>
      </w:r>
    </w:p>
    <w:p>
      <w:pPr>
        <w:spacing w:after="0" w:line="27"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check the applicable box)</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SUBSCRIBER:</w:t>
      </w:r>
    </w:p>
    <w:p>
      <w:pPr>
        <w:spacing w:after="0" w:line="225" w:lineRule="exact"/>
        <w:rPr>
          <w:sz w:val="20"/>
          <w:szCs w:val="20"/>
          <w:color w:val="auto"/>
        </w:rPr>
      </w:pPr>
    </w:p>
    <w:p>
      <w:pPr>
        <w:ind w:left="1000" w:hanging="344"/>
        <w:spacing w:after="0"/>
        <w:tabs>
          <w:tab w:leader="none" w:pos="1000" w:val="left"/>
        </w:tabs>
        <w:numPr>
          <w:ilvl w:val="0"/>
          <w:numId w:val="3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w:t>
      </w:r>
    </w:p>
    <w:p>
      <w:pPr>
        <w:spacing w:after="0" w:line="225" w:lineRule="exact"/>
        <w:rPr>
          <w:rFonts w:ascii="MS PGothic" w:cs="MS PGothic" w:eastAsia="MS PGothic" w:hAnsi="MS PGothic"/>
          <w:sz w:val="18"/>
          <w:szCs w:val="18"/>
          <w:color w:val="auto"/>
        </w:rPr>
      </w:pPr>
    </w:p>
    <w:p>
      <w:pPr>
        <w:ind w:left="1000" w:hanging="344"/>
        <w:spacing w:after="0"/>
        <w:tabs>
          <w:tab w:leader="none" w:pos="1000" w:val="left"/>
        </w:tabs>
        <w:numPr>
          <w:ilvl w:val="0"/>
          <w:numId w:val="3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 not: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 “affiliate” (as defined in Rule 144 under the Securities Act) of the Company or acting on behalf of an affiliate of the Company.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Rule 501(a), in relevant part, states that an “accredited investor” shall mean any person who comes within any of the below listed categories, or who the issuer reasonably believes comes within any of the below listed categories, at the time of the sale of the securities to that person. Subscriber has indicated, by marking and initialing the appropriate box(es) below, the provision(s) below which apply to Subscriber and under which Subscriber accordingly qualifies as an “accredited investor.”</w:t>
      </w:r>
    </w:p>
    <w:p>
      <w:pPr>
        <w:spacing w:after="0" w:line="180" w:lineRule="exact"/>
        <w:rPr>
          <w:sz w:val="20"/>
          <w:szCs w:val="20"/>
          <w:color w:val="auto"/>
        </w:rPr>
      </w:pPr>
    </w:p>
    <w:p>
      <w:pPr>
        <w:ind w:left="340" w:hanging="332"/>
        <w:spacing w:after="0" w:line="282" w:lineRule="auto"/>
        <w:tabs>
          <w:tab w:leader="none" w:pos="340" w:val="left"/>
        </w:tabs>
        <w:numPr>
          <w:ilvl w:val="0"/>
          <w:numId w:val="3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bank, registered broker or dealer, insurance company, registered investment company, business development company, small business investment company, private business development company, or rural business investment company;</w:t>
      </w:r>
    </w:p>
    <w:p>
      <w:pPr>
        <w:spacing w:after="0" w:line="161" w:lineRule="exact"/>
        <w:rPr>
          <w:rFonts w:ascii="MS PGothic" w:cs="MS PGothic" w:eastAsia="MS PGothic" w:hAnsi="MS PGothic"/>
          <w:sz w:val="18"/>
          <w:szCs w:val="18"/>
          <w:color w:val="auto"/>
        </w:rPr>
      </w:pPr>
    </w:p>
    <w:p>
      <w:pPr>
        <w:ind w:left="340" w:hanging="332"/>
        <w:spacing w:after="0"/>
        <w:tabs>
          <w:tab w:leader="none" w:pos="340" w:val="left"/>
        </w:tabs>
        <w:numPr>
          <w:ilvl w:val="0"/>
          <w:numId w:val="3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investment adviser registered pursuant to section 203 of the Investment Advisers Act or registered pursuant to the laws of a state;</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3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investment adviser relying on the exemption from registering with the Commission under section 203(l) or (m) of the Investment Advisers Act;</w:t>
      </w:r>
    </w:p>
    <w:p>
      <w:pPr>
        <w:spacing w:after="0" w:line="225" w:lineRule="exact"/>
        <w:rPr>
          <w:rFonts w:ascii="MS PGothic" w:cs="MS PGothic" w:eastAsia="MS PGothic" w:hAnsi="MS PGothic"/>
          <w:sz w:val="18"/>
          <w:szCs w:val="18"/>
          <w:color w:val="auto"/>
        </w:rPr>
      </w:pPr>
    </w:p>
    <w:p>
      <w:pPr>
        <w:ind w:left="340" w:hanging="332"/>
        <w:spacing w:after="0" w:line="282" w:lineRule="auto"/>
        <w:tabs>
          <w:tab w:leader="none" w:pos="340" w:val="left"/>
        </w:tabs>
        <w:numPr>
          <w:ilvl w:val="0"/>
          <w:numId w:val="3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plan established and maintained by a state, its political subdivisions, or any agency or instrumentality of a state or its political subdivisions, for the benefit of its employees, if such plan has total assets in excess of $5,000,000;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jc w:val="both"/>
        <w:ind w:left="332" w:hanging="332"/>
        <w:spacing w:after="0" w:line="261" w:lineRule="auto"/>
        <w:tabs>
          <w:tab w:leader="none" w:pos="332" w:val="left"/>
        </w:tabs>
        <w:numPr>
          <w:ilvl w:val="0"/>
          <w:numId w:val="3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employee benefit plan within the meaning of Title I of the Employee Retirement Income Security Act of 1974 (“ERISA”), if (i) the investment decision is made by a plan fiduciary, as defined in section 3(21) of ERISA, which is either a bank, a savings and loan association, an insurance company, or a registered investment adviser, (ii) the employee benefit plan has total assets in excess of $5,000,000 or, (iii) such plan is a self-directed plan, with investment decisions made solely by persons that are “accredited investors”;</w:t>
      </w:r>
    </w:p>
    <w:p>
      <w:pPr>
        <w:spacing w:after="0" w:line="179" w:lineRule="exact"/>
        <w:rPr>
          <w:rFonts w:ascii="MS PGothic" w:cs="MS PGothic" w:eastAsia="MS PGothic" w:hAnsi="MS PGothic"/>
          <w:sz w:val="18"/>
          <w:szCs w:val="18"/>
          <w:color w:val="auto"/>
        </w:rPr>
      </w:pPr>
    </w:p>
    <w:p>
      <w:pPr>
        <w:jc w:val="both"/>
        <w:ind w:left="332" w:hanging="332"/>
        <w:spacing w:after="0" w:line="266" w:lineRule="auto"/>
        <w:tabs>
          <w:tab w:leader="none" w:pos="332" w:val="left"/>
        </w:tabs>
        <w:numPr>
          <w:ilvl w:val="0"/>
          <w:numId w:val="3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(i) corporation, limited liability company or partnership, (ii) Massachusetts or similar business trust, or (iii) organization described in section 501(c)(3) of the Internal Revenue Code, in each case that was not formed for the specific purpose of acquiring the securities offered and that has total assets in excess of $5,000,000;</w:t>
      </w:r>
    </w:p>
    <w:p>
      <w:pPr>
        <w:spacing w:after="0" w:line="175" w:lineRule="exact"/>
        <w:rPr>
          <w:rFonts w:ascii="MS PGothic" w:cs="MS PGothic" w:eastAsia="MS PGothic" w:hAnsi="MS PGothic"/>
          <w:sz w:val="18"/>
          <w:szCs w:val="18"/>
          <w:color w:val="auto"/>
        </w:rPr>
      </w:pPr>
    </w:p>
    <w:p>
      <w:pPr>
        <w:ind w:left="332" w:hanging="332"/>
        <w:spacing w:after="0" w:line="282" w:lineRule="auto"/>
        <w:tabs>
          <w:tab w:leader="none" w:pos="332" w:val="left"/>
        </w:tabs>
        <w:numPr>
          <w:ilvl w:val="0"/>
          <w:numId w:val="3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trust, with total assets in excess of $5,000,000, not formed for the specific purpose of acquiring the securities offered, whose purchase is directed by a sophisticated person as described in Section 230.506(b)(2)(ii) of Regulation D under the Securities Act;</w:t>
      </w:r>
    </w:p>
    <w:p>
      <w:pPr>
        <w:spacing w:after="0" w:line="161" w:lineRule="exact"/>
        <w:rPr>
          <w:rFonts w:ascii="MS PGothic" w:cs="MS PGothic" w:eastAsia="MS PGothic" w:hAnsi="MS PGothic"/>
          <w:sz w:val="18"/>
          <w:szCs w:val="18"/>
          <w:color w:val="auto"/>
        </w:rPr>
      </w:pPr>
    </w:p>
    <w:p>
      <w:pPr>
        <w:ind w:left="332" w:hanging="332"/>
        <w:spacing w:after="0" w:line="282" w:lineRule="auto"/>
        <w:tabs>
          <w:tab w:leader="none" w:pos="332" w:val="left"/>
        </w:tabs>
        <w:numPr>
          <w:ilvl w:val="0"/>
          <w:numId w:val="3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entity, other than an entity described in the categories of “accredited investors” above, not formed for the specific purpose of acquiring the securities offered, owning investments in excess of $5,000,000;</w:t>
      </w:r>
    </w:p>
    <w:p>
      <w:pPr>
        <w:spacing w:after="0" w:line="161" w:lineRule="exact"/>
        <w:rPr>
          <w:rFonts w:ascii="MS PGothic" w:cs="MS PGothic" w:eastAsia="MS PGothic" w:hAnsi="MS PGothic"/>
          <w:sz w:val="18"/>
          <w:szCs w:val="18"/>
          <w:color w:val="auto"/>
        </w:rPr>
      </w:pPr>
    </w:p>
    <w:p>
      <w:pPr>
        <w:jc w:val="both"/>
        <w:ind w:left="332" w:hanging="332"/>
        <w:spacing w:after="0" w:line="261" w:lineRule="auto"/>
        <w:tabs>
          <w:tab w:leader="none" w:pos="332" w:val="left"/>
        </w:tabs>
        <w:numPr>
          <w:ilvl w:val="0"/>
          <w:numId w:val="3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“family office,” as defined under the Investment Advisers Act that satisfies all of the following conditions: (i) with assets under management in excess of $5,000,000, (ii) that is not formed for the specific purpose of acquiring the securities offered, and (iii) whose prospective investment is directed by a person who has such knowledge and experience in financial and business matters that such family office is capable of evaluating the merits and risks of the prospective investment;</w:t>
      </w:r>
    </w:p>
    <w:p>
      <w:pPr>
        <w:spacing w:after="0" w:line="179" w:lineRule="exact"/>
        <w:rPr>
          <w:rFonts w:ascii="MS PGothic" w:cs="MS PGothic" w:eastAsia="MS PGothic" w:hAnsi="MS PGothic"/>
          <w:sz w:val="18"/>
          <w:szCs w:val="18"/>
          <w:color w:val="auto"/>
        </w:rPr>
      </w:pPr>
    </w:p>
    <w:p>
      <w:pPr>
        <w:ind w:left="332" w:hanging="332"/>
        <w:spacing w:after="0" w:line="282" w:lineRule="auto"/>
        <w:tabs>
          <w:tab w:leader="none" w:pos="332" w:val="left"/>
        </w:tabs>
        <w:numPr>
          <w:ilvl w:val="0"/>
          <w:numId w:val="3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“family client,” as defined under the Investment Advisers Act, of a family office meeting the requirements in the previous paragraph and whose prospective investment in the issuer is directed by such family office pursuant to the previous paragraph; or</w:t>
      </w:r>
    </w:p>
    <w:p>
      <w:pPr>
        <w:spacing w:after="0" w:line="161" w:lineRule="exact"/>
        <w:rPr>
          <w:rFonts w:ascii="MS PGothic" w:cs="MS PGothic" w:eastAsia="MS PGothic" w:hAnsi="MS PGothic"/>
          <w:sz w:val="18"/>
          <w:szCs w:val="18"/>
          <w:color w:val="auto"/>
        </w:rPr>
      </w:pPr>
    </w:p>
    <w:p>
      <w:pPr>
        <w:ind w:left="332" w:hanging="332"/>
        <w:spacing w:after="0"/>
        <w:tabs>
          <w:tab w:leader="none" w:pos="332" w:val="left"/>
        </w:tabs>
        <w:numPr>
          <w:ilvl w:val="0"/>
          <w:numId w:val="3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entity in which all of the equity owners are “accredited investors”.</w:t>
      </w:r>
    </w:p>
    <w:p>
      <w:pPr>
        <w:spacing w:after="0" w:line="225"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18"/>
          <w:szCs w:val="18"/>
          <w:color w:val="auto"/>
        </w:rPr>
        <w:t>Specify which tests:</w:t>
      </w:r>
    </w:p>
    <w:p>
      <w:pPr>
        <w:spacing w:after="0" w:line="225" w:lineRule="exact"/>
        <w:rPr>
          <w:sz w:val="20"/>
          <w:szCs w:val="20"/>
          <w:color w:val="auto"/>
        </w:rPr>
      </w:pPr>
    </w:p>
    <w:p>
      <w:pPr>
        <w:ind w:left="332" w:hanging="332"/>
        <w:spacing w:after="0" w:line="282" w:lineRule="auto"/>
        <w:tabs>
          <w:tab w:leader="none" w:pos="332" w:val="left"/>
        </w:tabs>
        <w:numPr>
          <w:ilvl w:val="0"/>
          <w:numId w:val="3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director, executive officer, or general partner of the issuer of the securities being offered or sold, or any director, executive officer, or general partner of a general partner of that issuer;</w:t>
      </w:r>
    </w:p>
    <w:p>
      <w:pPr>
        <w:spacing w:after="0" w:line="161" w:lineRule="exact"/>
        <w:rPr>
          <w:rFonts w:ascii="MS PGothic" w:cs="MS PGothic" w:eastAsia="MS PGothic" w:hAnsi="MS PGothic"/>
          <w:sz w:val="18"/>
          <w:szCs w:val="18"/>
          <w:color w:val="auto"/>
        </w:rPr>
      </w:pPr>
    </w:p>
    <w:p>
      <w:pPr>
        <w:jc w:val="both"/>
        <w:ind w:left="332" w:hanging="332"/>
        <w:spacing w:after="0" w:line="254" w:lineRule="auto"/>
        <w:tabs>
          <w:tab w:leader="none" w:pos="332" w:val="left"/>
        </w:tabs>
        <w:numPr>
          <w:ilvl w:val="0"/>
          <w:numId w:val="3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natural person whose individual net worth, or joint net worth with that person’s spouse or spousal equivalent, exceeds $1,000,000. For purposes of calculating a natural person’s net worth: (a) the person’s primary residence shall not be included as an asset; (b) indebtedness that is secured by the person’s primary residence, up to the estimated fair market value of the primary residence at the time of the sale of securities, shall not be included as a liability (except that if the amount of such indebtedness outstanding at the time of sale of securities exceeds the amount outstanding 60 days before such time, other than as a result of the acquisition of the primary residence, the amount of such excess shall be included as a liability); and</w:t>
      </w:r>
    </w:p>
    <w:p>
      <w:pPr>
        <w:spacing w:after="0" w:line="3" w:lineRule="exact"/>
        <w:rPr>
          <w:rFonts w:ascii="MS PGothic" w:cs="MS PGothic" w:eastAsia="MS PGothic" w:hAnsi="MS PGothic"/>
          <w:sz w:val="18"/>
          <w:szCs w:val="18"/>
          <w:color w:val="auto"/>
        </w:rPr>
      </w:pPr>
    </w:p>
    <w:p>
      <w:pPr>
        <w:ind w:left="332"/>
        <w:spacing w:after="0" w:line="260"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 indebtedness that is secured by the person’s primary residence in excess of the estimated fair market value of the primary residence at the time of the sale of securities shall be included as a liability;</w:t>
      </w:r>
    </w:p>
    <w:p>
      <w:pPr>
        <w:spacing w:after="0" w:line="181" w:lineRule="exact"/>
        <w:rPr>
          <w:rFonts w:ascii="MS PGothic" w:cs="MS PGothic" w:eastAsia="MS PGothic" w:hAnsi="MS PGothic"/>
          <w:sz w:val="18"/>
          <w:szCs w:val="18"/>
          <w:color w:val="auto"/>
        </w:rPr>
      </w:pPr>
    </w:p>
    <w:p>
      <w:pPr>
        <w:jc w:val="both"/>
        <w:ind w:left="332" w:hanging="332"/>
        <w:spacing w:after="0" w:line="266" w:lineRule="auto"/>
        <w:tabs>
          <w:tab w:leader="none" w:pos="332" w:val="left"/>
        </w:tabs>
        <w:numPr>
          <w:ilvl w:val="0"/>
          <w:numId w:val="3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natural person who had an individual income in excess of $200,000 in each of the two most recent years or joint income with that person’s spouse or spousal equivalent in excess of $300,000 in each of those years and has a reasonable expectation of reaching the same income level in the current year;</w:t>
      </w:r>
    </w:p>
    <w:p>
      <w:pPr>
        <w:spacing w:after="0" w:line="175" w:lineRule="exact"/>
        <w:rPr>
          <w:rFonts w:ascii="MS PGothic" w:cs="MS PGothic" w:eastAsia="MS PGothic" w:hAnsi="MS PGothic"/>
          <w:sz w:val="18"/>
          <w:szCs w:val="18"/>
          <w:color w:val="auto"/>
        </w:rPr>
      </w:pPr>
    </w:p>
    <w:p>
      <w:pPr>
        <w:ind w:left="332" w:hanging="332"/>
        <w:spacing w:after="0" w:line="282" w:lineRule="auto"/>
        <w:tabs>
          <w:tab w:leader="none" w:pos="332" w:val="left"/>
        </w:tabs>
        <w:numPr>
          <w:ilvl w:val="0"/>
          <w:numId w:val="3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natural person holding in good standing one or more professional certifications or designations or credentials from an accredited educational institution that the Commission has designated as qualifying an individual for accredited investor status; or</w:t>
      </w:r>
    </w:p>
    <w:p>
      <w:pPr>
        <w:spacing w:after="0" w:line="161" w:lineRule="exact"/>
        <w:rPr>
          <w:rFonts w:ascii="MS PGothic" w:cs="MS PGothic" w:eastAsia="MS PGothic" w:hAnsi="MS PGothic"/>
          <w:sz w:val="18"/>
          <w:szCs w:val="18"/>
          <w:color w:val="auto"/>
        </w:rPr>
      </w:pPr>
    </w:p>
    <w:p>
      <w:pPr>
        <w:jc w:val="both"/>
        <w:ind w:left="332" w:hanging="332"/>
        <w:spacing w:after="0" w:line="266" w:lineRule="auto"/>
        <w:tabs>
          <w:tab w:leader="none" w:pos="332" w:val="left"/>
        </w:tabs>
        <w:numPr>
          <w:ilvl w:val="0"/>
          <w:numId w:val="3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natural person who is a “knowledgeable employee,” as defined in the Investment Company Act, of the issuer of the securities being offered or sold where the issuer would be an investment company, as defined in section 3 of such act, but for the exclusion provided by either section 3(c)(1) or section 3(c)(7) of such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414655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27" w:name="page28"/>
    <w:bookmarkEnd w:id="27"/>
    <w:p>
      <w:pPr>
        <w:jc w:val="right"/>
        <w:ind w:right="1179"/>
        <w:spacing w:after="0"/>
        <w:rPr>
          <w:sz w:val="20"/>
          <w:szCs w:val="20"/>
          <w:color w:val="auto"/>
        </w:rPr>
      </w:pPr>
      <w:r>
        <w:rPr>
          <w:rFonts w:ascii="Times New Roman" w:cs="Times New Roman" w:eastAsia="Times New Roman" w:hAnsi="Times New Roman"/>
          <w:sz w:val="18"/>
          <w:szCs w:val="18"/>
          <w:b w:val="1"/>
          <w:bCs w:val="1"/>
          <w:i w:val="1"/>
          <w:iCs w:val="1"/>
          <w:color w:val="auto"/>
        </w:rPr>
        <w:t>This page should be completed by Subscriber and constitutes a part of the Subscription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SUBSCRIBER: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 · ]</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1"/>
      <w:numFmt w:val="decimal"/>
      <w:start w:val="104"/>
    </w:lvl>
  </w:abstractNum>
  <w:abstractNum w:abstractNumId="2">
    <w:nsid w:val="436C6125"/>
    <w:multiLevelType w:val="hybridMultilevel"/>
    <w:lvl w:ilvl="0">
      <w:lvlJc w:val="left"/>
      <w:lvlText w:val="(%1)"/>
      <w:numFmt w:val="lowerLetter"/>
      <w:start w:val="2"/>
    </w:lvl>
  </w:abstractNum>
  <w:abstractNum w:abstractNumId="3">
    <w:nsid w:val="628C895D"/>
    <w:multiLevelType w:val="hybridMultilevel"/>
    <w:lvl w:ilvl="0">
      <w:lvlJc w:val="left"/>
      <w:lvlText w:val="(%1)"/>
      <w:numFmt w:val="lowerLetter"/>
      <w:start w:val="5"/>
    </w:lvl>
    <w:lvl w:ilvl="1">
      <w:lvlJc w:val="left"/>
      <w:lvlText w:val="%2."/>
      <w:numFmt w:val="lowerRoman"/>
      <w:start w:val="1"/>
    </w:lvl>
  </w:abstractNum>
  <w:abstractNum w:abstractNumId="4">
    <w:nsid w:val="333AB105"/>
    <w:multiLevelType w:val="hybridMultilevel"/>
    <w:lvl w:ilvl="0">
      <w:lvlJc w:val="left"/>
      <w:lvlText w:val="%1."/>
      <w:numFmt w:val="lowerRoman"/>
      <w:start w:val="2"/>
    </w:lvl>
  </w:abstractNum>
  <w:abstractNum w:abstractNumId="5">
    <w:nsid w:val="721DA317"/>
    <w:multiLevelType w:val="hybridMultilevel"/>
    <w:lvl w:ilvl="0">
      <w:lvlJc w:val="left"/>
      <w:lvlText w:val="(%1)"/>
      <w:numFmt w:val="lowerLetter"/>
      <w:start w:val="8"/>
    </w:lvl>
  </w:abstractNum>
  <w:abstractNum w:abstractNumId="6">
    <w:nsid w:val="2443A858"/>
    <w:multiLevelType w:val="hybridMultilevel"/>
    <w:lvl w:ilvl="0">
      <w:lvlJc w:val="left"/>
      <w:lvlText w:val="%1"/>
      <w:numFmt w:val="decimal"/>
      <w:start w:val="1"/>
    </w:lvl>
    <w:lvl w:ilvl="1">
      <w:lvlJc w:val="left"/>
      <w:lvlText w:val="(%2)"/>
      <w:numFmt w:val="lowerLetter"/>
      <w:start w:val="1"/>
    </w:lvl>
  </w:abstractNum>
  <w:abstractNum w:abstractNumId="7">
    <w:nsid w:val="2D1D5AE9"/>
    <w:multiLevelType w:val="hybridMultilevel"/>
    <w:lvl w:ilvl="0">
      <w:lvlJc w:val="left"/>
      <w:lvlText w:val="(%1)"/>
      <w:numFmt w:val="decimal"/>
      <w:start w:val="4"/>
    </w:lvl>
    <w:lvl w:ilvl="1">
      <w:lvlJc w:val="left"/>
      <w:lvlText w:val="(%2)"/>
      <w:numFmt w:val="lowerLetter"/>
      <w:start w:val="2"/>
    </w:lvl>
  </w:abstractNum>
  <w:abstractNum w:abstractNumId="8">
    <w:nsid w:val="6763845E"/>
    <w:multiLevelType w:val="hybridMultilevel"/>
    <w:lvl w:ilvl="0">
      <w:lvlJc w:val="left"/>
      <w:lvlText w:val="(%1)"/>
      <w:numFmt w:val="lowerLetter"/>
      <w:start w:val="3"/>
    </w:lvl>
  </w:abstractNum>
  <w:abstractNum w:abstractNumId="9">
    <w:nsid w:val="75A2A8D4"/>
    <w:multiLevelType w:val="hybridMultilevel"/>
    <w:lvl w:ilvl="0">
      <w:lvlJc w:val="left"/>
      <w:lvlText w:val="%1"/>
      <w:numFmt w:val="lowerLetter"/>
      <w:start w:val="1"/>
    </w:lvl>
    <w:lvl w:ilvl="1">
      <w:lvlJc w:val="left"/>
      <w:lvlText w:val="(%2)"/>
      <w:numFmt w:val="lowerLetter"/>
      <w:start w:val="9"/>
    </w:lvl>
  </w:abstractNum>
  <w:abstractNum w:abstractNumId="10">
    <w:nsid w:val="8EDBDAB"/>
    <w:multiLevelType w:val="hybridMultilevel"/>
    <w:lvl w:ilvl="0">
      <w:lvlJc w:val="left"/>
      <w:lvlText w:val="(%1)"/>
      <w:numFmt w:val="lowerLetter"/>
      <w:start w:val="61"/>
    </w:lvl>
    <w:lvl w:ilvl="1">
      <w:lvlJc w:val="left"/>
      <w:lvlText w:val="(%2)"/>
      <w:numFmt w:val="lowerLetter"/>
      <w:start w:val="11"/>
    </w:lvl>
  </w:abstractNum>
  <w:abstractNum w:abstractNumId="11">
    <w:nsid w:val="79838CB2"/>
    <w:multiLevelType w:val="hybridMultilevel"/>
    <w:lvl w:ilvl="0">
      <w:lvlJc w:val="left"/>
      <w:lvlText w:val="%1"/>
      <w:numFmt w:val="lowerLetter"/>
      <w:start w:val="1"/>
    </w:lvl>
    <w:lvl w:ilvl="1">
      <w:lvlJc w:val="left"/>
      <w:lvlText w:val="(%2)"/>
      <w:numFmt w:val="lowerLetter"/>
      <w:start w:val="14"/>
    </w:lvl>
  </w:abstractNum>
  <w:abstractNum w:abstractNumId="12">
    <w:nsid w:val="4353D0CD"/>
    <w:multiLevelType w:val="hybridMultilevel"/>
    <w:lvl w:ilvl="0">
      <w:lvlJc w:val="left"/>
      <w:lvlText w:val="(%1)"/>
      <w:numFmt w:val="lowerLetter"/>
      <w:start w:val="2"/>
    </w:lvl>
    <w:lvl w:ilvl="1">
      <w:lvlJc w:val="left"/>
      <w:lvlText w:val="%2"/>
      <w:numFmt w:val="lowerLetter"/>
      <w:start w:val="1"/>
    </w:lvl>
  </w:abstractNum>
  <w:abstractNum w:abstractNumId="13">
    <w:nsid w:val="B03E0C6"/>
    <w:multiLevelType w:val="hybridMultilevel"/>
    <w:lvl w:ilvl="0">
      <w:lvlJc w:val="left"/>
      <w:lvlText w:val="(%1)"/>
      <w:numFmt w:val="lowerLetter"/>
      <w:start w:val="61"/>
    </w:lvl>
    <w:lvl w:ilvl="1">
      <w:lvlJc w:val="left"/>
      <w:lvlText w:val="(%2)"/>
      <w:numFmt w:val="lowerLetter"/>
      <w:start w:val="15"/>
    </w:lvl>
  </w:abstractNum>
  <w:abstractNum w:abstractNumId="14">
    <w:nsid w:val="189A769B"/>
    <w:multiLevelType w:val="hybridMultilevel"/>
    <w:lvl w:ilvl="0">
      <w:lvlJc w:val="left"/>
      <w:lvlText w:val="(%1)"/>
      <w:numFmt w:val="lowerLetter"/>
      <w:start w:val="1"/>
    </w:lvl>
  </w:abstractNum>
  <w:abstractNum w:abstractNumId="15">
    <w:nsid w:val="54E49EB4"/>
    <w:multiLevelType w:val="hybridMultilevel"/>
    <w:lvl w:ilvl="0">
      <w:lvlJc w:val="left"/>
      <w:lvlText w:val="(%1)"/>
      <w:numFmt w:val="lowerLetter"/>
      <w:start w:val="3"/>
    </w:lvl>
  </w:abstractNum>
  <w:abstractNum w:abstractNumId="16">
    <w:nsid w:val="71F32454"/>
    <w:multiLevelType w:val="hybridMultilevel"/>
    <w:lvl w:ilvl="0">
      <w:lvlJc w:val="left"/>
      <w:lvlText w:val="(%1)"/>
      <w:numFmt w:val="lowerLetter"/>
      <w:start w:val="7"/>
    </w:lvl>
  </w:abstractNum>
  <w:abstractNum w:abstractNumId="17">
    <w:nsid w:val="2CA88611"/>
    <w:multiLevelType w:val="hybridMultilevel"/>
    <w:lvl w:ilvl="0">
      <w:lvlJc w:val="left"/>
      <w:lvlText w:val="(%1)"/>
      <w:numFmt w:val="lowerLetter"/>
      <w:start w:val="13"/>
    </w:lvl>
  </w:abstractNum>
  <w:abstractNum w:abstractNumId="18">
    <w:nsid w:val="836C40E"/>
    <w:multiLevelType w:val="hybridMultilevel"/>
    <w:lvl w:ilvl="0">
      <w:lvlJc w:val="left"/>
      <w:lvlText w:val="(%1)"/>
      <w:numFmt w:val="lowerLetter"/>
      <w:start w:val="18"/>
    </w:lvl>
  </w:abstractNum>
  <w:abstractNum w:abstractNumId="19">
    <w:nsid w:val="2901D82"/>
    <w:multiLevelType w:val="hybridMultilevel"/>
    <w:lvl w:ilvl="0">
      <w:lvlJc w:val="left"/>
      <w:lvlText w:val="(%1)"/>
      <w:numFmt w:val="lowerLetter"/>
      <w:start w:val="1"/>
    </w:lvl>
  </w:abstractNum>
  <w:abstractNum w:abstractNumId="20">
    <w:nsid w:val="3A95F874"/>
    <w:multiLevelType w:val="hybridMultilevel"/>
    <w:lvl w:ilvl="0">
      <w:lvlJc w:val="left"/>
      <w:lvlText w:val="(%1)"/>
      <w:numFmt w:val="lowerLetter"/>
      <w:start w:val="3"/>
    </w:lvl>
  </w:abstractNum>
  <w:abstractNum w:abstractNumId="21">
    <w:nsid w:val="8138641"/>
    <w:multiLevelType w:val="hybridMultilevel"/>
    <w:lvl w:ilvl="0">
      <w:lvlJc w:val="left"/>
      <w:lvlText w:val="(%1)"/>
      <w:numFmt w:val="lowerLetter"/>
      <w:start w:val="5"/>
    </w:lvl>
  </w:abstractNum>
  <w:abstractNum w:abstractNumId="22">
    <w:nsid w:val="1E7FF521"/>
    <w:multiLevelType w:val="hybridMultilevel"/>
    <w:lvl w:ilvl="0">
      <w:lvlJc w:val="left"/>
      <w:lvlText w:val="(%1)"/>
      <w:numFmt w:val="lowerLetter"/>
      <w:start w:val="8"/>
    </w:lvl>
  </w:abstractNum>
  <w:abstractNum w:abstractNumId="23">
    <w:nsid w:val="7C3DBD3D"/>
    <w:multiLevelType w:val="hybridMultilevel"/>
    <w:lvl w:ilvl="0">
      <w:lvlJc w:val="left"/>
      <w:lvlText w:val="%1"/>
      <w:numFmt w:val="lowerLetter"/>
      <w:start w:val="1"/>
    </w:lvl>
    <w:lvl w:ilvl="1">
      <w:lvlJc w:val="left"/>
      <w:lvlText w:val="(%2)"/>
      <w:numFmt w:val="lowerLetter"/>
      <w:start w:val="1"/>
    </w:lvl>
  </w:abstractNum>
  <w:abstractNum w:abstractNumId="24">
    <w:nsid w:val="737B8DDC"/>
    <w:multiLevelType w:val="hybridMultilevel"/>
    <w:lvl w:ilvl="0">
      <w:lvlJc w:val="left"/>
      <w:lvlText w:val="(%1)"/>
      <w:numFmt w:val="lowerLetter"/>
      <w:start w:val="61"/>
    </w:lvl>
    <w:lvl w:ilvl="1">
      <w:lvlJc w:val="left"/>
      <w:lvlText w:val="%2"/>
      <w:numFmt w:val="lowerLetter"/>
      <w:start w:val="1"/>
    </w:lvl>
  </w:abstractNum>
  <w:abstractNum w:abstractNumId="25">
    <w:nsid w:val="6CEAF087"/>
    <w:multiLevelType w:val="hybridMultilevel"/>
    <w:lvl w:ilvl="0">
      <w:lvlJc w:val="left"/>
      <w:lvlText w:val="(%1)"/>
      <w:numFmt w:val="lowerLetter"/>
      <w:start w:val="2"/>
    </w:lvl>
  </w:abstractNum>
  <w:abstractNum w:abstractNumId="26">
    <w:nsid w:val="22221A70"/>
    <w:multiLevelType w:val="hybridMultilevel"/>
    <w:lvl w:ilvl="0">
      <w:lvlJc w:val="left"/>
      <w:lvlText w:val="(%1)"/>
      <w:numFmt w:val="lowerLetter"/>
      <w:start w:val="10"/>
    </w:lvl>
  </w:abstractNum>
  <w:abstractNum w:abstractNumId="27">
    <w:nsid w:val="4516DDE9"/>
    <w:multiLevelType w:val="hybridMultilevel"/>
    <w:lvl w:ilvl="0">
      <w:lvlJc w:val="left"/>
      <w:lvlText w:val="(%1)"/>
      <w:numFmt w:val="lowerLetter"/>
      <w:start w:val="17"/>
    </w:lvl>
  </w:abstractNum>
  <w:abstractNum w:abstractNumId="28">
    <w:nsid w:val="3006C83E"/>
    <w:multiLevelType w:val="hybridMultilevel"/>
    <w:lvl w:ilvl="0">
      <w:lvlJc w:val="left"/>
      <w:lvlText w:val="(%1)"/>
      <w:numFmt w:val="lowerLetter"/>
      <w:start w:val="22"/>
    </w:lvl>
  </w:abstractNum>
  <w:abstractNum w:abstractNumId="29">
    <w:nsid w:val="614FD4A1"/>
    <w:multiLevelType w:val="hybridMultilevel"/>
    <w:lvl w:ilvl="0">
      <w:lvlJc w:val="left"/>
      <w:lvlText w:val="%1."/>
      <w:numFmt w:val="decimal"/>
      <w:start w:val="1"/>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1."/>
      <w:numFmt w:val="decimal"/>
      <w:start w:val="2"/>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1."/>
      <w:numFmt w:val="decimal"/>
      <w:start w:val="3"/>
    </w:lvl>
  </w:abstractNum>
  <w:abstractNum w:abstractNumId="34">
    <w:nsid w:val="3804823E"/>
    <w:multiLevelType w:val="hybridMultilevel"/>
    <w:lvl w:ilvl="0">
      <w:lvlJc w:val="left"/>
      <w:lvlText w:val="☐"/>
      <w:numFmt w:val="bullet"/>
      <w:start w:val="1"/>
    </w:lvl>
  </w:abstractNum>
  <w:abstractNum w:abstractNumId="35">
    <w:nsid w:val="77465F01"/>
    <w:multiLevelType w:val="hybridMultilevel"/>
    <w:lvl w:ilvl="0">
      <w:lvlJc w:val="left"/>
      <w:lvlText w:val="☐"/>
      <w:numFmt w:val="bullet"/>
      <w:start w:val="1"/>
    </w:lvl>
  </w:abstractNum>
  <w:abstractNum w:abstractNumId="36">
    <w:nsid w:val="7724C67E"/>
    <w:multiLevelType w:val="hybridMultilevel"/>
    <w:lvl w:ilvl="0">
      <w:lvlJc w:val="left"/>
      <w:lvlText w:val="☐"/>
      <w:numFmt w:val="bullet"/>
      <w:start w:val="1"/>
    </w:lvl>
  </w:abstractNum>
  <w:abstractNum w:abstractNumId="37">
    <w:nsid w:val="5C482A9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2025-01-08T05:06:59Z</dcterms:created>
  <dcterms:modified xsi:type="dcterms:W3CDTF">2025-01-08T05:06:59Z</dcterms:modified>
</cp:coreProperties>
</file>