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As filed with the Securities and Exchange Commission on October 13, 2021.</w:t>
      </w:r>
    </w:p>
    <w:p>
      <w:pPr>
        <w:spacing w:after="0" w:line="2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333-258914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 TO FORM S-1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BurTech Acquisition Corp.</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ind w:left="1420"/>
              <w:spacing w:after="0"/>
              <w:rPr>
                <w:sz w:val="20"/>
                <w:szCs w:val="20"/>
                <w:color w:val="auto"/>
              </w:rPr>
            </w:pPr>
            <w:r>
              <w:rPr>
                <w:rFonts w:ascii="Arial" w:cs="Arial" w:eastAsia="Arial" w:hAnsi="Arial"/>
                <w:sz w:val="18"/>
                <w:szCs w:val="18"/>
                <w:b w:val="1"/>
                <w:bCs w:val="1"/>
                <w:color w:val="auto"/>
              </w:rPr>
              <w:t>Delaware</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6770</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85-2708752</w:t>
            </w:r>
          </w:p>
        </w:tc>
      </w:tr>
      <w:tr>
        <w:trPr>
          <w:trHeight w:val="195"/>
        </w:trPr>
        <w:tc>
          <w:tcPr>
            <w:tcW w:w="3620" w:type="dxa"/>
            <w:vAlign w:val="bottom"/>
            <w:tcBorders>
              <w:top w:val="single" w:sz="8" w:color="auto"/>
            </w:tcBorders>
          </w:tcPr>
          <w:p>
            <w:pPr>
              <w:ind w:left="740"/>
              <w:spacing w:after="0" w:line="195" w:lineRule="exact"/>
              <w:rPr>
                <w:sz w:val="20"/>
                <w:szCs w:val="20"/>
                <w:color w:val="auto"/>
              </w:rPr>
            </w:pPr>
            <w:r>
              <w:rPr>
                <w:rFonts w:ascii="Arial" w:cs="Arial" w:eastAsia="Arial" w:hAnsi="Arial"/>
                <w:sz w:val="18"/>
                <w:szCs w:val="18"/>
                <w:color w:val="auto"/>
              </w:rPr>
              <w:t>(State or other jurisdiction of</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(Primary Standard Industrial</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840" w:type="dxa"/>
            <w:vAlign w:val="bottom"/>
            <w:gridSpan w:val="2"/>
          </w:tcPr>
          <w:p>
            <w:pPr>
              <w:ind w:left="720"/>
              <w:spacing w:after="0"/>
              <w:rPr>
                <w:sz w:val="20"/>
                <w:szCs w:val="20"/>
                <w:color w:val="auto"/>
              </w:rPr>
            </w:pPr>
            <w:r>
              <w:rPr>
                <w:rFonts w:ascii="Arial" w:cs="Arial" w:eastAsia="Arial" w:hAnsi="Arial"/>
                <w:sz w:val="18"/>
                <w:szCs w:val="18"/>
                <w:color w:val="auto"/>
              </w:rPr>
              <w:t>incorporation or organization)</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Classification Code Number)</w:t>
            </w:r>
          </w:p>
        </w:tc>
        <w:tc>
          <w:tcPr>
            <w:tcW w:w="36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1300 Pennsylvania Ave NW, Suite 700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20004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w:t>
      </w:r>
      <w:r>
        <w:rPr>
          <w:rFonts w:ascii="Arial" w:cs="Arial" w:eastAsia="Arial" w:hAnsi="Arial"/>
          <w:sz w:val="18"/>
          <w:szCs w:val="18"/>
          <w:color w:val="auto"/>
        </w:rPr>
        <w:t>202) 600-5757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Shahal Khan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1300 Pennsylvania Ave NW, Suite 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20004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(202) 600-5757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1" w:lineRule="exact"/>
        <w:rPr>
          <w:sz w:val="24"/>
          <w:szCs w:val="24"/>
          <w:color w:val="auto"/>
        </w:rPr>
      </w:pPr>
    </w:p>
    <w:tbl>
      <w:tblPr>
        <w:tblLayout w:type="fixed"/>
        <w:tblInd w:w="176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p>
        </w:tc>
        <w:tc>
          <w:tcPr>
            <w:tcW w:w="5320" w:type="dxa"/>
            <w:vAlign w:val="bottom"/>
          </w:tcPr>
          <w:p>
            <w:pPr>
              <w:ind w:left="740"/>
              <w:spacing w:after="0"/>
              <w:rPr>
                <w:sz w:val="20"/>
                <w:szCs w:val="20"/>
                <w:color w:val="auto"/>
              </w:rPr>
            </w:pPr>
            <w:r>
              <w:rPr>
                <w:rFonts w:ascii="Arial" w:cs="Arial" w:eastAsia="Arial" w:hAnsi="Arial"/>
                <w:sz w:val="18"/>
                <w:szCs w:val="18"/>
                <w:b w:val="1"/>
                <w:bCs w:val="1"/>
                <w:i w:val="1"/>
                <w:iCs w:val="1"/>
                <w:color w:val="auto"/>
              </w:rPr>
              <w:t>Copies to:</w:t>
            </w:r>
          </w:p>
        </w:tc>
      </w:tr>
      <w:tr>
        <w:trPr>
          <w:trHeight w:val="414"/>
        </w:trPr>
        <w:tc>
          <w:tcPr>
            <w:tcW w:w="2760" w:type="dxa"/>
            <w:vAlign w:val="bottom"/>
          </w:tcPr>
          <w:p>
            <w:pPr>
              <w:jc w:val="center"/>
              <w:ind w:right="670"/>
              <w:spacing w:after="0"/>
              <w:rPr>
                <w:sz w:val="20"/>
                <w:szCs w:val="20"/>
                <w:color w:val="auto"/>
              </w:rPr>
            </w:pPr>
            <w:r>
              <w:rPr>
                <w:rFonts w:ascii="Arial" w:cs="Arial" w:eastAsia="Arial" w:hAnsi="Arial"/>
                <w:sz w:val="18"/>
                <w:szCs w:val="18"/>
                <w:b w:val="1"/>
                <w:bCs w:val="1"/>
                <w:color w:val="auto"/>
                <w:w w:val="90"/>
              </w:rPr>
              <w:t>Mitchell S. Nussbaum</w:t>
            </w:r>
          </w:p>
        </w:tc>
        <w:tc>
          <w:tcPr>
            <w:tcW w:w="5320" w:type="dxa"/>
            <w:vAlign w:val="bottom"/>
          </w:tcPr>
          <w:p>
            <w:pPr>
              <w:spacing w:after="0"/>
              <w:rPr>
                <w:sz w:val="24"/>
                <w:szCs w:val="24"/>
                <w:color w:val="auto"/>
              </w:rPr>
            </w:pPr>
          </w:p>
        </w:tc>
      </w:tr>
      <w:tr>
        <w:trPr>
          <w:trHeight w:val="216"/>
        </w:trPr>
        <w:tc>
          <w:tcPr>
            <w:tcW w:w="2760" w:type="dxa"/>
            <w:vAlign w:val="bottom"/>
          </w:tcPr>
          <w:p>
            <w:pPr>
              <w:jc w:val="center"/>
              <w:ind w:right="670"/>
              <w:spacing w:after="0"/>
              <w:rPr>
                <w:sz w:val="20"/>
                <w:szCs w:val="20"/>
                <w:color w:val="auto"/>
              </w:rPr>
            </w:pPr>
            <w:r>
              <w:rPr>
                <w:rFonts w:ascii="Arial" w:cs="Arial" w:eastAsia="Arial" w:hAnsi="Arial"/>
                <w:sz w:val="18"/>
                <w:szCs w:val="18"/>
                <w:b w:val="1"/>
                <w:bCs w:val="1"/>
                <w:color w:val="auto"/>
                <w:w w:val="93"/>
              </w:rPr>
              <w:t>G. Alex Weniger-Araujo</w:t>
            </w:r>
          </w:p>
        </w:tc>
        <w:tc>
          <w:tcPr>
            <w:tcW w:w="5320" w:type="dxa"/>
            <w:vAlign w:val="bottom"/>
          </w:tcPr>
          <w:p>
            <w:pPr>
              <w:jc w:val="center"/>
              <w:ind w:left="2530"/>
              <w:spacing w:after="0"/>
              <w:rPr>
                <w:sz w:val="20"/>
                <w:szCs w:val="20"/>
                <w:color w:val="auto"/>
              </w:rPr>
            </w:pPr>
            <w:r>
              <w:rPr>
                <w:rFonts w:ascii="Arial" w:cs="Arial" w:eastAsia="Arial" w:hAnsi="Arial"/>
                <w:sz w:val="18"/>
                <w:szCs w:val="18"/>
                <w:b w:val="1"/>
                <w:bCs w:val="1"/>
                <w:color w:val="auto"/>
                <w:w w:val="88"/>
              </w:rPr>
              <w:t>Joseph M. Lucosky, Esq.</w:t>
            </w:r>
          </w:p>
        </w:tc>
      </w:tr>
      <w:tr>
        <w:trPr>
          <w:trHeight w:val="216"/>
        </w:trPr>
        <w:tc>
          <w:tcPr>
            <w:tcW w:w="2760" w:type="dxa"/>
            <w:vAlign w:val="bottom"/>
          </w:tcPr>
          <w:p>
            <w:pPr>
              <w:jc w:val="center"/>
              <w:ind w:right="670"/>
              <w:spacing w:after="0"/>
              <w:rPr>
                <w:sz w:val="20"/>
                <w:szCs w:val="20"/>
                <w:color w:val="auto"/>
              </w:rPr>
            </w:pPr>
            <w:r>
              <w:rPr>
                <w:rFonts w:ascii="Arial" w:cs="Arial" w:eastAsia="Arial" w:hAnsi="Arial"/>
                <w:sz w:val="18"/>
                <w:szCs w:val="18"/>
                <w:b w:val="1"/>
                <w:bCs w:val="1"/>
                <w:color w:val="auto"/>
                <w:w w:val="94"/>
              </w:rPr>
              <w:t>Loeb &amp; Loeb LLP</w:t>
            </w:r>
          </w:p>
        </w:tc>
        <w:tc>
          <w:tcPr>
            <w:tcW w:w="5320" w:type="dxa"/>
            <w:vAlign w:val="bottom"/>
          </w:tcPr>
          <w:p>
            <w:pPr>
              <w:jc w:val="center"/>
              <w:ind w:left="2530"/>
              <w:spacing w:after="0"/>
              <w:rPr>
                <w:sz w:val="20"/>
                <w:szCs w:val="20"/>
                <w:color w:val="auto"/>
              </w:rPr>
            </w:pPr>
            <w:r>
              <w:rPr>
                <w:rFonts w:ascii="Arial" w:cs="Arial" w:eastAsia="Arial" w:hAnsi="Arial"/>
                <w:sz w:val="18"/>
                <w:szCs w:val="18"/>
                <w:b w:val="1"/>
                <w:bCs w:val="1"/>
                <w:color w:val="auto"/>
                <w:w w:val="92"/>
              </w:rPr>
              <w:t>Lucosky Brookman LLP</w:t>
            </w:r>
          </w:p>
        </w:tc>
      </w:tr>
      <w:tr>
        <w:trPr>
          <w:trHeight w:val="216"/>
        </w:trPr>
        <w:tc>
          <w:tcPr>
            <w:tcW w:w="2760" w:type="dxa"/>
            <w:vAlign w:val="bottom"/>
          </w:tcPr>
          <w:p>
            <w:pPr>
              <w:jc w:val="center"/>
              <w:ind w:right="670"/>
              <w:spacing w:after="0"/>
              <w:rPr>
                <w:sz w:val="20"/>
                <w:szCs w:val="20"/>
                <w:color w:val="auto"/>
              </w:rPr>
            </w:pPr>
            <w:r>
              <w:rPr>
                <w:rFonts w:ascii="Arial" w:cs="Arial" w:eastAsia="Arial" w:hAnsi="Arial"/>
                <w:sz w:val="18"/>
                <w:szCs w:val="18"/>
                <w:b w:val="1"/>
                <w:bCs w:val="1"/>
                <w:color w:val="auto"/>
                <w:w w:val="91"/>
              </w:rPr>
              <w:t>345 Park Avenue</w:t>
            </w:r>
          </w:p>
        </w:tc>
        <w:tc>
          <w:tcPr>
            <w:tcW w:w="5320" w:type="dxa"/>
            <w:vAlign w:val="bottom"/>
          </w:tcPr>
          <w:p>
            <w:pPr>
              <w:jc w:val="center"/>
              <w:ind w:left="2530"/>
              <w:spacing w:after="0"/>
              <w:rPr>
                <w:sz w:val="20"/>
                <w:szCs w:val="20"/>
                <w:color w:val="auto"/>
              </w:rPr>
            </w:pPr>
            <w:r>
              <w:rPr>
                <w:rFonts w:ascii="Arial" w:cs="Arial" w:eastAsia="Arial" w:hAnsi="Arial"/>
                <w:sz w:val="18"/>
                <w:szCs w:val="18"/>
                <w:b w:val="1"/>
                <w:bCs w:val="1"/>
                <w:color w:val="auto"/>
                <w:w w:val="90"/>
              </w:rPr>
              <w:t>101 Wood Avenue South; 5th Floor</w:t>
            </w:r>
          </w:p>
        </w:tc>
      </w:tr>
      <w:tr>
        <w:trPr>
          <w:trHeight w:val="216"/>
        </w:trPr>
        <w:tc>
          <w:tcPr>
            <w:tcW w:w="2760" w:type="dxa"/>
            <w:vAlign w:val="bottom"/>
          </w:tcPr>
          <w:p>
            <w:pPr>
              <w:jc w:val="center"/>
              <w:ind w:right="670"/>
              <w:spacing w:after="0"/>
              <w:rPr>
                <w:sz w:val="20"/>
                <w:szCs w:val="20"/>
                <w:color w:val="auto"/>
              </w:rPr>
            </w:pPr>
            <w:r>
              <w:rPr>
                <w:rFonts w:ascii="Arial" w:cs="Arial" w:eastAsia="Arial" w:hAnsi="Arial"/>
                <w:sz w:val="18"/>
                <w:szCs w:val="18"/>
                <w:b w:val="1"/>
                <w:bCs w:val="1"/>
                <w:color w:val="auto"/>
                <w:w w:val="92"/>
              </w:rPr>
              <w:t>New York, NY 10154</w:t>
            </w:r>
          </w:p>
        </w:tc>
        <w:tc>
          <w:tcPr>
            <w:tcW w:w="5320" w:type="dxa"/>
            <w:vAlign w:val="bottom"/>
          </w:tcPr>
          <w:p>
            <w:pPr>
              <w:jc w:val="center"/>
              <w:ind w:left="2530"/>
              <w:spacing w:after="0"/>
              <w:rPr>
                <w:sz w:val="20"/>
                <w:szCs w:val="20"/>
                <w:color w:val="auto"/>
              </w:rPr>
            </w:pPr>
            <w:r>
              <w:rPr>
                <w:rFonts w:ascii="Arial" w:cs="Arial" w:eastAsia="Arial" w:hAnsi="Arial"/>
                <w:sz w:val="18"/>
                <w:szCs w:val="18"/>
                <w:b w:val="1"/>
                <w:bCs w:val="1"/>
                <w:color w:val="auto"/>
                <w:w w:val="89"/>
              </w:rPr>
              <w:t>Woodbridge, New Jersey 08830</w:t>
            </w:r>
          </w:p>
        </w:tc>
      </w:tr>
      <w:tr>
        <w:trPr>
          <w:trHeight w:val="234"/>
        </w:trPr>
        <w:tc>
          <w:tcPr>
            <w:tcW w:w="2760" w:type="dxa"/>
            <w:vAlign w:val="bottom"/>
          </w:tcPr>
          <w:p>
            <w:pPr>
              <w:jc w:val="center"/>
              <w:ind w:right="670"/>
              <w:spacing w:after="0"/>
              <w:rPr>
                <w:sz w:val="20"/>
                <w:szCs w:val="20"/>
                <w:color w:val="auto"/>
              </w:rPr>
            </w:pPr>
            <w:r>
              <w:rPr>
                <w:rFonts w:ascii="Arial" w:cs="Arial" w:eastAsia="Arial" w:hAnsi="Arial"/>
                <w:sz w:val="18"/>
                <w:szCs w:val="18"/>
                <w:b w:val="1"/>
                <w:bCs w:val="1"/>
                <w:color w:val="auto"/>
                <w:w w:val="89"/>
              </w:rPr>
              <w:t>Telephone: (212) 407-4000</w:t>
            </w:r>
          </w:p>
        </w:tc>
        <w:tc>
          <w:tcPr>
            <w:tcW w:w="5320" w:type="dxa"/>
            <w:vAlign w:val="bottom"/>
          </w:tcPr>
          <w:p>
            <w:pPr>
              <w:jc w:val="center"/>
              <w:ind w:left="2570"/>
              <w:spacing w:after="0"/>
              <w:rPr>
                <w:sz w:val="20"/>
                <w:szCs w:val="20"/>
                <w:color w:val="auto"/>
              </w:rPr>
            </w:pPr>
            <w:r>
              <w:rPr>
                <w:rFonts w:ascii="Arial" w:cs="Arial" w:eastAsia="Arial" w:hAnsi="Arial"/>
                <w:sz w:val="18"/>
                <w:szCs w:val="18"/>
                <w:b w:val="1"/>
                <w:bCs w:val="1"/>
                <w:color w:val="auto"/>
                <w:w w:val="90"/>
              </w:rPr>
              <w:t>Telephone: (732) 395-4402</w:t>
            </w:r>
          </w:p>
        </w:tc>
      </w:tr>
    </w:tbl>
    <w:p>
      <w:pPr>
        <w:spacing w:after="0" w:line="198" w:lineRule="exact"/>
        <w:rPr>
          <w:sz w:val="24"/>
          <w:szCs w:val="24"/>
          <w:color w:val="auto"/>
        </w:rPr>
      </w:pPr>
    </w:p>
    <w:p>
      <w:pPr>
        <w:ind w:left="34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the effective date of this registration statement.</w:t>
      </w:r>
    </w:p>
    <w:p>
      <w:pPr>
        <w:spacing w:after="0" w:line="252" w:lineRule="exact"/>
        <w:rPr>
          <w:sz w:val="24"/>
          <w:szCs w:val="24"/>
          <w:color w:val="auto"/>
        </w:rPr>
      </w:pPr>
    </w:p>
    <w:p>
      <w:pPr>
        <w:ind w:right="200" w:firstLine="324"/>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300" w:firstLine="324"/>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82" w:lineRule="exact"/>
        <w:rPr>
          <w:sz w:val="24"/>
          <w:szCs w:val="24"/>
          <w:color w:val="auto"/>
        </w:rPr>
      </w:pPr>
    </w:p>
    <w:p>
      <w:pPr>
        <w:ind w:right="220"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200"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20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2"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2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8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8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1"/>
        </w:trPr>
        <w:tc>
          <w:tcPr>
            <w:tcW w:w="2160" w:type="dxa"/>
            <w:vAlign w:val="bottom"/>
          </w:tcPr>
          <w:p>
            <w:pPr>
              <w:spacing w:after="0"/>
              <w:rPr>
                <w:sz w:val="20"/>
                <w:szCs w:val="20"/>
                <w:color w:val="auto"/>
              </w:rPr>
            </w:pPr>
            <w:r>
              <w:rPr>
                <w:rFonts w:ascii="Arial" w:cs="Arial" w:eastAsia="Arial" w:hAnsi="Arial"/>
                <w:sz w:val="18"/>
                <w:szCs w:val="18"/>
                <w:color w:val="auto"/>
              </w:rPr>
              <w:t>Non-accelerated filer</w:t>
            </w:r>
          </w:p>
        </w:tc>
        <w:tc>
          <w:tcPr>
            <w:tcW w:w="208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8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20" w:type="dxa"/>
            <w:vAlign w:val="bottom"/>
          </w:tcPr>
          <w:p>
            <w:pPr>
              <w:ind w:left="138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8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394"/>
        </w:trPr>
        <w:tc>
          <w:tcPr>
            <w:tcW w:w="3760" w:type="dxa"/>
            <w:vAlign w:val="bottom"/>
          </w:tcPr>
          <w:p>
            <w:pPr>
              <w:spacing w:after="0"/>
              <w:rPr>
                <w:sz w:val="24"/>
                <w:szCs w:val="24"/>
                <w:color w:val="auto"/>
              </w:rPr>
            </w:pPr>
          </w:p>
        </w:tc>
        <w:tc>
          <w:tcPr>
            <w:tcW w:w="3900" w:type="dxa"/>
            <w:vAlign w:val="bottom"/>
            <w:gridSpan w:val="2"/>
          </w:tcPr>
          <w:p>
            <w:pPr>
              <w:ind w:left="100"/>
              <w:spacing w:after="0"/>
              <w:rPr>
                <w:sz w:val="20"/>
                <w:szCs w:val="20"/>
                <w:color w:val="auto"/>
              </w:rPr>
            </w:pPr>
            <w:r>
              <w:rPr>
                <w:rFonts w:ascii="Arial" w:cs="Arial" w:eastAsia="Arial" w:hAnsi="Arial"/>
                <w:sz w:val="18"/>
                <w:szCs w:val="18"/>
                <w:b w:val="1"/>
                <w:bCs w:val="1"/>
                <w:color w:val="auto"/>
              </w:rPr>
              <w:t>CALCULATION OF REGISTRATION FEE</w:t>
            </w:r>
            <w:r>
              <w:rPr>
                <w:rFonts w:ascii="Arial" w:cs="Arial" w:eastAsia="Arial" w:hAnsi="Arial"/>
                <w:sz w:val="29"/>
                <w:szCs w:val="29"/>
                <w:b w:val="1"/>
                <w:bCs w:val="1"/>
                <w:color w:val="auto"/>
                <w:vertAlign w:val="superscript"/>
              </w:rPr>
              <w:t>1</w:t>
            </w:r>
          </w:p>
        </w:tc>
        <w:tc>
          <w:tcPr>
            <w:tcW w:w="15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91"/>
        </w:trPr>
        <w:tc>
          <w:tcPr>
            <w:tcW w:w="3760" w:type="dxa"/>
            <w:vAlign w:val="bottom"/>
          </w:tcPr>
          <w:p>
            <w:pPr>
              <w:spacing w:after="0"/>
              <w:rPr>
                <w:sz w:val="20"/>
                <w:szCs w:val="20"/>
                <w:color w:val="auto"/>
              </w:rPr>
            </w:pPr>
            <w:r>
              <w:rPr>
                <w:rFonts w:ascii="Arial" w:cs="Arial" w:eastAsia="Arial" w:hAnsi="Arial"/>
                <w:sz w:val="18"/>
                <w:szCs w:val="18"/>
                <w:b w:val="1"/>
                <w:bCs w:val="1"/>
                <w:color w:val="auto"/>
                <w:w w:val="90"/>
              </w:rPr>
              <w:t>Title of Each Class of Security Being Registered</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4"/>
              </w:rPr>
              <w:t>Amount</w:t>
            </w:r>
          </w:p>
        </w:tc>
        <w:tc>
          <w:tcPr>
            <w:tcW w:w="2020" w:type="dxa"/>
            <w:vAlign w:val="bottom"/>
          </w:tcPr>
          <w:p>
            <w:pPr>
              <w:jc w:val="center"/>
              <w:ind w:right="130"/>
              <w:spacing w:after="0"/>
              <w:rPr>
                <w:sz w:val="20"/>
                <w:szCs w:val="20"/>
                <w:color w:val="auto"/>
              </w:rPr>
            </w:pPr>
            <w:r>
              <w:rPr>
                <w:rFonts w:ascii="Arial" w:cs="Arial" w:eastAsia="Arial" w:hAnsi="Arial"/>
                <w:sz w:val="18"/>
                <w:szCs w:val="18"/>
                <w:b w:val="1"/>
                <w:bCs w:val="1"/>
                <w:color w:val="auto"/>
                <w:w w:val="86"/>
              </w:rPr>
              <w:t>Proposed</w:t>
            </w: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84"/>
              </w:rPr>
              <w:t>Proposed</w:t>
            </w:r>
          </w:p>
        </w:tc>
        <w:tc>
          <w:tcPr>
            <w:tcW w:w="1420" w:type="dxa"/>
            <w:vAlign w:val="bottom"/>
          </w:tcPr>
          <w:p>
            <w:pPr>
              <w:jc w:val="center"/>
              <w:ind w:left="390"/>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376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87"/>
              </w:rPr>
              <w:t>Being</w:t>
            </w:r>
          </w:p>
        </w:tc>
        <w:tc>
          <w:tcPr>
            <w:tcW w:w="202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Maximum</w:t>
            </w: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Maximum</w:t>
            </w:r>
          </w:p>
        </w:tc>
        <w:tc>
          <w:tcPr>
            <w:tcW w:w="1420" w:type="dxa"/>
            <w:vAlign w:val="bottom"/>
          </w:tcPr>
          <w:p>
            <w:pPr>
              <w:jc w:val="center"/>
              <w:ind w:left="390"/>
              <w:spacing w:after="0"/>
              <w:rPr>
                <w:sz w:val="20"/>
                <w:szCs w:val="20"/>
                <w:color w:val="auto"/>
              </w:rPr>
            </w:pPr>
            <w:r>
              <w:rPr>
                <w:rFonts w:ascii="Arial" w:cs="Arial" w:eastAsia="Arial" w:hAnsi="Arial"/>
                <w:sz w:val="18"/>
                <w:szCs w:val="18"/>
                <w:b w:val="1"/>
                <w:bCs w:val="1"/>
                <w:color w:val="auto"/>
                <w:w w:val="89"/>
              </w:rPr>
              <w:t>Registration</w:t>
            </w:r>
          </w:p>
        </w:tc>
      </w:tr>
      <w:tr>
        <w:trPr>
          <w:trHeight w:val="234"/>
        </w:trPr>
        <w:tc>
          <w:tcPr>
            <w:tcW w:w="376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88"/>
              </w:rPr>
              <w:t>Registered</w:t>
            </w:r>
          </w:p>
        </w:tc>
        <w:tc>
          <w:tcPr>
            <w:tcW w:w="202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Offering</w:t>
            </w: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Aggregate</w:t>
            </w:r>
          </w:p>
        </w:tc>
        <w:tc>
          <w:tcPr>
            <w:tcW w:w="1420" w:type="dxa"/>
            <w:vAlign w:val="bottom"/>
          </w:tcPr>
          <w:p>
            <w:pPr>
              <w:jc w:val="center"/>
              <w:ind w:left="430"/>
              <w:spacing w:after="0"/>
              <w:rPr>
                <w:sz w:val="20"/>
                <w:szCs w:val="20"/>
                <w:color w:val="auto"/>
              </w:rPr>
            </w:pPr>
            <w:r>
              <w:rPr>
                <w:rFonts w:ascii="Arial" w:cs="Arial" w:eastAsia="Arial" w:hAnsi="Arial"/>
                <w:sz w:val="18"/>
                <w:szCs w:val="18"/>
                <w:b w:val="1"/>
                <w:bCs w:val="1"/>
                <w:color w:val="auto"/>
                <w:w w:val="83"/>
              </w:rPr>
              <w:t>Fee</w:t>
            </w:r>
          </w:p>
        </w:tc>
      </w:tr>
    </w:tbl>
    <w:p>
      <w:pPr>
        <w:sectPr>
          <w:pgSz w:w="11900" w:h="16838" w:orient="portrait"/>
          <w:cols w:equalWidth="0" w:num="1">
            <w:col w:w="11240"/>
          </w:cols>
          <w:pgMar w:left="320" w:top="476" w:right="3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Price per</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Offering</w:t>
            </w: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gridSpan w:val="2"/>
          </w:tcPr>
          <w:p>
            <w:pPr>
              <w:jc w:val="right"/>
              <w:ind w:right="500"/>
              <w:spacing w:after="0" w:line="271" w:lineRule="exact"/>
              <w:rPr>
                <w:sz w:val="20"/>
                <w:szCs w:val="20"/>
                <w:color w:val="auto"/>
              </w:rPr>
            </w:pPr>
            <w:r>
              <w:rPr>
                <w:rFonts w:ascii="Arial" w:cs="Arial" w:eastAsia="Arial" w:hAnsi="Arial"/>
                <w:sz w:val="18"/>
                <w:szCs w:val="18"/>
                <w:b w:val="1"/>
                <w:bCs w:val="1"/>
                <w:color w:val="auto"/>
                <w:w w:val="97"/>
              </w:rPr>
              <w:t>Security</w:t>
            </w:r>
            <w:r>
              <w:rPr>
                <w:rFonts w:ascii="Arial" w:cs="Arial" w:eastAsia="Arial" w:hAnsi="Arial"/>
                <w:sz w:val="29"/>
                <w:szCs w:val="29"/>
                <w:b w:val="1"/>
                <w:bCs w:val="1"/>
                <w:color w:val="auto"/>
                <w:w w:val="97"/>
                <w:vertAlign w:val="superscript"/>
              </w:rPr>
              <w:t>(1)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80" w:type="dxa"/>
            <w:vAlign w:val="bottom"/>
            <w:gridSpan w:val="2"/>
          </w:tcPr>
          <w:p>
            <w:pPr>
              <w:jc w:val="right"/>
              <w:ind w:right="760"/>
              <w:spacing w:after="0" w:line="271" w:lineRule="exact"/>
              <w:rPr>
                <w:sz w:val="20"/>
                <w:szCs w:val="20"/>
                <w:color w:val="auto"/>
              </w:rPr>
            </w:pPr>
            <w:r>
              <w:rPr>
                <w:rFonts w:ascii="Arial" w:cs="Arial" w:eastAsia="Arial" w:hAnsi="Arial"/>
                <w:sz w:val="18"/>
                <w:szCs w:val="18"/>
                <w:b w:val="1"/>
                <w:bCs w:val="1"/>
                <w:color w:val="auto"/>
              </w:rPr>
              <w:t>Price</w:t>
            </w:r>
            <w:r>
              <w:rPr>
                <w:rFonts w:ascii="Arial" w:cs="Arial" w:eastAsia="Arial" w:hAnsi="Arial"/>
                <w:sz w:val="29"/>
                <w:szCs w:val="29"/>
                <w:b w:val="1"/>
                <w:bCs w:val="1"/>
                <w:color w:val="auto"/>
                <w:vertAlign w:val="superscript"/>
              </w:rPr>
              <w:t>(1)</w:t>
            </w:r>
          </w:p>
        </w:tc>
        <w:tc>
          <w:tcPr>
            <w:tcW w:w="6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36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9"/>
              </w:rPr>
              <w:t>Units, each consisting of one share of Class A</w:t>
            </w:r>
          </w:p>
        </w:tc>
        <w:tc>
          <w:tcPr>
            <w:tcW w:w="14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common stock, $0.0001 par value, and one</w:t>
            </w:r>
          </w:p>
        </w:tc>
        <w:tc>
          <w:tcPr>
            <w:tcW w:w="1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3820" w:type="dxa"/>
            <w:vAlign w:val="bottom"/>
            <w:gridSpan w:val="2"/>
            <w:shd w:val="clear" w:color="auto" w:fill="CCEEFF"/>
          </w:tcPr>
          <w:p>
            <w:pPr>
              <w:ind w:left="180"/>
              <w:spacing w:after="0" w:line="267" w:lineRule="exact"/>
              <w:rPr>
                <w:sz w:val="20"/>
                <w:szCs w:val="20"/>
                <w:color w:val="auto"/>
              </w:rPr>
            </w:pPr>
            <w:r>
              <w:rPr>
                <w:rFonts w:ascii="Arial" w:cs="Arial" w:eastAsia="Arial" w:hAnsi="Arial"/>
                <w:sz w:val="18"/>
                <w:szCs w:val="18"/>
                <w:color w:val="auto"/>
              </w:rPr>
              <w:t>redeemable warrant</w:t>
            </w:r>
            <w:r>
              <w:rPr>
                <w:rFonts w:ascii="Arial" w:cs="Arial" w:eastAsia="Arial" w:hAnsi="Arial"/>
                <w:sz w:val="29"/>
                <w:szCs w:val="29"/>
                <w:color w:val="auto"/>
                <w:vertAlign w:val="superscript"/>
              </w:rPr>
              <w:t>(2)</w:t>
            </w:r>
          </w:p>
        </w:tc>
        <w:tc>
          <w:tcPr>
            <w:tcW w:w="19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28,750,000 Units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287,500,000</w:t>
            </w: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31,366</w:t>
            </w: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3820" w:type="dxa"/>
            <w:vAlign w:val="bottom"/>
            <w:gridSpan w:val="2"/>
          </w:tcPr>
          <w:p>
            <w:pPr>
              <w:spacing w:after="0" w:line="206" w:lineRule="exact"/>
              <w:rPr>
                <w:sz w:val="20"/>
                <w:szCs w:val="20"/>
                <w:color w:val="auto"/>
              </w:rPr>
            </w:pPr>
            <w:r>
              <w:rPr>
                <w:rFonts w:ascii="Arial" w:cs="Arial" w:eastAsia="Arial" w:hAnsi="Arial"/>
                <w:sz w:val="18"/>
                <w:szCs w:val="18"/>
                <w:color w:val="auto"/>
                <w:w w:val="95"/>
              </w:rPr>
              <w:t>Shares of Class A common stock included as part</w:t>
            </w:r>
          </w:p>
        </w:tc>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3820" w:type="dxa"/>
            <w:vAlign w:val="bottom"/>
            <w:gridSpan w:val="2"/>
          </w:tcPr>
          <w:p>
            <w:pPr>
              <w:ind w:left="180"/>
              <w:spacing w:after="0" w:line="267" w:lineRule="exact"/>
              <w:rPr>
                <w:sz w:val="20"/>
                <w:szCs w:val="20"/>
                <w:color w:val="auto"/>
              </w:rPr>
            </w:pPr>
            <w:r>
              <w:rPr>
                <w:rFonts w:ascii="Arial" w:cs="Arial" w:eastAsia="Arial" w:hAnsi="Arial"/>
                <w:sz w:val="18"/>
                <w:szCs w:val="18"/>
                <w:color w:val="auto"/>
              </w:rPr>
              <w:t>of the units</w:t>
            </w:r>
            <w:r>
              <w:rPr>
                <w:rFonts w:ascii="Arial" w:cs="Arial" w:eastAsia="Arial" w:hAnsi="Arial"/>
                <w:sz w:val="29"/>
                <w:szCs w:val="29"/>
                <w:color w:val="auto"/>
                <w:vertAlign w:val="superscript"/>
              </w:rPr>
              <w:t>(3)</w:t>
            </w:r>
          </w:p>
        </w:tc>
        <w:tc>
          <w:tcPr>
            <w:tcW w:w="19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28,750,000 Shares</w:t>
            </w:r>
          </w:p>
        </w:tc>
        <w:tc>
          <w:tcPr>
            <w:tcW w:w="240" w:type="dxa"/>
            <w:vAlign w:val="bottom"/>
          </w:tcPr>
          <w:p>
            <w:pPr>
              <w:spacing w:after="0"/>
              <w:rPr>
                <w:sz w:val="23"/>
                <w:szCs w:val="23"/>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3"/>
                <w:szCs w:val="23"/>
                <w:color w:val="auto"/>
              </w:rPr>
            </w:pPr>
          </w:p>
        </w:tc>
        <w:tc>
          <w:tcPr>
            <w:tcW w:w="1220" w:type="dxa"/>
            <w:vAlign w:val="bottom"/>
            <w:gridSpan w:val="3"/>
          </w:tcPr>
          <w:p>
            <w:pPr>
              <w:jc w:val="right"/>
              <w:spacing w:after="0" w:line="266"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4"/>
                <w:szCs w:val="14"/>
                <w:color w:val="auto"/>
              </w:rPr>
              <w:t xml:space="preserve"> (4)</w:t>
            </w:r>
          </w:p>
        </w:tc>
        <w:tc>
          <w:tcPr>
            <w:tcW w:w="0" w:type="dxa"/>
            <w:vAlign w:val="bottom"/>
          </w:tcPr>
          <w:p>
            <w:pPr>
              <w:spacing w:after="0"/>
              <w:rPr>
                <w:sz w:val="1"/>
                <w:szCs w:val="1"/>
                <w:color w:val="auto"/>
              </w:rPr>
            </w:pPr>
          </w:p>
        </w:tc>
      </w:tr>
      <w:tr>
        <w:trPr>
          <w:trHeight w:val="205"/>
        </w:trPr>
        <w:tc>
          <w:tcPr>
            <w:tcW w:w="382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Redeemable warrants included as part of the</w:t>
            </w:r>
          </w:p>
        </w:tc>
        <w:tc>
          <w:tcPr>
            <w:tcW w:w="1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3820" w:type="dxa"/>
            <w:vAlign w:val="bottom"/>
            <w:gridSpan w:val="2"/>
            <w:shd w:val="clear" w:color="auto" w:fill="CCEEFF"/>
          </w:tcPr>
          <w:p>
            <w:pPr>
              <w:ind w:left="180"/>
              <w:spacing w:after="0" w:line="280" w:lineRule="exact"/>
              <w:rPr>
                <w:sz w:val="20"/>
                <w:szCs w:val="20"/>
                <w:color w:val="auto"/>
              </w:rPr>
            </w:pPr>
            <w:r>
              <w:rPr>
                <w:rFonts w:ascii="Arial" w:cs="Arial" w:eastAsia="Arial" w:hAnsi="Arial"/>
                <w:sz w:val="18"/>
                <w:szCs w:val="18"/>
                <w:color w:val="auto"/>
              </w:rPr>
              <w:t>units</w:t>
            </w:r>
            <w:r>
              <w:rPr>
                <w:rFonts w:ascii="Arial" w:cs="Arial" w:eastAsia="Arial" w:hAnsi="Arial"/>
                <w:sz w:val="29"/>
                <w:szCs w:val="29"/>
                <w:color w:val="auto"/>
                <w:vertAlign w:val="superscript"/>
              </w:rPr>
              <w:t>(3)</w:t>
            </w:r>
          </w:p>
        </w:tc>
        <w:tc>
          <w:tcPr>
            <w:tcW w:w="19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28,750,000 Warrants</w:t>
            </w:r>
          </w:p>
        </w:tc>
        <w:tc>
          <w:tcPr>
            <w:tcW w:w="2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4"/>
                <w:szCs w:val="24"/>
                <w:color w:val="auto"/>
              </w:rPr>
            </w:pPr>
          </w:p>
        </w:tc>
        <w:tc>
          <w:tcPr>
            <w:tcW w:w="1220" w:type="dxa"/>
            <w:vAlign w:val="bottom"/>
            <w:gridSpan w:val="3"/>
            <w:shd w:val="clear" w:color="auto" w:fill="CCEEFF"/>
          </w:tcPr>
          <w:p>
            <w:pPr>
              <w:jc w:val="right"/>
              <w:spacing w:after="0" w:line="281"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4"/>
                <w:szCs w:val="14"/>
                <w:color w:val="auto"/>
              </w:rPr>
              <w:t xml:space="preserve"> (4)</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line="20" w:lineRule="exact"/>
              <w:rPr>
                <w:sz w:val="1"/>
                <w:szCs w:val="1"/>
                <w:color w:val="auto"/>
              </w:rPr>
            </w:pPr>
          </w:p>
        </w:tc>
      </w:tr>
      <w:tr>
        <w:trPr>
          <w:trHeight w:val="263"/>
        </w:trPr>
        <w:tc>
          <w:tcPr>
            <w:tcW w:w="3820" w:type="dxa"/>
            <w:vAlign w:val="bottom"/>
            <w:gridSpan w:val="2"/>
            <w:vMerge w:val="continue"/>
          </w:tcPr>
          <w:p>
            <w:pPr>
              <w:spacing w:after="0"/>
              <w:rPr>
                <w:sz w:val="22"/>
                <w:szCs w:val="22"/>
                <w:color w:val="auto"/>
              </w:rPr>
            </w:pPr>
          </w:p>
        </w:tc>
        <w:tc>
          <w:tcPr>
            <w:tcW w:w="1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287,500,000</w:t>
            </w:r>
          </w:p>
        </w:tc>
        <w:tc>
          <w:tcPr>
            <w:tcW w:w="600" w:type="dxa"/>
            <w:vAlign w:val="bottom"/>
          </w:tcPr>
          <w:p>
            <w:pPr>
              <w:jc w:val="right"/>
              <w:ind w:right="4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31,366</w:t>
            </w:r>
          </w:p>
        </w:tc>
        <w:tc>
          <w:tcPr>
            <w:tcW w:w="2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right="520" w:hanging="572"/>
        <w:spacing w:after="0" w:line="277"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457(a) under the Securities Act of 1933, as amended (the “Securities Act”).</w:t>
      </w:r>
    </w:p>
    <w:p>
      <w:pPr>
        <w:spacing w:after="0" w:line="170" w:lineRule="exact"/>
        <w:rPr>
          <w:rFonts w:ascii="Arial" w:cs="Arial" w:eastAsia="Arial" w:hAnsi="Arial"/>
          <w:sz w:val="18"/>
          <w:szCs w:val="18"/>
          <w:color w:val="auto"/>
        </w:rPr>
      </w:pPr>
    </w:p>
    <w:p>
      <w:pPr>
        <w:ind w:left="580" w:right="120" w:hanging="572"/>
        <w:spacing w:after="0" w:line="277"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3,750,000 units, consisting of 3,750,000 shares of Class A common stock and 3,750,000 redeemable warrants, which may be issued upon exercise of a 45-day option granted to the underwriters to cover over-allotments, if any.</w:t>
      </w:r>
    </w:p>
    <w:p>
      <w:pPr>
        <w:spacing w:after="0" w:line="170" w:lineRule="exact"/>
        <w:rPr>
          <w:rFonts w:ascii="Arial" w:cs="Arial" w:eastAsia="Arial" w:hAnsi="Arial"/>
          <w:sz w:val="18"/>
          <w:szCs w:val="18"/>
          <w:color w:val="auto"/>
        </w:rPr>
      </w:pPr>
    </w:p>
    <w:p>
      <w:pPr>
        <w:ind w:left="580" w:right="660" w:hanging="572"/>
        <w:spacing w:after="0" w:line="277"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there are also being registered an indeterminable number of additional securities as may be issued to prevent dilution resulting from stock splits, stock dividends or similar transactions.</w:t>
      </w:r>
    </w:p>
    <w:p>
      <w:pPr>
        <w:spacing w:after="0" w:line="170"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fee pursuant to Rule 457(g).</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Previously Paid.</w:t>
      </w:r>
    </w:p>
    <w:p>
      <w:pPr>
        <w:spacing w:after="0" w:line="221"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ind w:right="100"/>
        <w:spacing w:after="0" w:line="289" w:lineRule="auto"/>
        <w:rPr>
          <w:sz w:val="20"/>
          <w:szCs w:val="20"/>
          <w:color w:val="auto"/>
        </w:rPr>
      </w:pPr>
      <w:r>
        <w:rPr>
          <w:rFonts w:ascii="Arial" w:cs="Arial" w:eastAsia="Arial" w:hAnsi="Arial"/>
          <w:sz w:val="17"/>
          <w:szCs w:val="17"/>
          <w:b w:val="1"/>
          <w:bCs w:val="1"/>
          <w:color w:val="D2232A"/>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198" w:lineRule="exact"/>
        <w:rPr>
          <w:sz w:val="20"/>
          <w:szCs w:val="20"/>
          <w:color w:val="auto"/>
        </w:rPr>
      </w:pPr>
    </w:p>
    <w:p>
      <w:pPr>
        <w:spacing w:after="0"/>
        <w:tabs>
          <w:tab w:leader="none" w:pos="6500" w:val="left"/>
        </w:tabs>
        <w:rPr>
          <w:sz w:val="20"/>
          <w:szCs w:val="20"/>
          <w:color w:val="auto"/>
        </w:rPr>
      </w:pPr>
      <w:r>
        <w:rPr>
          <w:rFonts w:ascii="Arial" w:cs="Arial" w:eastAsia="Arial" w:hAnsi="Arial"/>
          <w:sz w:val="18"/>
          <w:szCs w:val="18"/>
          <w:b w:val="1"/>
          <w:bCs w:val="1"/>
          <w:color w:val="D2232A"/>
        </w:rPr>
        <w:t>PRELIMINARY PROSPECTUS</w:t>
      </w:r>
      <w:r>
        <w:rPr>
          <w:sz w:val="20"/>
          <w:szCs w:val="20"/>
          <w:color w:val="auto"/>
        </w:rPr>
        <w:tab/>
      </w:r>
      <w:r>
        <w:rPr>
          <w:rFonts w:ascii="Arial" w:cs="Arial" w:eastAsia="Arial" w:hAnsi="Arial"/>
          <w:sz w:val="17"/>
          <w:szCs w:val="17"/>
          <w:b w:val="1"/>
          <w:bCs w:val="1"/>
          <w:color w:val="D2232A"/>
        </w:rPr>
        <w:t>SUBJECT TO COMPLETION, DATED OCTOBER 13,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$250,000,000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25,000,000 Units</w:t>
      </w:r>
    </w:p>
    <w:p>
      <w:pPr>
        <w:spacing w:after="0" w:line="211" w:lineRule="exact"/>
        <w:rPr>
          <w:sz w:val="20"/>
          <w:szCs w:val="20"/>
          <w:color w:val="auto"/>
        </w:rPr>
      </w:pPr>
    </w:p>
    <w:p>
      <w:pPr>
        <w:ind w:right="360" w:firstLine="324"/>
        <w:spacing w:after="0" w:line="296" w:lineRule="auto"/>
        <w:rPr>
          <w:sz w:val="20"/>
          <w:szCs w:val="20"/>
          <w:color w:val="auto"/>
        </w:rPr>
      </w:pPr>
      <w:r>
        <w:rPr>
          <w:rFonts w:ascii="Arial" w:cs="Arial" w:eastAsia="Arial" w:hAnsi="Arial"/>
          <w:sz w:val="16"/>
          <w:szCs w:val="16"/>
          <w:color w:val="auto"/>
        </w:rPr>
        <w:t>BurTech Acquisition Corp. is a newly organized blank check company formed for the purpose of effecting a merger, capital stock exchange, asset acquisition, stock purchase, reorganization or similar business combination with one or more businesses, which we refer to as our initial business combination throughout this prospectus. We have not selected any specific business combination target and we have not, nor has anyone on our behalf, initiated any substantive discussions, directly or indirectly, with any business combination target. While we may pursue an initial business combination target in any business or industry, we intend to focus our search on the retail, lifestyle, hospitality, technology or real estate markets.</w:t>
      </w:r>
    </w:p>
    <w:p>
      <w:pPr>
        <w:spacing w:after="0" w:line="16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This is an initial public offering of our securities. Each unit has an offering price of $10.00 and consists of one share of our Class A common stock and one redeemable warrant as described in more detail in this prospectus. Only whole warrants are exercisable. Each warrant entitles the holder thereof to purchase one share of our Class A common stock at a price of $11.50 per share, subject to adjustment as described herein. No fractional warrants will be issued upon separation of the units and only whole warrants will trade. The underwriters have a 45-day option from the date of this prospectus to purchase up to an additional 3,750,000 units to cover over-allotments, if any.</w:t>
      </w:r>
    </w:p>
    <w:p>
      <w:pPr>
        <w:spacing w:after="0" w:line="188"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will provide our public stockholders with the opportunity to redeem all or a portion of their shares of our Class A common stock upon the completion of our initial business combination, subject to the limitations described herein. If we are unable to complete our initial business combination within 15 months from the closing of this offering, we will redeem 100% of the public shares for cash, subject to applicable law and certain conditions as further described herein.</w:t>
      </w:r>
    </w:p>
    <w:p>
      <w:pPr>
        <w:spacing w:after="0" w:line="18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sponsor, BurTech LP LLC, has agreed to purchase an aggregate of 804,500 placement units (or 898,250 placement units if the over-allotment option is exercised in full) at a price of $10.00 per unit, for an aggregate purchase price of $8,045,000 ($8,982,500 if the over-allotment option is exercised in full). Each placement unit will be identical to the units sold in this offering, except as described in this prospectus. The placement units will be sold in a private placement that will close simultaneously with the closing of this offering.</w:t>
      </w:r>
    </w:p>
    <w:p>
      <w:pPr>
        <w:spacing w:after="0" w:line="187"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Our initial stockholders own an aggregate of 9,487,500 shares of our Class B common stock (up to 1,237,500 shares of which are subject to forfeiture depending on the extent to which the underwriters’ over-allotment option is exercised), which will automatically convert into shares of Class A common stock at the time of the consummation of our initial business combination, on a one-for-one basis, subject to adjustment as described herein.</w:t>
      </w:r>
    </w:p>
    <w:p>
      <w:pPr>
        <w:spacing w:after="0" w:line="149"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Currently, there is no public market for our units, Class A common stock or warrants. We have applied to list our units on The Nasdaq Global Market, or Nasdaq, under the symbol “BRKHU.” We expect that our units will be listed on The Nasdaq Global Market on or promptly after the date of this prospectus. We cannot guarantee that our securities will be approved for listing on Nasdaq. We expect the Class A common stock and warrants comprising</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the units will begin separate trading on the 52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day following the date of this prospectus unless the representative informs us of its decision to allow earlier separate trading, subject to our satisfaction of certain conditions. Once the securities comprising the units begin separate trading, we expect that the Class A common stock and warrants will be listed on Nasdaq under the symbols “BRKH” and “BRKHW,” respectively.</w:t>
      </w:r>
    </w:p>
    <w:p>
      <w:pPr>
        <w:spacing w:after="0" w:line="200" w:lineRule="exact"/>
        <w:rPr>
          <w:sz w:val="20"/>
          <w:szCs w:val="20"/>
          <w:color w:val="auto"/>
        </w:rPr>
      </w:pPr>
    </w:p>
    <w:p>
      <w:pPr>
        <w:ind w:right="240" w:firstLine="324"/>
        <w:spacing w:after="0" w:line="261" w:lineRule="auto"/>
        <w:rPr>
          <w:sz w:val="20"/>
          <w:szCs w:val="20"/>
          <w:color w:val="auto"/>
        </w:rPr>
      </w:pPr>
      <w:r>
        <w:rPr>
          <w:rFonts w:ascii="Arial" w:cs="Arial" w:eastAsia="Arial" w:hAnsi="Arial"/>
          <w:sz w:val="18"/>
          <w:szCs w:val="18"/>
          <w:b w:val="1"/>
          <w:bCs w:val="1"/>
          <w:color w:val="auto"/>
        </w:rPr>
        <w:t>We are an “emerging growth company” under applicable federal securities laws and will be subject to reduced public company reporting requirements. Investing in our securities involves a high degree of risk. See “Risk Factors” beginning on page 34 for a discussion of information that should be considered in connection with an investment in our securities. Investors will not be entitled to protections normally afforded to investors in Rule 419 blank check offerings.</w:t>
      </w:r>
    </w:p>
    <w:p>
      <w:pPr>
        <w:spacing w:after="0" w:line="180" w:lineRule="exact"/>
        <w:rPr>
          <w:sz w:val="20"/>
          <w:szCs w:val="20"/>
          <w:color w:val="auto"/>
        </w:rPr>
      </w:pPr>
    </w:p>
    <w:p>
      <w:pPr>
        <w:ind w:right="120" w:firstLine="324"/>
        <w:spacing w:after="0" w:line="282" w:lineRule="auto"/>
        <w:rPr>
          <w:sz w:val="20"/>
          <w:szCs w:val="20"/>
          <w:color w:val="auto"/>
        </w:rPr>
      </w:pPr>
      <w:r>
        <w:rPr>
          <w:rFonts w:ascii="Arial" w:cs="Arial" w:eastAsia="Arial" w:hAnsi="Arial"/>
          <w:sz w:val="18"/>
          <w:szCs w:val="18"/>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Per Unit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r>
      <w:tr>
        <w:trPr>
          <w:trHeight w:val="209"/>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250,000,000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6240" w:type="dxa"/>
            <w:vAlign w:val="bottom"/>
          </w:tcPr>
          <w:p>
            <w:pPr>
              <w:spacing w:after="0" w:line="256"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9"/>
                <w:szCs w:val="29"/>
                <w:color w:val="auto"/>
                <w:vertAlign w:val="superscript"/>
              </w:rPr>
              <w:t>(1)</w:t>
            </w:r>
          </w:p>
        </w:tc>
        <w:tc>
          <w:tcPr>
            <w:tcW w:w="2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0.45</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11,250,000</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BurTech Acquisition Corp.</w:t>
            </w:r>
          </w:p>
        </w:tc>
        <w:tc>
          <w:tcPr>
            <w:tcW w:w="2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9.55</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238,750,000</w:t>
            </w:r>
          </w:p>
        </w:tc>
      </w:tr>
    </w:tbl>
    <w:p>
      <w:pPr>
        <w:spacing w:after="0" w:line="202" w:lineRule="exact"/>
        <w:rPr>
          <w:sz w:val="20"/>
          <w:szCs w:val="20"/>
          <w:color w:val="auto"/>
        </w:rPr>
      </w:pPr>
    </w:p>
    <w:p>
      <w:pPr>
        <w:ind w:left="760" w:hanging="428"/>
        <w:spacing w:after="0" w:line="271" w:lineRule="auto"/>
        <w:tabs>
          <w:tab w:leader="none" w:pos="76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Includes $0.35 per unit, or $8,750,000 (or $10,062,500 if the over-allotment option is exercised in full) in the aggregate, payable to the underwriters for deferred underwriting commissions to be placed in a trust account located in the United States as described herein. The deferred commissions will be released to the representative of the underwriters only on completion of an initial business combination, as described in this prospectus. Does not include certain fees and expenses payable to the underwriters in connection with this offering. In addition we have agreed to issue 375,000 shares (or 431,250 shares if the underwriters’ over-allotment option is exercised in full) of our Class A common stock upon consummation of this offering to designees of the representative of the underwriters, which we refer to herein as the “representative shares” as compensation in connection with this offering. See the section of this prospectus entitled “Underwriting” beginning on page 34 for a description of compensation and other items of value payable to the underwriters.</w:t>
      </w:r>
    </w:p>
    <w:p>
      <w:pPr>
        <w:spacing w:after="0" w:line="178" w:lineRule="exact"/>
        <w:rPr>
          <w:sz w:val="20"/>
          <w:szCs w:val="20"/>
          <w:color w:val="auto"/>
        </w:rPr>
      </w:pPr>
    </w:p>
    <w:p>
      <w:pPr>
        <w:ind w:right="320" w:firstLine="324"/>
        <w:spacing w:after="0" w:line="311" w:lineRule="auto"/>
        <w:rPr>
          <w:sz w:val="20"/>
          <w:szCs w:val="20"/>
          <w:color w:val="auto"/>
        </w:rPr>
      </w:pPr>
      <w:r>
        <w:rPr>
          <w:rFonts w:ascii="Arial" w:cs="Arial" w:eastAsia="Arial" w:hAnsi="Arial"/>
          <w:sz w:val="16"/>
          <w:szCs w:val="16"/>
          <w:color w:val="auto"/>
        </w:rPr>
        <w:t>Of the proceeds we receive from this offering and the sale of the placement units described in this prospectus, $253,750,000 or $291,812,500 if the underwriters’ over-allotment option is exercised in full ($10.00 per unit in either case) will be deposited into a trust account in the United States with Continental Stock Transfer &amp; Trust Company acting as trustee and J.P. Morgan Securities LLC acting as investment manager.</w:t>
      </w:r>
    </w:p>
    <w:p>
      <w:pPr>
        <w:spacing w:after="0" w:line="149" w:lineRule="exact"/>
        <w:rPr>
          <w:sz w:val="20"/>
          <w:szCs w:val="20"/>
          <w:color w:val="auto"/>
        </w:rPr>
      </w:pPr>
    </w:p>
    <w:p>
      <w:pPr>
        <w:ind w:left="420" w:right="120" w:hanging="80"/>
        <w:spacing w:after="0" w:line="277" w:lineRule="auto"/>
        <w:rPr>
          <w:sz w:val="20"/>
          <w:szCs w:val="20"/>
          <w:color w:val="auto"/>
        </w:rPr>
      </w:pPr>
      <w:r>
        <w:rPr>
          <w:rFonts w:ascii="Arial" w:cs="Arial" w:eastAsia="Arial" w:hAnsi="Arial"/>
          <w:sz w:val="18"/>
          <w:szCs w:val="18"/>
          <w:color w:val="auto"/>
        </w:rPr>
        <w:t>The underwriters are offering the units for sale on a firm commitment basis. The underwriters expect to deliver the units to the purchasers on or about , 2021.</w:t>
      </w:r>
    </w:p>
    <w:p>
      <w:pPr>
        <w:sectPr>
          <w:pgSz w:w="11900" w:h="16838" w:orient="portrait"/>
          <w:cols w:equalWidth="0" w:num="1">
            <w:col w:w="11240"/>
          </w:cols>
          <w:pgMar w:left="320" w:top="904" w:right="339" w:bottom="0" w:gutter="0" w:footer="0" w:header="0"/>
        </w:sectPr>
      </w:pPr>
    </w:p>
    <w:bookmarkStart w:id="3" w:name="page4"/>
    <w:bookmarkEnd w:id="3"/>
    <w:p>
      <w:pPr>
        <w:jc w:val="center"/>
        <w:ind w:right="19"/>
        <w:spacing w:after="0"/>
        <w:rPr>
          <w:sz w:val="20"/>
          <w:szCs w:val="20"/>
          <w:color w:val="auto"/>
        </w:rPr>
      </w:pPr>
      <w:r>
        <w:rPr>
          <w:rFonts w:ascii="Arial" w:cs="Arial" w:eastAsia="Arial" w:hAnsi="Arial"/>
          <w:sz w:val="32"/>
          <w:szCs w:val="32"/>
          <w:b w:val="1"/>
          <w:bCs w:val="1"/>
          <w:color w:val="auto"/>
        </w:rPr>
        <w:t>EF HUTTON</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division of Benchmark Investments,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960" w:type="dxa"/>
            <w:vAlign w:val="bottom"/>
            <w:gridSpan w:val="2"/>
          </w:tcPr>
          <w:p>
            <w:pPr>
              <w:ind w:left="50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608"/>
        </w:trPr>
        <w:tc>
          <w:tcPr>
            <w:tcW w:w="5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300" w:type="dxa"/>
            <w:vAlign w:val="bottom"/>
            <w:tcBorders>
              <w:bottom w:val="single" w:sz="8" w:color="CCEEFF"/>
            </w:tcBorders>
          </w:tcPr>
          <w:p>
            <w:pPr>
              <w:spacing w:after="0"/>
              <w:rPr>
                <w:sz w:val="24"/>
                <w:szCs w:val="24"/>
                <w:color w:val="auto"/>
              </w:rPr>
            </w:pPr>
          </w:p>
        </w:tc>
        <w:tc>
          <w:tcPr>
            <w:tcW w:w="366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gridSpan w:val="9"/>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196"/>
        </w:trPr>
        <w:tc>
          <w:tcPr>
            <w:tcW w:w="10120" w:type="dxa"/>
            <w:vAlign w:val="bottom"/>
            <w:gridSpan w:val="18"/>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Summary</w:t>
              </w:r>
            </w:hyperlink>
          </w:p>
        </w:tc>
        <w:tc>
          <w:tcPr>
            <w:tcW w:w="640" w:type="dxa"/>
            <w:vAlign w:val="bottom"/>
            <w:gridSpan w:val="6"/>
            <w:shd w:val="clear" w:color="auto" w:fill="CCEEFF"/>
          </w:tcPr>
          <w:p>
            <w:pPr>
              <w:jc w:val="center"/>
              <w:ind w:left="390"/>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1</w:t>
              </w:r>
            </w:hyperlink>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0120" w:type="dxa"/>
            <w:vAlign w:val="bottom"/>
            <w:gridSpan w:val="1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640" w:type="dxa"/>
            <w:vAlign w:val="bottom"/>
            <w:gridSpan w:val="6"/>
          </w:tcPr>
          <w:p>
            <w:pPr>
              <w:jc w:val="center"/>
              <w:ind w:left="370"/>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34</w:t>
              </w:r>
            </w:hyperlink>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6"/>
        </w:trPr>
        <w:tc>
          <w:tcPr>
            <w:tcW w:w="4160" w:type="dxa"/>
            <w:vAlign w:val="bottom"/>
            <w:tcBorders>
              <w:bottom w:val="single" w:sz="8" w:color="0000EE"/>
            </w:tcBorders>
            <w:gridSpan w:val="16"/>
            <w:shd w:val="clear" w:color="auto" w:fill="CCEEFF"/>
          </w:tcPr>
          <w:p>
            <w:pPr>
              <w:spacing w:after="0"/>
              <w:rPr>
                <w:rFonts w:ascii="Arial" w:cs="Arial" w:eastAsia="Arial" w:hAnsi="Arial"/>
                <w:sz w:val="18"/>
                <w:szCs w:val="18"/>
                <w:color w:val="0000EE"/>
                <w:w w:val="91"/>
              </w:rPr>
            </w:pPr>
            <w:hyperlink w:anchor="page77">
              <w:r>
                <w:rPr>
                  <w:rFonts w:ascii="Arial" w:cs="Arial" w:eastAsia="Arial" w:hAnsi="Arial"/>
                  <w:sz w:val="18"/>
                  <w:szCs w:val="18"/>
                  <w:color w:val="0000EE"/>
                  <w:w w:val="91"/>
                </w:rPr>
                <w:t>Cautionary Note Regarding Forward-Looking Statements</w:t>
              </w:r>
            </w:hyperlink>
          </w:p>
        </w:tc>
        <w:tc>
          <w:tcPr>
            <w:tcW w:w="5960" w:type="dxa"/>
            <w:vAlign w:val="bottom"/>
            <w:tcBorders>
              <w:bottom w:val="single" w:sz="8" w:color="CCEEFF"/>
            </w:tcBorders>
            <w:gridSpan w:val="2"/>
            <w:shd w:val="clear" w:color="auto" w:fill="CCEEFF"/>
          </w:tcPr>
          <w:p>
            <w:pPr>
              <w:spacing w:after="0"/>
              <w:rPr>
                <w:sz w:val="20"/>
                <w:szCs w:val="20"/>
                <w:color w:val="auto"/>
              </w:rPr>
            </w:pPr>
          </w:p>
        </w:tc>
        <w:tc>
          <w:tcPr>
            <w:tcW w:w="460" w:type="dxa"/>
            <w:vAlign w:val="bottom"/>
            <w:tcBorders>
              <w:bottom w:val="single" w:sz="8" w:color="CCEEFF"/>
            </w:tcBorders>
            <w:gridSpan w:val="3"/>
            <w:shd w:val="clear" w:color="auto" w:fill="CCEEFF"/>
          </w:tcPr>
          <w:p>
            <w:pPr>
              <w:spacing w:after="0"/>
              <w:rPr>
                <w:sz w:val="20"/>
                <w:szCs w:val="20"/>
                <w:color w:val="auto"/>
              </w:rPr>
            </w:pPr>
          </w:p>
        </w:tc>
        <w:tc>
          <w:tcPr>
            <w:tcW w:w="180" w:type="dxa"/>
            <w:vAlign w:val="bottom"/>
            <w:tcBorders>
              <w:bottom w:val="single" w:sz="8" w:color="0000EE"/>
            </w:tcBorders>
            <w:gridSpan w:val="3"/>
            <w:shd w:val="clear" w:color="auto" w:fill="CCEEFF"/>
          </w:tcPr>
          <w:p>
            <w:pPr>
              <w:jc w:val="center"/>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71</w:t>
              </w:r>
            </w:hyperlink>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r>
      <w:tr>
        <w:trPr>
          <w:trHeight w:val="216"/>
        </w:trPr>
        <w:tc>
          <w:tcPr>
            <w:tcW w:w="10120" w:type="dxa"/>
            <w:vAlign w:val="bottom"/>
            <w:gridSpan w:val="18"/>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Use of Proceeds</w:t>
              </w:r>
            </w:hyperlink>
          </w:p>
        </w:tc>
        <w:tc>
          <w:tcPr>
            <w:tcW w:w="640" w:type="dxa"/>
            <w:vAlign w:val="bottom"/>
            <w:gridSpan w:val="6"/>
          </w:tcPr>
          <w:p>
            <w:pPr>
              <w:jc w:val="center"/>
              <w:ind w:left="370"/>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72</w:t>
              </w:r>
            </w:hyperlink>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10120" w:type="dxa"/>
            <w:vAlign w:val="bottom"/>
            <w:gridSpan w:val="18"/>
            <w:shd w:val="clear" w:color="auto" w:fill="CCEEFF"/>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Dividend Policy</w:t>
              </w:r>
            </w:hyperlink>
          </w:p>
        </w:tc>
        <w:tc>
          <w:tcPr>
            <w:tcW w:w="640" w:type="dxa"/>
            <w:vAlign w:val="bottom"/>
            <w:gridSpan w:val="6"/>
            <w:shd w:val="clear" w:color="auto" w:fill="CCEEFF"/>
          </w:tcPr>
          <w:p>
            <w:pPr>
              <w:jc w:val="center"/>
              <w:ind w:left="370"/>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76</w:t>
              </w:r>
            </w:hyperlink>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r>
      <w:tr>
        <w:trPr>
          <w:trHeight w:val="216"/>
        </w:trPr>
        <w:tc>
          <w:tcPr>
            <w:tcW w:w="1180" w:type="dxa"/>
            <w:vAlign w:val="bottom"/>
            <w:tcBorders>
              <w:top w:val="single" w:sz="8" w:color="0000EE"/>
            </w:tcBorders>
            <w:gridSpan w:val="8"/>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Dilution</w:t>
              </w:r>
            </w:hyperlink>
          </w:p>
        </w:tc>
        <w:tc>
          <w:tcPr>
            <w:tcW w:w="8940" w:type="dxa"/>
            <w:vAlign w:val="bottom"/>
            <w:tcBorders>
              <w:top w:val="single" w:sz="8" w:color="CCEEFF"/>
            </w:tcBorders>
            <w:gridSpan w:val="10"/>
          </w:tcPr>
          <w:p>
            <w:pPr>
              <w:spacing w:after="0"/>
              <w:rPr>
                <w:sz w:val="18"/>
                <w:szCs w:val="18"/>
                <w:color w:val="auto"/>
              </w:rPr>
            </w:pPr>
          </w:p>
        </w:tc>
        <w:tc>
          <w:tcPr>
            <w:tcW w:w="460" w:type="dxa"/>
            <w:vAlign w:val="bottom"/>
            <w:tcBorders>
              <w:top w:val="single" w:sz="8" w:color="CCEEFF"/>
            </w:tcBorders>
            <w:gridSpan w:val="3"/>
          </w:tcPr>
          <w:p>
            <w:pPr>
              <w:spacing w:after="0"/>
              <w:rPr>
                <w:sz w:val="18"/>
                <w:szCs w:val="18"/>
                <w:color w:val="auto"/>
              </w:rPr>
            </w:pPr>
          </w:p>
        </w:tc>
        <w:tc>
          <w:tcPr>
            <w:tcW w:w="180" w:type="dxa"/>
            <w:vAlign w:val="bottom"/>
            <w:tcBorders>
              <w:top w:val="single" w:sz="8" w:color="0000EE"/>
            </w:tcBorders>
            <w:gridSpan w:val="3"/>
          </w:tcPr>
          <w:p>
            <w:pPr>
              <w:jc w:val="center"/>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77</w:t>
              </w:r>
            </w:hyperlink>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1020" w:type="dxa"/>
            <w:vAlign w:val="bottom"/>
            <w:tcBorders>
              <w:bottom w:val="single" w:sz="8" w:color="0000EE"/>
            </w:tcBorders>
            <w:gridSpan w:val="7"/>
            <w:shd w:val="clear" w:color="auto" w:fill="CCEEFF"/>
          </w:tcPr>
          <w:p>
            <w:pPr>
              <w:spacing w:after="0"/>
              <w:rPr>
                <w:rFonts w:ascii="Arial" w:cs="Arial" w:eastAsia="Arial" w:hAnsi="Arial"/>
                <w:sz w:val="18"/>
                <w:szCs w:val="18"/>
                <w:color w:val="0000EE"/>
                <w:w w:val="92"/>
              </w:rPr>
            </w:pPr>
            <w:hyperlink w:anchor="page85">
              <w:r>
                <w:rPr>
                  <w:rFonts w:ascii="Arial" w:cs="Arial" w:eastAsia="Arial" w:hAnsi="Arial"/>
                  <w:sz w:val="18"/>
                  <w:szCs w:val="18"/>
                  <w:color w:val="0000EE"/>
                  <w:w w:val="92"/>
                </w:rPr>
                <w:t>Capitalization</w:t>
              </w:r>
            </w:hyperlink>
          </w:p>
        </w:tc>
        <w:tc>
          <w:tcPr>
            <w:tcW w:w="9100" w:type="dxa"/>
            <w:vAlign w:val="bottom"/>
            <w:tcBorders>
              <w:bottom w:val="single" w:sz="8" w:color="CCEEFF"/>
            </w:tcBorders>
            <w:gridSpan w:val="11"/>
            <w:shd w:val="clear" w:color="auto" w:fill="CCEEFF"/>
          </w:tcPr>
          <w:p>
            <w:pPr>
              <w:spacing w:after="0"/>
              <w:rPr>
                <w:sz w:val="20"/>
                <w:szCs w:val="20"/>
                <w:color w:val="auto"/>
              </w:rPr>
            </w:pPr>
          </w:p>
        </w:tc>
        <w:tc>
          <w:tcPr>
            <w:tcW w:w="460" w:type="dxa"/>
            <w:vAlign w:val="bottom"/>
            <w:tcBorders>
              <w:bottom w:val="single" w:sz="8" w:color="CCEEFF"/>
            </w:tcBorders>
            <w:gridSpan w:val="3"/>
            <w:shd w:val="clear" w:color="auto" w:fill="CCEEFF"/>
          </w:tcPr>
          <w:p>
            <w:pPr>
              <w:spacing w:after="0"/>
              <w:rPr>
                <w:sz w:val="20"/>
                <w:szCs w:val="20"/>
                <w:color w:val="auto"/>
              </w:rPr>
            </w:pPr>
          </w:p>
        </w:tc>
        <w:tc>
          <w:tcPr>
            <w:tcW w:w="180" w:type="dxa"/>
            <w:vAlign w:val="bottom"/>
            <w:tcBorders>
              <w:bottom w:val="single" w:sz="8" w:color="0000EE"/>
            </w:tcBorders>
            <w:gridSpan w:val="3"/>
            <w:shd w:val="clear" w:color="auto" w:fill="CCEEFF"/>
          </w:tcPr>
          <w:p>
            <w:pPr>
              <w:jc w:val="center"/>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79</w:t>
              </w:r>
            </w:hyperlink>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r>
      <w:tr>
        <w:trPr>
          <w:trHeight w:val="216"/>
        </w:trPr>
        <w:tc>
          <w:tcPr>
            <w:tcW w:w="10120" w:type="dxa"/>
            <w:vAlign w:val="bottom"/>
            <w:gridSpan w:val="18"/>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Management’s Discussion and Analysis of Financial Condition and Results of Operations</w:t>
              </w:r>
            </w:hyperlink>
          </w:p>
        </w:tc>
        <w:tc>
          <w:tcPr>
            <w:tcW w:w="640" w:type="dxa"/>
            <w:vAlign w:val="bottom"/>
            <w:gridSpan w:val="6"/>
          </w:tcPr>
          <w:p>
            <w:pPr>
              <w:jc w:val="center"/>
              <w:ind w:left="370"/>
              <w:spacing w:after="0"/>
              <w:rPr>
                <w:rFonts w:ascii="Arial" w:cs="Arial" w:eastAsia="Arial" w:hAnsi="Arial"/>
                <w:sz w:val="18"/>
                <w:szCs w:val="18"/>
                <w:color w:val="0000EE"/>
                <w:w w:val="89"/>
              </w:rPr>
            </w:pPr>
            <w:hyperlink w:anchor="page86">
              <w:r>
                <w:rPr>
                  <w:rFonts w:ascii="Arial" w:cs="Arial" w:eastAsia="Arial" w:hAnsi="Arial"/>
                  <w:sz w:val="18"/>
                  <w:szCs w:val="18"/>
                  <w:color w:val="0000EE"/>
                  <w:w w:val="89"/>
                </w:rPr>
                <w:t>80</w:t>
              </w:r>
            </w:hyperlink>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300" w:type="dxa"/>
            <w:vAlign w:val="bottom"/>
            <w:tcBorders>
              <w:top w:val="single" w:sz="8" w:color="0000EE"/>
            </w:tcBorders>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6"/>
        </w:trPr>
        <w:tc>
          <w:tcPr>
            <w:tcW w:w="10120" w:type="dxa"/>
            <w:vAlign w:val="bottom"/>
            <w:gridSpan w:val="18"/>
            <w:shd w:val="clear" w:color="auto" w:fill="CCEEFF"/>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Proposed Business</w:t>
              </w:r>
            </w:hyperlink>
          </w:p>
        </w:tc>
        <w:tc>
          <w:tcPr>
            <w:tcW w:w="640" w:type="dxa"/>
            <w:vAlign w:val="bottom"/>
            <w:gridSpan w:val="6"/>
            <w:shd w:val="clear" w:color="auto" w:fill="CCEEFF"/>
          </w:tcPr>
          <w:p>
            <w:pPr>
              <w:jc w:val="center"/>
              <w:ind w:left="370"/>
              <w:spacing w:after="0"/>
              <w:rPr>
                <w:rFonts w:ascii="Arial" w:cs="Arial" w:eastAsia="Arial" w:hAnsi="Arial"/>
                <w:sz w:val="18"/>
                <w:szCs w:val="18"/>
                <w:color w:val="0000EE"/>
                <w:w w:val="89"/>
              </w:rPr>
            </w:pPr>
            <w:hyperlink w:anchor="page92">
              <w:r>
                <w:rPr>
                  <w:rFonts w:ascii="Arial" w:cs="Arial" w:eastAsia="Arial" w:hAnsi="Arial"/>
                  <w:sz w:val="18"/>
                  <w:szCs w:val="18"/>
                  <w:color w:val="0000EE"/>
                  <w:w w:val="89"/>
                </w:rPr>
                <w:t>86</w:t>
              </w:r>
            </w:hyperlink>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360" w:type="dxa"/>
            <w:vAlign w:val="bottom"/>
            <w:gridSpan w:val="9"/>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Management</w:t>
              </w:r>
            </w:hyperlink>
          </w:p>
        </w:tc>
        <w:tc>
          <w:tcPr>
            <w:tcW w:w="8760" w:type="dxa"/>
            <w:vAlign w:val="bottom"/>
            <w:gridSpan w:val="9"/>
          </w:tcPr>
          <w:p>
            <w:pPr>
              <w:spacing w:after="0"/>
              <w:rPr>
                <w:sz w:val="18"/>
                <w:szCs w:val="18"/>
                <w:color w:val="auto"/>
              </w:rPr>
            </w:pPr>
          </w:p>
        </w:tc>
        <w:tc>
          <w:tcPr>
            <w:tcW w:w="700" w:type="dxa"/>
            <w:vAlign w:val="bottom"/>
            <w:gridSpan w:val="8"/>
          </w:tcPr>
          <w:p>
            <w:pPr>
              <w:jc w:val="center"/>
              <w:ind w:left="330"/>
              <w:spacing w:after="0"/>
              <w:rPr>
                <w:rFonts w:ascii="Arial" w:cs="Arial" w:eastAsia="Arial" w:hAnsi="Arial"/>
                <w:sz w:val="18"/>
                <w:szCs w:val="18"/>
                <w:color w:val="0000EE"/>
                <w:w w:val="93"/>
              </w:rPr>
            </w:pPr>
            <w:hyperlink w:anchor="page124">
              <w:r>
                <w:rPr>
                  <w:rFonts w:ascii="Arial" w:cs="Arial" w:eastAsia="Arial" w:hAnsi="Arial"/>
                  <w:sz w:val="18"/>
                  <w:szCs w:val="18"/>
                  <w:color w:val="0000EE"/>
                  <w:w w:val="93"/>
                </w:rPr>
                <w:t>118</w:t>
              </w:r>
            </w:hyperlink>
          </w:p>
        </w:tc>
        <w:tc>
          <w:tcPr>
            <w:tcW w:w="420" w:type="dxa"/>
            <w:vAlign w:val="bottom"/>
          </w:tcPr>
          <w:p>
            <w:pPr>
              <w:spacing w:after="0"/>
              <w:rPr>
                <w:sz w:val="18"/>
                <w:szCs w:val="18"/>
                <w:color w:val="auto"/>
              </w:rPr>
            </w:pP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6"/>
        </w:trPr>
        <w:tc>
          <w:tcPr>
            <w:tcW w:w="10120" w:type="dxa"/>
            <w:vAlign w:val="bottom"/>
            <w:gridSpan w:val="18"/>
            <w:shd w:val="clear" w:color="auto" w:fill="CCEEFF"/>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Principal Stockholders</w:t>
              </w:r>
            </w:hyperlink>
          </w:p>
        </w:tc>
        <w:tc>
          <w:tcPr>
            <w:tcW w:w="1120" w:type="dxa"/>
            <w:vAlign w:val="bottom"/>
            <w:gridSpan w:val="9"/>
            <w:shd w:val="clear" w:color="auto" w:fill="CCEEFF"/>
          </w:tcPr>
          <w:p>
            <w:pPr>
              <w:jc w:val="center"/>
              <w:spacing w:after="0"/>
              <w:rPr>
                <w:rFonts w:ascii="Arial" w:cs="Arial" w:eastAsia="Arial" w:hAnsi="Arial"/>
                <w:sz w:val="18"/>
                <w:szCs w:val="18"/>
                <w:color w:val="0000EE"/>
                <w:w w:val="93"/>
              </w:rPr>
            </w:pPr>
            <w:hyperlink w:anchor="page138">
              <w:r>
                <w:rPr>
                  <w:rFonts w:ascii="Arial" w:cs="Arial" w:eastAsia="Arial" w:hAnsi="Arial"/>
                  <w:sz w:val="18"/>
                  <w:szCs w:val="18"/>
                  <w:color w:val="0000EE"/>
                  <w:w w:val="93"/>
                </w:rPr>
                <w:t>131</w:t>
              </w:r>
            </w:hyperlink>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0120" w:type="dxa"/>
            <w:vAlign w:val="bottom"/>
            <w:gridSpan w:val="18"/>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Certain Relationships and Related Party Transactions</w:t>
              </w:r>
            </w:hyperlink>
          </w:p>
        </w:tc>
        <w:tc>
          <w:tcPr>
            <w:tcW w:w="1120" w:type="dxa"/>
            <w:vAlign w:val="bottom"/>
            <w:gridSpan w:val="9"/>
          </w:tcPr>
          <w:p>
            <w:pPr>
              <w:jc w:val="center"/>
              <w:spacing w:after="0"/>
              <w:rPr>
                <w:rFonts w:ascii="Arial" w:cs="Arial" w:eastAsia="Arial" w:hAnsi="Arial"/>
                <w:sz w:val="18"/>
                <w:szCs w:val="18"/>
                <w:color w:val="0000EE"/>
                <w:w w:val="93"/>
              </w:rPr>
            </w:pPr>
            <w:hyperlink w:anchor="page141">
              <w:r>
                <w:rPr>
                  <w:rFonts w:ascii="Arial" w:cs="Arial" w:eastAsia="Arial" w:hAnsi="Arial"/>
                  <w:sz w:val="18"/>
                  <w:szCs w:val="18"/>
                  <w:color w:val="0000EE"/>
                  <w:w w:val="93"/>
                </w:rPr>
                <w:t>134</w:t>
              </w:r>
            </w:hyperlink>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1800" w:type="dxa"/>
            <w:vAlign w:val="bottom"/>
            <w:tcBorders>
              <w:bottom w:val="single" w:sz="8" w:color="0000EE"/>
            </w:tcBorders>
            <w:gridSpan w:val="11"/>
            <w:shd w:val="clear" w:color="auto" w:fill="CCEEFF"/>
          </w:tcPr>
          <w:p>
            <w:pPr>
              <w:spacing w:after="0"/>
              <w:rPr>
                <w:rFonts w:ascii="Arial" w:cs="Arial" w:eastAsia="Arial" w:hAnsi="Arial"/>
                <w:sz w:val="18"/>
                <w:szCs w:val="18"/>
                <w:color w:val="0000EE"/>
                <w:w w:val="91"/>
              </w:rPr>
            </w:pPr>
            <w:hyperlink w:anchor="page144">
              <w:r>
                <w:rPr>
                  <w:rFonts w:ascii="Arial" w:cs="Arial" w:eastAsia="Arial" w:hAnsi="Arial"/>
                  <w:sz w:val="18"/>
                  <w:szCs w:val="18"/>
                  <w:color w:val="0000EE"/>
                  <w:w w:val="91"/>
                </w:rPr>
                <w:t>Description of Securities</w:t>
              </w:r>
            </w:hyperlink>
          </w:p>
        </w:tc>
        <w:tc>
          <w:tcPr>
            <w:tcW w:w="8320" w:type="dxa"/>
            <w:vAlign w:val="bottom"/>
            <w:tcBorders>
              <w:bottom w:val="single" w:sz="8" w:color="CCEEFF"/>
            </w:tcBorders>
            <w:gridSpan w:val="7"/>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0000EE"/>
            </w:tcBorders>
            <w:gridSpan w:val="7"/>
            <w:shd w:val="clear" w:color="auto" w:fill="CCEEFF"/>
          </w:tcPr>
          <w:p>
            <w:pPr>
              <w:jc w:val="center"/>
              <w:spacing w:after="0"/>
              <w:rPr>
                <w:rFonts w:ascii="Arial" w:cs="Arial" w:eastAsia="Arial" w:hAnsi="Arial"/>
                <w:sz w:val="18"/>
                <w:szCs w:val="18"/>
                <w:color w:val="0000EE"/>
                <w:w w:val="93"/>
              </w:rPr>
            </w:pPr>
            <w:hyperlink w:anchor="page144">
              <w:r>
                <w:rPr>
                  <w:rFonts w:ascii="Arial" w:cs="Arial" w:eastAsia="Arial" w:hAnsi="Arial"/>
                  <w:sz w:val="18"/>
                  <w:szCs w:val="18"/>
                  <w:color w:val="0000EE"/>
                  <w:w w:val="93"/>
                </w:rPr>
                <w:t>137</w:t>
              </w:r>
            </w:hyperlink>
          </w:p>
        </w:tc>
        <w:tc>
          <w:tcPr>
            <w:tcW w:w="420" w:type="dxa"/>
            <w:vAlign w:val="bottom"/>
            <w:tcBorders>
              <w:bottom w:val="single" w:sz="8" w:color="CCEEFF"/>
            </w:tcBorders>
            <w:shd w:val="clear" w:color="auto" w:fill="CCEEFF"/>
          </w:tcPr>
          <w:p>
            <w:pPr>
              <w:spacing w:after="0"/>
              <w:rPr>
                <w:sz w:val="20"/>
                <w:szCs w:val="20"/>
                <w:color w:val="auto"/>
              </w:rPr>
            </w:pPr>
          </w:p>
        </w:tc>
      </w:tr>
      <w:tr>
        <w:trPr>
          <w:trHeight w:val="216"/>
        </w:trPr>
        <w:tc>
          <w:tcPr>
            <w:tcW w:w="10120" w:type="dxa"/>
            <w:vAlign w:val="bottom"/>
            <w:gridSpan w:val="18"/>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United States Federal Income Tax Considerations</w:t>
              </w:r>
            </w:hyperlink>
          </w:p>
        </w:tc>
        <w:tc>
          <w:tcPr>
            <w:tcW w:w="1120" w:type="dxa"/>
            <w:vAlign w:val="bottom"/>
            <w:gridSpan w:val="9"/>
          </w:tcPr>
          <w:p>
            <w:pPr>
              <w:jc w:val="center"/>
              <w:spacing w:after="0"/>
              <w:rPr>
                <w:rFonts w:ascii="Arial" w:cs="Arial" w:eastAsia="Arial" w:hAnsi="Arial"/>
                <w:sz w:val="18"/>
                <w:szCs w:val="18"/>
                <w:color w:val="0000EE"/>
                <w:w w:val="93"/>
              </w:rPr>
            </w:pPr>
            <w:hyperlink w:anchor="page158">
              <w:r>
                <w:rPr>
                  <w:rFonts w:ascii="Arial" w:cs="Arial" w:eastAsia="Arial" w:hAnsi="Arial"/>
                  <w:sz w:val="18"/>
                  <w:szCs w:val="18"/>
                  <w:color w:val="0000EE"/>
                  <w:w w:val="93"/>
                </w:rPr>
                <w:t>150</w:t>
              </w:r>
            </w:hyperlink>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980" w:type="dxa"/>
            <w:vAlign w:val="bottom"/>
            <w:tcBorders>
              <w:bottom w:val="single" w:sz="8" w:color="0000EE"/>
            </w:tcBorders>
            <w:gridSpan w:val="6"/>
            <w:shd w:val="clear" w:color="auto" w:fill="CCEEFF"/>
          </w:tcPr>
          <w:p>
            <w:pPr>
              <w:spacing w:after="0"/>
              <w:rPr>
                <w:rFonts w:ascii="Arial" w:cs="Arial" w:eastAsia="Arial" w:hAnsi="Arial"/>
                <w:sz w:val="18"/>
                <w:szCs w:val="18"/>
                <w:color w:val="0000EE"/>
                <w:w w:val="94"/>
              </w:rPr>
            </w:pPr>
            <w:hyperlink w:anchor="page167">
              <w:r>
                <w:rPr>
                  <w:rFonts w:ascii="Arial" w:cs="Arial" w:eastAsia="Arial" w:hAnsi="Arial"/>
                  <w:sz w:val="18"/>
                  <w:szCs w:val="18"/>
                  <w:color w:val="0000EE"/>
                  <w:w w:val="94"/>
                </w:rPr>
                <w:t>Underwriting</w:t>
              </w:r>
            </w:hyperlink>
          </w:p>
        </w:tc>
        <w:tc>
          <w:tcPr>
            <w:tcW w:w="9140" w:type="dxa"/>
            <w:vAlign w:val="bottom"/>
            <w:tcBorders>
              <w:bottom w:val="single" w:sz="8" w:color="CCEEFF"/>
            </w:tcBorders>
            <w:gridSpan w:val="12"/>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0000EE"/>
            </w:tcBorders>
            <w:gridSpan w:val="7"/>
            <w:shd w:val="clear" w:color="auto" w:fill="CCEEFF"/>
          </w:tcPr>
          <w:p>
            <w:pPr>
              <w:jc w:val="center"/>
              <w:spacing w:after="0"/>
              <w:rPr>
                <w:rFonts w:ascii="Arial" w:cs="Arial" w:eastAsia="Arial" w:hAnsi="Arial"/>
                <w:sz w:val="18"/>
                <w:szCs w:val="18"/>
                <w:color w:val="0000EE"/>
                <w:w w:val="93"/>
              </w:rPr>
            </w:pPr>
            <w:hyperlink w:anchor="page167">
              <w:r>
                <w:rPr>
                  <w:rFonts w:ascii="Arial" w:cs="Arial" w:eastAsia="Arial" w:hAnsi="Arial"/>
                  <w:sz w:val="18"/>
                  <w:szCs w:val="18"/>
                  <w:color w:val="0000EE"/>
                  <w:w w:val="93"/>
                </w:rPr>
                <w:t>159</w:t>
              </w:r>
            </w:hyperlink>
          </w:p>
        </w:tc>
        <w:tc>
          <w:tcPr>
            <w:tcW w:w="420" w:type="dxa"/>
            <w:vAlign w:val="bottom"/>
            <w:tcBorders>
              <w:bottom w:val="single" w:sz="8" w:color="CCEEFF"/>
            </w:tcBorders>
            <w:shd w:val="clear" w:color="auto" w:fill="CCEEFF"/>
          </w:tcPr>
          <w:p>
            <w:pPr>
              <w:spacing w:after="0"/>
              <w:rPr>
                <w:sz w:val="20"/>
                <w:szCs w:val="20"/>
                <w:color w:val="auto"/>
              </w:rPr>
            </w:pPr>
          </w:p>
        </w:tc>
      </w:tr>
      <w:tr>
        <w:trPr>
          <w:trHeight w:val="216"/>
        </w:trPr>
        <w:tc>
          <w:tcPr>
            <w:tcW w:w="10120" w:type="dxa"/>
            <w:vAlign w:val="bottom"/>
            <w:gridSpan w:val="18"/>
          </w:tcPr>
          <w:p>
            <w:pPr>
              <w:spacing w:after="0"/>
              <w:rPr>
                <w:rFonts w:ascii="Arial" w:cs="Arial" w:eastAsia="Arial" w:hAnsi="Arial"/>
                <w:sz w:val="18"/>
                <w:szCs w:val="18"/>
                <w:color w:val="0000EE"/>
              </w:rPr>
            </w:pPr>
            <w:hyperlink w:anchor="page176">
              <w:r>
                <w:rPr>
                  <w:rFonts w:ascii="Arial" w:cs="Arial" w:eastAsia="Arial" w:hAnsi="Arial"/>
                  <w:sz w:val="18"/>
                  <w:szCs w:val="18"/>
                  <w:color w:val="0000EE"/>
                </w:rPr>
                <w:t>Legal Matters</w:t>
              </w:r>
            </w:hyperlink>
          </w:p>
        </w:tc>
        <w:tc>
          <w:tcPr>
            <w:tcW w:w="1120" w:type="dxa"/>
            <w:vAlign w:val="bottom"/>
            <w:gridSpan w:val="9"/>
          </w:tcPr>
          <w:p>
            <w:pPr>
              <w:jc w:val="center"/>
              <w:spacing w:after="0"/>
              <w:rPr>
                <w:rFonts w:ascii="Arial" w:cs="Arial" w:eastAsia="Arial" w:hAnsi="Arial"/>
                <w:sz w:val="18"/>
                <w:szCs w:val="18"/>
                <w:color w:val="0000EE"/>
                <w:w w:val="93"/>
              </w:rPr>
            </w:pPr>
            <w:hyperlink w:anchor="page176">
              <w:r>
                <w:rPr>
                  <w:rFonts w:ascii="Arial" w:cs="Arial" w:eastAsia="Arial" w:hAnsi="Arial"/>
                  <w:sz w:val="18"/>
                  <w:szCs w:val="18"/>
                  <w:color w:val="0000EE"/>
                  <w:w w:val="93"/>
                </w:rPr>
                <w:t>168</w:t>
              </w:r>
            </w:hyperlink>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560" w:type="dxa"/>
            <w:vAlign w:val="bottom"/>
            <w:tcBorders>
              <w:bottom w:val="single" w:sz="8" w:color="0000EE"/>
            </w:tcBorders>
            <w:shd w:val="clear" w:color="auto" w:fill="CCEEFF"/>
          </w:tcPr>
          <w:p>
            <w:pPr>
              <w:spacing w:after="0"/>
              <w:rPr>
                <w:rFonts w:ascii="Arial" w:cs="Arial" w:eastAsia="Arial" w:hAnsi="Arial"/>
                <w:sz w:val="18"/>
                <w:szCs w:val="18"/>
                <w:color w:val="0000EE"/>
                <w:w w:val="88"/>
              </w:rPr>
            </w:pPr>
            <w:hyperlink w:anchor="page176">
              <w:r>
                <w:rPr>
                  <w:rFonts w:ascii="Arial" w:cs="Arial" w:eastAsia="Arial" w:hAnsi="Arial"/>
                  <w:sz w:val="18"/>
                  <w:szCs w:val="18"/>
                  <w:color w:val="0000EE"/>
                  <w:w w:val="88"/>
                </w:rPr>
                <w:t>Experts</w:t>
              </w:r>
            </w:hyperlink>
          </w:p>
        </w:tc>
        <w:tc>
          <w:tcPr>
            <w:tcW w:w="9560" w:type="dxa"/>
            <w:vAlign w:val="bottom"/>
            <w:tcBorders>
              <w:bottom w:val="single" w:sz="8" w:color="CCEEFF"/>
            </w:tcBorders>
            <w:gridSpan w:val="17"/>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0000EE"/>
            </w:tcBorders>
            <w:gridSpan w:val="7"/>
            <w:shd w:val="clear" w:color="auto" w:fill="CCEEFF"/>
          </w:tcPr>
          <w:p>
            <w:pPr>
              <w:jc w:val="center"/>
              <w:spacing w:after="0"/>
              <w:rPr>
                <w:rFonts w:ascii="Arial" w:cs="Arial" w:eastAsia="Arial" w:hAnsi="Arial"/>
                <w:sz w:val="18"/>
                <w:szCs w:val="18"/>
                <w:color w:val="0000EE"/>
                <w:w w:val="93"/>
              </w:rPr>
            </w:pPr>
            <w:hyperlink w:anchor="page176">
              <w:r>
                <w:rPr>
                  <w:rFonts w:ascii="Arial" w:cs="Arial" w:eastAsia="Arial" w:hAnsi="Arial"/>
                  <w:sz w:val="18"/>
                  <w:szCs w:val="18"/>
                  <w:color w:val="0000EE"/>
                  <w:w w:val="93"/>
                </w:rPr>
                <w:t>168</w:t>
              </w:r>
            </w:hyperlink>
          </w:p>
        </w:tc>
        <w:tc>
          <w:tcPr>
            <w:tcW w:w="420" w:type="dxa"/>
            <w:vAlign w:val="bottom"/>
            <w:tcBorders>
              <w:bottom w:val="single" w:sz="8" w:color="CCEEFF"/>
            </w:tcBorders>
            <w:shd w:val="clear" w:color="auto" w:fill="CCEEFF"/>
          </w:tcPr>
          <w:p>
            <w:pPr>
              <w:spacing w:after="0"/>
              <w:rPr>
                <w:sz w:val="20"/>
                <w:szCs w:val="20"/>
                <w:color w:val="auto"/>
              </w:rPr>
            </w:pPr>
          </w:p>
        </w:tc>
      </w:tr>
      <w:tr>
        <w:trPr>
          <w:trHeight w:val="216"/>
        </w:trPr>
        <w:tc>
          <w:tcPr>
            <w:tcW w:w="10120" w:type="dxa"/>
            <w:vAlign w:val="bottom"/>
            <w:gridSpan w:val="18"/>
          </w:tcPr>
          <w:p>
            <w:pPr>
              <w:spacing w:after="0"/>
              <w:rPr>
                <w:rFonts w:ascii="Arial" w:cs="Arial" w:eastAsia="Arial" w:hAnsi="Arial"/>
                <w:sz w:val="18"/>
                <w:szCs w:val="18"/>
                <w:color w:val="0000EE"/>
              </w:rPr>
            </w:pPr>
            <w:hyperlink w:anchor="page177">
              <w:r>
                <w:rPr>
                  <w:rFonts w:ascii="Arial" w:cs="Arial" w:eastAsia="Arial" w:hAnsi="Arial"/>
                  <w:sz w:val="18"/>
                  <w:szCs w:val="18"/>
                  <w:color w:val="0000EE"/>
                </w:rPr>
                <w:t>Where You Can Find Additional Information</w:t>
              </w:r>
            </w:hyperlink>
          </w:p>
        </w:tc>
        <w:tc>
          <w:tcPr>
            <w:tcW w:w="1120" w:type="dxa"/>
            <w:vAlign w:val="bottom"/>
            <w:gridSpan w:val="9"/>
          </w:tcPr>
          <w:p>
            <w:pPr>
              <w:jc w:val="center"/>
              <w:spacing w:after="0"/>
              <w:rPr>
                <w:rFonts w:ascii="Arial" w:cs="Arial" w:eastAsia="Arial" w:hAnsi="Arial"/>
                <w:sz w:val="18"/>
                <w:szCs w:val="18"/>
                <w:color w:val="0000EE"/>
                <w:w w:val="93"/>
              </w:rPr>
            </w:pPr>
            <w:hyperlink w:anchor="page177">
              <w:r>
                <w:rPr>
                  <w:rFonts w:ascii="Arial" w:cs="Arial" w:eastAsia="Arial" w:hAnsi="Arial"/>
                  <w:sz w:val="18"/>
                  <w:szCs w:val="18"/>
                  <w:color w:val="0000EE"/>
                  <w:w w:val="93"/>
                </w:rPr>
                <w:t>169</w:t>
              </w:r>
            </w:hyperlink>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6"/>
        </w:trPr>
        <w:tc>
          <w:tcPr>
            <w:tcW w:w="10120" w:type="dxa"/>
            <w:vAlign w:val="bottom"/>
            <w:gridSpan w:val="18"/>
            <w:shd w:val="clear" w:color="auto" w:fill="CCEEFF"/>
          </w:tcPr>
          <w:p>
            <w:pPr>
              <w:spacing w:after="0"/>
              <w:rPr>
                <w:rFonts w:ascii="Arial" w:cs="Arial" w:eastAsia="Arial" w:hAnsi="Arial"/>
                <w:sz w:val="18"/>
                <w:szCs w:val="18"/>
                <w:color w:val="0000EE"/>
              </w:rPr>
            </w:pPr>
            <w:hyperlink w:anchor="page178">
              <w:r>
                <w:rPr>
                  <w:rFonts w:ascii="Arial" w:cs="Arial" w:eastAsia="Arial" w:hAnsi="Arial"/>
                  <w:sz w:val="18"/>
                  <w:szCs w:val="18"/>
                  <w:color w:val="0000EE"/>
                </w:rPr>
                <w:t>Index to Financial Statements</w:t>
              </w:r>
            </w:hyperlink>
          </w:p>
        </w:tc>
        <w:tc>
          <w:tcPr>
            <w:tcW w:w="420" w:type="dxa"/>
            <w:vAlign w:val="bottom"/>
            <w:shd w:val="clear" w:color="auto" w:fill="CCEEFF"/>
          </w:tcPr>
          <w:p>
            <w:pPr>
              <w:spacing w:after="0"/>
              <w:rPr>
                <w:sz w:val="18"/>
                <w:szCs w:val="18"/>
                <w:color w:val="auto"/>
              </w:rPr>
            </w:pPr>
          </w:p>
        </w:tc>
        <w:tc>
          <w:tcPr>
            <w:tcW w:w="700" w:type="dxa"/>
            <w:vAlign w:val="bottom"/>
            <w:gridSpan w:val="8"/>
            <w:shd w:val="clear" w:color="auto" w:fill="CCEEFF"/>
          </w:tcPr>
          <w:p>
            <w:pPr>
              <w:jc w:val="center"/>
              <w:ind w:right="420"/>
              <w:spacing w:after="0"/>
              <w:rPr>
                <w:rFonts w:ascii="Arial" w:cs="Arial" w:eastAsia="Arial" w:hAnsi="Arial"/>
                <w:sz w:val="18"/>
                <w:szCs w:val="18"/>
                <w:color w:val="0000EE"/>
                <w:w w:val="88"/>
              </w:rPr>
            </w:pPr>
            <w:hyperlink w:anchor="page178">
              <w:r>
                <w:rPr>
                  <w:rFonts w:ascii="Arial" w:cs="Arial" w:eastAsia="Arial" w:hAnsi="Arial"/>
                  <w:sz w:val="18"/>
                  <w:szCs w:val="18"/>
                  <w:color w:val="0000EE"/>
                  <w:w w:val="88"/>
                </w:rPr>
                <w:t>F-1</w:t>
              </w:r>
            </w:hyperlink>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60" w:firstLine="324"/>
        <w:spacing w:after="0" w:line="281" w:lineRule="auto"/>
        <w:rPr>
          <w:sz w:val="20"/>
          <w:szCs w:val="20"/>
          <w:color w:val="auto"/>
        </w:rPr>
      </w:pPr>
      <w:r>
        <w:rPr>
          <w:rFonts w:ascii="Arial" w:cs="Arial" w:eastAsia="Arial" w:hAnsi="Arial"/>
          <w:sz w:val="17"/>
          <w:szCs w:val="17"/>
          <w:b w:val="1"/>
          <w:bCs w:val="1"/>
          <w:color w:val="auto"/>
        </w:rPr>
        <w:t>We are responsible for the information contained in this prospectus. We have not authorized anyone to provide you with different information, and we take no responsibility for any other information others may give to you.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i w:val="1"/>
          <w:iCs w:val="1"/>
          <w:color w:val="auto"/>
        </w:rPr>
        <w:t>This summary only highlights the more detailed information appearing elsewhere in this prospectus. You should read this entire prospectus carefully, including the information under the section of this prospectus entitled “Risk Factors” and our financial statements and the related notes included elsewhere in this prospectus, before investing.</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Unless otherwise stated in this prospectus, or the context otherwise requires, references to:</w:t>
      </w:r>
    </w:p>
    <w:p>
      <w:pPr>
        <w:spacing w:after="0" w:line="225" w:lineRule="exact"/>
        <w:rPr>
          <w:sz w:val="20"/>
          <w:szCs w:val="20"/>
          <w:color w:val="auto"/>
        </w:rPr>
      </w:pPr>
    </w:p>
    <w:p>
      <w:pPr>
        <w:ind w:left="660" w:right="5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“Affiliated SPAC” are to BurTech Acquisition Corp. II, previously GSD Quantum AI Acquisition Corp. which changed its name to BurTech Acquisition Corp. II on October 5, 2021, and Bridge Media Acquisition Corp;</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“common stock” are to our Class A common stock and our Class B common stock, collectively;</w:t>
      </w:r>
    </w:p>
    <w:p>
      <w:pPr>
        <w:spacing w:after="0" w:line="225"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“founder shares” are to shares of our Class B common stock initially purchased by our sponsor or its designees in a private placement prior to this offering, and the shares of our Class A common stock issuable upon the conversion thereof as provided herein;</w:t>
      </w:r>
    </w:p>
    <w:p>
      <w:pPr>
        <w:spacing w:after="0" w:line="146" w:lineRule="exact"/>
        <w:rPr>
          <w:rFonts w:ascii="Arial" w:cs="Arial" w:eastAsia="Arial" w:hAnsi="Arial"/>
          <w:sz w:val="17"/>
          <w:szCs w:val="17"/>
          <w:color w:val="auto"/>
        </w:rPr>
      </w:pPr>
    </w:p>
    <w:p>
      <w:pPr>
        <w:ind w:left="660" w:right="2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“initial stockholders” are to our sponsor and its designees and any other holders of our founder shares prior to this offering (or their permitted transferees);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“management” or our “management team” are to our officers and directors;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“placement units” are to the units being purchased by our sponsor, with each placement unit consisting of one placement share and one placement warrant;</w:t>
      </w:r>
    </w:p>
    <w:p>
      <w:pPr>
        <w:spacing w:after="0" w:line="170"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“placement shares” are to the shares of our common stock included within the placement units being purchased by our sponsor in the private placement;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“placement warrants” are to the warrants included within the placement units being purchased by our sponsor in the private placement;</w:t>
      </w:r>
    </w:p>
    <w:p>
      <w:pPr>
        <w:spacing w:after="0" w:line="236" w:lineRule="exact"/>
        <w:rPr>
          <w:rFonts w:ascii="Arial" w:cs="Arial" w:eastAsia="Arial" w:hAnsi="Arial"/>
          <w:sz w:val="17"/>
          <w:szCs w:val="17"/>
          <w:color w:val="auto"/>
        </w:rPr>
      </w:pPr>
    </w:p>
    <w:p>
      <w:pPr>
        <w:ind w:left="660" w:right="3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“private placement” are to the private placement of 804,500 placement units (up to 898,250 placement units if the over-allotment option is exercised in full) at a price of $10.00 per unit, for an aggregate purchase price of $8,045,000 (up to $8,982,500 if the over-allotment option is exercised in full), which will occur simultaneously with the completion of this offering;</w:t>
      </w:r>
    </w:p>
    <w:p>
      <w:pPr>
        <w:spacing w:after="0" w:line="183"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“public shares” are to shares of our Class A common stock sold as part of the units in this offering (whether they are purchased in this offering or thereafter in the open market);</w:t>
      </w:r>
    </w:p>
    <w:p>
      <w:pPr>
        <w:spacing w:after="0" w:line="170" w:lineRule="exact"/>
        <w:rPr>
          <w:rFonts w:ascii="Arial" w:cs="Arial" w:eastAsia="Arial" w:hAnsi="Arial"/>
          <w:sz w:val="18"/>
          <w:szCs w:val="18"/>
          <w:color w:val="auto"/>
        </w:rPr>
      </w:pPr>
    </w:p>
    <w:p>
      <w:pPr>
        <w:ind w:left="660" w:right="320" w:hanging="328"/>
        <w:spacing w:after="0" w:line="28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“public stockholders” are to the holders of our public shares, including our initial stockholders and management team to the extent our initial stockholders and/or members of our management team purchase public shares, provided that each initial stockholder’s and member of our management team’s status as a “public stockholder” shall only exist with respect to such public shares;</w:t>
      </w:r>
    </w:p>
    <w:p>
      <w:pPr>
        <w:spacing w:after="0" w:line="165" w:lineRule="exact"/>
        <w:rPr>
          <w:rFonts w:ascii="Arial" w:cs="Arial" w:eastAsia="Arial" w:hAnsi="Arial"/>
          <w:sz w:val="17"/>
          <w:szCs w:val="17"/>
          <w:color w:val="auto"/>
        </w:rPr>
      </w:pPr>
    </w:p>
    <w:p>
      <w:pPr>
        <w:ind w:left="660" w:right="34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“public warrants” are to our redeemable warrants sold as part of the units in this offering (whether they are purchased in this offering or thereafter in the open market, including warrants that may be acquired by our sponsor or its affiliates in this offering or thereafter in the open market);</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“representative” are to EF Hutton, division of Benchmark Investments, LLC, who is the representative of the underwriters in this offering;</w:t>
      </w:r>
    </w:p>
    <w:p>
      <w:pPr>
        <w:spacing w:after="0" w:line="236" w:lineRule="exact"/>
        <w:rPr>
          <w:rFonts w:ascii="Arial" w:cs="Arial" w:eastAsia="Arial" w:hAnsi="Arial"/>
          <w:sz w:val="17"/>
          <w:szCs w:val="17"/>
          <w:color w:val="auto"/>
        </w:rPr>
      </w:pPr>
    </w:p>
    <w:p>
      <w:pPr>
        <w:ind w:left="660" w:right="26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representative shares” are to the 375,000 shares (or up to 431,250 shares if the underwriters’ over-allotment option is exercised in full) of our</w:t>
      </w:r>
      <w:r>
        <w:rPr>
          <w:rFonts w:ascii="Arial" w:cs="Arial" w:eastAsia="Arial" w:hAnsi="Arial"/>
          <w:sz w:val="17"/>
          <w:szCs w:val="17"/>
          <w:color w:val="auto"/>
        </w:rPr>
        <w:t xml:space="preserve"> </w:t>
      </w:r>
      <w:r>
        <w:rPr>
          <w:rFonts w:ascii="Arial" w:cs="Arial" w:eastAsia="Arial" w:hAnsi="Arial"/>
          <w:sz w:val="17"/>
          <w:szCs w:val="17"/>
          <w:i w:val="1"/>
          <w:iCs w:val="1"/>
          <w:color w:val="auto"/>
        </w:rPr>
        <w:t>Class A common stock which we have agreed to issue to the representative and its designees upon consummation of this offering;</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“sponsor” are to BurTech LP LLC, a Delaware limited liability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“underwriters” are to the underwriters of this offering, for which the representative acting as representative;</w:t>
      </w:r>
    </w:p>
    <w:p>
      <w:pPr>
        <w:spacing w:after="0" w:line="225" w:lineRule="exact"/>
        <w:rPr>
          <w:rFonts w:ascii="Arial" w:cs="Arial" w:eastAsia="Arial" w:hAnsi="Arial"/>
          <w:sz w:val="18"/>
          <w:szCs w:val="18"/>
          <w:i w:val="1"/>
          <w:iCs w:val="1"/>
          <w:color w:val="auto"/>
        </w:rPr>
      </w:pPr>
    </w:p>
    <w:p>
      <w:pPr>
        <w:ind w:left="660" w:right="80" w:hanging="328"/>
        <w:spacing w:after="0" w:line="263"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“warrants” are to our redeemable warrants, which includes the public warrants as well as the placement warrants and any warrants sold as part of the placement units issued upon conversion of working capital loans to the extent they are no longer held by the initial holders or their permitted transferees; and</w:t>
      </w:r>
    </w:p>
    <w:p>
      <w:pPr>
        <w:spacing w:after="0" w:line="183"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“us,” “company” or “our company” are to BurTech Acquisition Corp.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Unless we tell you otherwise, the information in this prospectus assumes that the underwriters will not exercise their over-allotment option.</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are a newly organized blank check company incorporated in March, 2021 as a Delaware corporation and formed for the purpose of effecting a merger, capital stock exchange, asset acquisition, stock purchase, reorganization or similar business combination with one or more businesses, which we refer to throughout this prospectus as our initial business combination. We have not selected any specific business combination target and we have not, nor has anyone on our behalf, initiated any substantive discussions, directly or indirectly, with any business combination target with respect to an initial business combination with us.</w:t>
      </w:r>
    </w:p>
    <w:p>
      <w:pPr>
        <w:spacing w:after="0" w:line="188"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We intend to capitalize on the ability of our management team to identify, acquire and operate a business in any industry or sector; however, given the experience of our founders, we expect to focus on acquiring a business that participates within the retail, lifestyle, hospitality, technology or real estate markets. We believe the experience of our management team makes us well situated to identify, source, negotiate and execute an initial business combination with an attractive company or business within these markets, where our management team has significant expertise.</w:t>
      </w:r>
    </w:p>
    <w:p>
      <w:pPr>
        <w:spacing w:after="0" w:line="171"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We intend to identify and acquire a business that could benefit from a partner that has extensive operational, capital markets and investment management experience in our areas of focus, and that presents potential for an attractive return to our investors. We believe that by optimizing its capital structure and allocating capital efficiently, and by operating under a deliberate long-term strategy, we can rapidly scale or bring about a transformation in our target business’ operations. Additionally, our management team has deep insight in building ecosystems and brands, consumer buying patterns and technologies required to put together powerful solutions and business models.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Team</w:t>
      </w:r>
    </w:p>
    <w:p>
      <w:pPr>
        <w:spacing w:after="0" w:line="229" w:lineRule="exact"/>
        <w:rPr>
          <w:sz w:val="20"/>
          <w:szCs w:val="20"/>
          <w:color w:val="auto"/>
        </w:rPr>
      </w:pPr>
    </w:p>
    <w:p>
      <w:pPr>
        <w:ind w:right="520" w:firstLine="324"/>
        <w:spacing w:after="0" w:line="308" w:lineRule="auto"/>
        <w:rPr>
          <w:sz w:val="20"/>
          <w:szCs w:val="20"/>
          <w:color w:val="auto"/>
        </w:rPr>
      </w:pPr>
      <w:r>
        <w:rPr>
          <w:rFonts w:ascii="Arial" w:cs="Arial" w:eastAsia="Arial" w:hAnsi="Arial"/>
          <w:sz w:val="17"/>
          <w:szCs w:val="17"/>
          <w:color w:val="auto"/>
        </w:rPr>
        <w:t>Our management team is led by Shahal Khan, our Chairman and Chief Executive Officer, Isaac Chetrit, our President, Roman Livson, our Chief Financial Officer, Payel Farasat, our Chief Investment Officer and Christopher Schroeder, our Chief Marketing Officer.</w:t>
      </w:r>
    </w:p>
    <w:p>
      <w:pPr>
        <w:spacing w:after="0" w:line="142" w:lineRule="exact"/>
        <w:rPr>
          <w:sz w:val="20"/>
          <w:szCs w:val="20"/>
          <w:color w:val="auto"/>
        </w:rPr>
      </w:pPr>
    </w:p>
    <w:p>
      <w:pPr>
        <w:ind w:right="280" w:firstLine="324"/>
        <w:spacing w:after="0" w:line="281" w:lineRule="auto"/>
        <w:rPr>
          <w:sz w:val="20"/>
          <w:szCs w:val="20"/>
          <w:color w:val="auto"/>
        </w:rPr>
      </w:pPr>
      <w:r>
        <w:rPr>
          <w:rFonts w:ascii="Arial" w:cs="Arial" w:eastAsia="Arial" w:hAnsi="Arial"/>
          <w:sz w:val="17"/>
          <w:szCs w:val="17"/>
          <w:b w:val="1"/>
          <w:bCs w:val="1"/>
          <w:color w:val="auto"/>
        </w:rPr>
        <w:t xml:space="preserve">Shahal M. Khan </w:t>
      </w:r>
      <w:r>
        <w:rPr>
          <w:rFonts w:ascii="Arial" w:cs="Arial" w:eastAsia="Arial" w:hAnsi="Arial"/>
          <w:sz w:val="17"/>
          <w:szCs w:val="17"/>
          <w:color w:val="auto"/>
        </w:rPr>
        <w:t>is our Chairman of the Board of Directors and Chief Executive Officer. Mr. Khan’s career as an investor, entrepreneur and social</w:t>
      </w:r>
      <w:r>
        <w:rPr>
          <w:rFonts w:ascii="Arial" w:cs="Arial" w:eastAsia="Arial" w:hAnsi="Arial"/>
          <w:sz w:val="17"/>
          <w:szCs w:val="17"/>
          <w:b w:val="1"/>
          <w:bCs w:val="1"/>
          <w:color w:val="auto"/>
        </w:rPr>
        <w:t xml:space="preserve"> </w:t>
      </w:r>
      <w:r>
        <w:rPr>
          <w:rFonts w:ascii="Arial" w:cs="Arial" w:eastAsia="Arial" w:hAnsi="Arial"/>
          <w:sz w:val="17"/>
          <w:szCs w:val="17"/>
          <w:color w:val="auto"/>
        </w:rPr>
        <w:t>venture capitalist spans over 22 years, with investments encompassing telecoms, real estate, energy, natural resources, technology (specific emphasis on Internet-related communications technologies and advanced cyber security solutions) as well as various other industrial sectors. He has been directly responsible for syndication of over $5 billion in equity for projects as a principal through his family trust.</w:t>
      </w:r>
    </w:p>
    <w:p>
      <w:pPr>
        <w:spacing w:after="0" w:line="169" w:lineRule="exact"/>
        <w:rPr>
          <w:sz w:val="20"/>
          <w:szCs w:val="20"/>
          <w:color w:val="auto"/>
        </w:rPr>
      </w:pPr>
    </w:p>
    <w:p>
      <w:pPr>
        <w:ind w:right="20" w:firstLine="324"/>
        <w:spacing w:after="0" w:line="284" w:lineRule="auto"/>
        <w:rPr>
          <w:sz w:val="20"/>
          <w:szCs w:val="20"/>
          <w:color w:val="auto"/>
        </w:rPr>
      </w:pPr>
      <w:r>
        <w:rPr>
          <w:rFonts w:ascii="Arial" w:cs="Arial" w:eastAsia="Arial" w:hAnsi="Arial"/>
          <w:sz w:val="16"/>
          <w:szCs w:val="16"/>
          <w:color w:val="auto"/>
        </w:rPr>
        <w:t>Mr. Khan is the founder and since its inception in January 2021, serves as chief executive officer and as a director of Burkhan World Investments LLC, a holding company with diversified investments focusing on reinvesting gains from portfolio investments into companies that have the potential so accelerate sustainability. Mr. Khan is a shareholder of CYVOLVE, a pioneering Cyber security company based out of New York City and London with four patents in data security. Since 2019, Mr. Khan has served as chief executive officer and Chairman of the Board of Trinity Hospitality Group LLC based out of New York City, which is currently developing a hotel property in New York City which will be a fully tech-enabled live and work destination in New York City with WIRED, a Condé Naste company. Trinity is currently developing over two billion dollars of a pipeline of “Digital Nomad” properties.</w:t>
      </w:r>
    </w:p>
    <w:p>
      <w:pPr>
        <w:spacing w:after="0" w:line="4"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Mr. Khan was chairman of the board of directors for Global Data Sentinel, Inc., a data security company, from 2018 through 2019. He is also the founder of Trinity White City Ventures RAK UAE (“White City”), an advisory boutique and family office based in Dubai and was a director from 2012 until 2014. White City made a bid to buy the Plaza Hotel in 2018, closed the transaction, then agreed to the sale of the hotel to the Qatari SWF.</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ind w:right="60" w:firstLine="324"/>
        <w:spacing w:after="0" w:line="284" w:lineRule="auto"/>
        <w:rPr>
          <w:sz w:val="20"/>
          <w:szCs w:val="20"/>
          <w:color w:val="auto"/>
        </w:rPr>
      </w:pPr>
      <w:r>
        <w:rPr>
          <w:rFonts w:ascii="Arial" w:cs="Arial" w:eastAsia="Arial" w:hAnsi="Arial"/>
          <w:sz w:val="16"/>
          <w:szCs w:val="16"/>
          <w:color w:val="auto"/>
        </w:rPr>
        <w:t>Mr. Khan was the founding member of CRME (Colt Middle East) in 2012, a mining company which held gold, copper and lithium concessions in Pakistan and Afghanistan. From 2004 to 2008, he was a board member and shareholder of The Quimera Project, a research and development cluster based in Barcelona, Spain, comprised of over 60 technology companies as well as leading universities with the aim of commercializing technologies that have a positive impact on environmental sustainability. He also has a joint venture with American Ethane Corporation of Houston to invest in up to 6,000 megawatts of power projects in Pakistan in collaboration with General Electric. Mr. Khan was one of the founders of the tier one bank in Bahrain - Fortune Investment House and was focused on real estate investments in Bahrain and other countries in the Middle East. He was also founder of Global Voice Telecom, one of the first companies to receive a license for voice over the Internet in 1997 which subsequently merged into a Nasdaq listed company.</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Mr. Khan was the chief executive officer of Centile, a software company located in the South of France, which was sold to the European Development Bank in 2008. In 2009 Mr. Khan founded Zebasolar, one of the first developers of Solar power in India. Mr. Khan also served as a director on the boards of GD360 from 2017 through 2019,</w:t>
      </w:r>
    </w:p>
    <w:p>
      <w:pPr>
        <w:spacing w:after="0" w:line="190"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Mr. Khan is currently appointed senator of the World Business Angels Investment Forum (“WBAF”), as an affiliated partner of the G20 Global Partnership for Financial Inclusion (GPFI). WBAF is committed to collaborating globally to empowering the economic development of the world. He is also a commissioner of the US Council on Competitiveness, which is a nonpartisan, leadership organization composed of CEOs, university presidents, labor leaders, and national lab directors committed to ensuring that the United States remains the world leader in innovation . The Council has one main goal: to strengthen America’s competitive advantage by acting as a catalyst for innovative public policy solutions. Mr. Khan was born in New York and has a Bachelor of Arts in Economics from American University and studied business management at Johns Hopkins University in Washington DC.</w:t>
      </w:r>
    </w:p>
    <w:p>
      <w:pPr>
        <w:spacing w:after="0" w:line="160"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b w:val="1"/>
          <w:bCs w:val="1"/>
          <w:color w:val="auto"/>
        </w:rPr>
        <w:t xml:space="preserve">Isaac Chetrit </w:t>
      </w:r>
      <w:r>
        <w:rPr>
          <w:rFonts w:ascii="Arial" w:cs="Arial" w:eastAsia="Arial" w:hAnsi="Arial"/>
          <w:sz w:val="17"/>
          <w:szCs w:val="17"/>
          <w:color w:val="auto"/>
        </w:rPr>
        <w:t>is our President. Mr. Chetrit is a real estate veteran with a background in architecture and electrical engineering. Mr. Chetrit is currently</w:t>
      </w:r>
      <w:r>
        <w:rPr>
          <w:rFonts w:ascii="Arial" w:cs="Arial" w:eastAsia="Arial" w:hAnsi="Arial"/>
          <w:sz w:val="17"/>
          <w:szCs w:val="17"/>
          <w:b w:val="1"/>
          <w:bCs w:val="1"/>
          <w:color w:val="auto"/>
        </w:rPr>
        <w:t xml:space="preserve"> </w:t>
      </w:r>
      <w:r>
        <w:rPr>
          <w:rFonts w:ascii="Arial" w:cs="Arial" w:eastAsia="Arial" w:hAnsi="Arial"/>
          <w:sz w:val="17"/>
          <w:szCs w:val="17"/>
          <w:color w:val="auto"/>
        </w:rPr>
        <w:t>the chief executive officer and a director of Monti Consulting Services, a real estate consulting firm, which positions he has held since 2015. Monti Consulting specializes in retail and hospitality real estate, property technology and management services. In addition, since 2019, Mr. Chetrit has been the president and a director of the Trinity Hospitality Group, a real estate management, consulting, and development firm. Mr. Chetrit began his real estate career under the belt of The Taubman Company, where he built a reputation across major cities in the US. He was instrumental during his career with Taubman in making Dolphin Mall an institution in the industry and led the expansion and business development of many other luxury high end brands, restaurants, and entertainment venues in the USA and overseas. He has cemented valuable credibility in the Real Estate industry through his continuous involvement in functional management areas, project development, and consistently developing projects and brands that have become staples and powerhouses, both in the USA and globally.</w:t>
      </w:r>
    </w:p>
    <w:p>
      <w:pPr>
        <w:spacing w:after="0" w:line="178"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Mr. Chetrit has also spent the last 20 years merchandising malls, shopping centers, hotels, and specializing in location assessment and negotiations. Later as the vice president of Westfield, Mr. Chetrit was solely responsible for high-end retail and entertainment development for the eastern U.S. During the last two decades, Mr. Chetrit has procured hundreds of millions of dollars in transactions across the U.S. and other parts of the world. For the past couple years, Mr. Chetrit has deep dived into the fintech and proptech space to develop the next generation hospitality and real estate industries, with the objective to leverage these innovations within these industries to address continuing technologically progressive market demands. Mr. Chetrit has a bachelor of science degree in architecture and electrical engineering from ORT Toulouse, France.</w:t>
      </w:r>
    </w:p>
    <w:p>
      <w:pPr>
        <w:spacing w:after="0" w:line="17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b w:val="1"/>
          <w:bCs w:val="1"/>
          <w:color w:val="auto"/>
        </w:rPr>
        <w:t xml:space="preserve">Roman V. Livson </w:t>
      </w:r>
      <w:r>
        <w:rPr>
          <w:rFonts w:ascii="Arial" w:cs="Arial" w:eastAsia="Arial" w:hAnsi="Arial"/>
          <w:sz w:val="17"/>
          <w:szCs w:val="17"/>
          <w:color w:val="auto"/>
        </w:rPr>
        <w:t>is our Chief Financial Officer. Since February 2021, Mr. Livson has been the Chief Financial Officer of Burkhan World, a family</w:t>
      </w:r>
      <w:r>
        <w:rPr>
          <w:rFonts w:ascii="Arial" w:cs="Arial" w:eastAsia="Arial" w:hAnsi="Arial"/>
          <w:sz w:val="17"/>
          <w:szCs w:val="17"/>
          <w:b w:val="1"/>
          <w:bCs w:val="1"/>
          <w:color w:val="auto"/>
        </w:rPr>
        <w:t xml:space="preserve"> </w:t>
      </w:r>
      <w:r>
        <w:rPr>
          <w:rFonts w:ascii="Arial" w:cs="Arial" w:eastAsia="Arial" w:hAnsi="Arial"/>
          <w:sz w:val="17"/>
          <w:szCs w:val="17"/>
          <w:color w:val="auto"/>
        </w:rPr>
        <w:t>office investment company. Mr. Livson is also the Managing Member of BurTech LP, LLC, our Sponsor. Since July 2014, Mr. Livson has been serving as the Chief Compliance Officer at Katalyst Securities LLC, an investment banking firm. Mr. Livson started his professional career in the corporate finance department of PriceWaterhouseCoopers in London and Moscow where he focused on real estate, energy, metals and mining, shipping and logistics and telecommunications sectors. He subsequently worked in the investment banking department of Hagstromer and Qviberg, a leading Swedish brokerage firm. After moving to the US in 2000, Mr. Livson established an investment banking advisory firm to assist companies from Europe and BRIC countries in going public in the US, raising capital and engaging in cross-border mergers and acquisitions transactions. Mr. Livson served as Chief Financial Officer of a US public company where he was responsible for raising capital, structuring acquisitions and divestitures and financial reporting. Mr. Livson raised over $100 million for Oil &amp; Gas, technology and biotechnology companies. Mr. Livson holds Series 7, 24, and 63 registrations with the FINRA. Mr. Livson has a Master’s degree in Mathematical Finance from Columbia University, a Masters in Physics from Moscow Institute Of Electronics Engineering, and a Banking and Financing Degree from The London School of Economics.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ind w:right="20" w:firstLine="324"/>
        <w:spacing w:after="0" w:line="285" w:lineRule="auto"/>
        <w:rPr>
          <w:sz w:val="20"/>
          <w:szCs w:val="20"/>
          <w:color w:val="auto"/>
        </w:rPr>
      </w:pPr>
      <w:r>
        <w:rPr>
          <w:rFonts w:ascii="Arial" w:cs="Arial" w:eastAsia="Arial" w:hAnsi="Arial"/>
          <w:sz w:val="16"/>
          <w:szCs w:val="16"/>
          <w:b w:val="1"/>
          <w:bCs w:val="1"/>
          <w:color w:val="auto"/>
        </w:rPr>
        <w:t xml:space="preserve">Payel Farasat </w:t>
      </w:r>
      <w:r>
        <w:rPr>
          <w:rFonts w:ascii="Arial" w:cs="Arial" w:eastAsia="Arial" w:hAnsi="Arial"/>
          <w:sz w:val="16"/>
          <w:szCs w:val="16"/>
          <w:color w:val="auto"/>
        </w:rPr>
        <w:t>is our Chief Investment Officer. Since December 2020, Ms. Farasat has been the Chief Investment Officer (CIO) of Burkhan World</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Investments LLC (“Burkhan”) and the Co-founder and Managing Partner of V4 Capital LLC, a bespoke consultancy and private equity firm that specializes in investing with purpose, impact and heart. Since December 2017, Ms. Farasat has been the Managing Principal of Farasat Consulting Group LLC (“FCG”), a business and management consulting firm. Ms. Farasat is also the Founder &amp; Master Coach of Project Me Coaching, a transformational coaching and advisory organization which she founded in June 2017. Ms. Farasat has over 20 years of experience, intuition, and conviction in asset management and financial advising. This combination enables Ms. Farasat to quickly capture data, patterns, and themes that shape her views on sentiment and positioning, as well as, inform her vision about the future relative to global economics and changing demographics. Consistently searching for new ways to interpret capital market dynamics, Ms. Farasat chairs Burkhan’s Investment Committee and curates investment policy and portfolio management for Burkhan’s global ecosystem of group companies. Deploying modern academic thinking that strives to improve expected returns, manage risk, and reduce costs, Ms. Farasat researches and analyzes the landscape of rapid growth companies in the InfraTech/PropTech/FinTech, Artificial Intelligence/Quantum Computing, MediaTech/eSports/eGaming, BioTech, Healthcare, HospitalityTech, Alternative Energy, Blockchain, and Cryptocurrency sectors - searching for exceptional businesses to invest in and grow. Ms. Farasat guides the process of infusing capital into innovative ventures that bring revolutionary technologies and experiences expected to have long-term positive impact on the world and our future. In this process, she creates custom capital raise solutions for Burkhan’s portfolio companies. Ms. Farasat is passionate about enabling democratized access to private equity investments and tailors custom participation strategies for institutional and accredited investors interested in co-investing in companies that Burkhan is taking public. "See the entire landscape with a diverse set of eyes within an endless feedback loop - Iterate, Rinse, Repeat.” is Ms. Farasat’s mantra for financial consciousness, profitability, growth, and sustainable global impact.</w:t>
      </w:r>
    </w:p>
    <w:p>
      <w:pPr>
        <w:spacing w:after="0" w:line="178" w:lineRule="exact"/>
        <w:rPr>
          <w:sz w:val="20"/>
          <w:szCs w:val="20"/>
          <w:color w:val="auto"/>
        </w:rPr>
      </w:pPr>
    </w:p>
    <w:p>
      <w:pPr>
        <w:ind w:right="20" w:firstLine="324"/>
        <w:spacing w:after="0" w:line="283" w:lineRule="auto"/>
        <w:rPr>
          <w:sz w:val="20"/>
          <w:szCs w:val="20"/>
          <w:color w:val="auto"/>
        </w:rPr>
      </w:pPr>
      <w:r>
        <w:rPr>
          <w:rFonts w:ascii="Arial" w:cs="Arial" w:eastAsia="Arial" w:hAnsi="Arial"/>
          <w:sz w:val="16"/>
          <w:szCs w:val="16"/>
          <w:color w:val="auto"/>
        </w:rPr>
        <w:t>Prior to Burkhan, from February 2015 to November 2017, Ms. Farasat was the Chief Investment Officer of Loring Ward Securities Inc. (“Loring Ward”), a Turnkey Asset Management Provider and The SA Funds, Loring Ward’s proprietary mutual fund family with over $16 Billion in assets under management. Payel chaired Loring Ward’s Investment Committee (that included Noble-laureate Dr. Harry Markowitz) and led the investment division. On the executive team, she was directly responsible for the firm’s investment philosophy, policy, portfolio management, and messaging. She also managed the development of all investment strategy, methodology, performance, risk attribution analysis, 3rd party manager oversight, board reporting, fintech solutions, public relations, and public commentaries. Prior to Loring Ward, Ms. Farasat was at Charles Schwab &amp; Co., Inc. (“Schwab”) from September 2007 through February 2015, as the Regional Vice President of Charles Schwab Investment Management (“CSIM”), and earlier as Senior Manager of the Strategic Trading Group (“STG”), where she specialized in complex hedging and advanced trading strategies for ultra-high net worth investors and financial advisors. Before joining Schwab, Ms. Farasat was an independent Advanced Financial Advisor with Ameriprise Financial Services, Inc. (“Ameriprise”) where she provided comprehensive financial planning and asset management to clients, businesses, and 401(k)s from</w:t>
      </w:r>
    </w:p>
    <w:p>
      <w:pPr>
        <w:spacing w:after="0" w:line="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July 2002 to September 2007. Ms. Farasat is on the Board of The Centre for Responsible Leadership (CRL) and is responsible for leading CRL’s Empowerment initiatives. CRL is a global non-profit and NGO. Ms. Farasat earned a Bachelors in Economics from University of California at Berkeley, with a double minor in Computer Science and Business Administration, from the Haas School of Business, Summa cum Laude, and a Master’s of Science in Financial Analysis (MScFA) from University of San Francisco, Magna cum Laude. Ms. Farasat is also ICF Certified Coach and a PHI Certified Pranic Healer.</w:t>
      </w:r>
    </w:p>
    <w:p>
      <w:pPr>
        <w:spacing w:after="0" w:line="18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b w:val="1"/>
          <w:bCs w:val="1"/>
          <w:color w:val="auto"/>
        </w:rPr>
        <w:t xml:space="preserve">Christopher Schroeder </w:t>
      </w:r>
      <w:r>
        <w:rPr>
          <w:rFonts w:ascii="Arial" w:cs="Arial" w:eastAsia="Arial" w:hAnsi="Arial"/>
          <w:sz w:val="17"/>
          <w:szCs w:val="17"/>
          <w:color w:val="auto"/>
        </w:rPr>
        <w:t>is our Chief Marketing Officer. Over the last 30 years, Mr. Schroeder has also been an interactive media pioneer, visionary</w:t>
      </w:r>
      <w:r>
        <w:rPr>
          <w:rFonts w:ascii="Arial" w:cs="Arial" w:eastAsia="Arial" w:hAnsi="Arial"/>
          <w:sz w:val="17"/>
          <w:szCs w:val="17"/>
          <w:b w:val="1"/>
          <w:bCs w:val="1"/>
          <w:color w:val="auto"/>
        </w:rPr>
        <w:t xml:space="preserve"> </w:t>
      </w:r>
      <w:r>
        <w:rPr>
          <w:rFonts w:ascii="Arial" w:cs="Arial" w:eastAsia="Arial" w:hAnsi="Arial"/>
          <w:sz w:val="17"/>
          <w:szCs w:val="17"/>
          <w:color w:val="auto"/>
        </w:rPr>
        <w:t>resort developer, brand creator and marketing leader for globally recognized brands. He brings and award-winning background in creating and implementing large scale marketing, branding, and development projects for globally recognized organizations including American Express, California Tourism Commission, UMUSIC Hotels and MGM Resorts. Since November of 2019, Mr. Schroeder has served as the chief executive officer of Experiential Ventures, LLC, a leading experiential hotel brand development company, where Mr. Schroeder manages all aspects of the business. From February 2016 through July 2019, Mr. Schroeder served as the managing partner and a director of Dakia Entertainment &amp; Hospitality. He was a founding partner of the UMUSIC hotel and entertainment center concept that is a partnership with the world’s largest music company, Universal Music Group. He is also a key player in its expansion, creating iconic projects. Mr. Schroeder is also leading the creation and expansion of the WIRED Hotel brand, having an exclusive license to the brand. Mr. Schroeder is also leading the creation and expansion of other major projects with legacy brands including Sports Illustrated, Condé Nast, Authentic Brands Group and Emmitt Smith.</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9" w:name="page10"/>
    <w:bookmarkEnd w:id="9"/>
    <w:p>
      <w:pPr>
        <w:ind w:right="140" w:firstLine="324"/>
        <w:spacing w:after="0" w:line="279" w:lineRule="auto"/>
        <w:rPr>
          <w:sz w:val="20"/>
          <w:szCs w:val="20"/>
          <w:color w:val="auto"/>
        </w:rPr>
      </w:pPr>
      <w:r>
        <w:rPr>
          <w:rFonts w:ascii="Arial" w:cs="Arial" w:eastAsia="Arial" w:hAnsi="Arial"/>
          <w:sz w:val="17"/>
          <w:szCs w:val="17"/>
          <w:color w:val="auto"/>
        </w:rPr>
        <w:t>From 2013 to 2015, Mr. Schroeder previously served as chief marketing officer for Veremonte, a multi-billion-dollar investment company based in London, where he worked to create the largest leisure development in Europe, bringing partnerships with Hard Rock Hotels and Cirque du Soleil. He also worked to incubate and launch Formula E, the first fully electric racing championship in the world, with such notable partners as Leonardo di Caprio, Michael Andretti, Alain Prost, and Virgin Racing. Races are held in iconic cities including Paris, London, and New York.</w:t>
      </w:r>
    </w:p>
    <w:p>
      <w:pPr>
        <w:spacing w:after="0" w:line="17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As an interactive media pioneer, in 1995 Mr. Schroeder founded Reservation, the world’s leading internet development company for the hospitality industry at the time. From 1995 through 2003, he led the development of the first online reservation system of its kind in the travel industry for MGM Resorts and Hilton/Park Place Entertainment. During this time Mr. Schroeder also played a lead role in creating and implementing the largest rebranding and redevelopment campaign in history for MGM Resorts, which included developing multimedia roadshow to present to stockholders and Wall Street investors to secure funding to implement the massive project. Mr. Schroeder also served as president of the interactive division for Custom Marketing Group, the exclusive destination marketing group at the time for American Express, where he developed and managed digital media campaigns for over 20 leading tourism boards.</w:t>
      </w:r>
    </w:p>
    <w:p>
      <w:pPr>
        <w:spacing w:after="0" w:line="19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Mr. Schroeder has also been a leader in travel marketing, incentives, and loyalty, having created a patented rewards system and founding a leading incentive company that created proprietary products and long-term marketing campaigns for companies including Capital One, American Express, Bank of America, Samsonite, and Ford Motor Company. Many of his programs were ongoing and included massive cooperative marketing initiatives incorporating local tourism boards, corporate partners, attractions, media, airlines, and hotels. Schroeder also created the first custom travel offers for the Today Show, the #1 morning show in America, in addition to Fox and Friends, CBS, and others. Additionally, Schroeder, in partnership with Steve Burks, created a proprietary travel rewards system that multiple companies used including the world’s largest online travel company, Priceline/booking.com. During college, Mr. Schroeder founded one of the largest college travel and marketing companies in the country, with clients including Ocean Pacific, Miller Beer, Hawaiian Tropics and Ujena Swimwear. This led to him being hired directly out of college to serve as the National Marketing and Retail Director for the company owning Ujena Swimwear, Swimwear Illustrated and Runner’s World Magazines. Mr. Schroeder attended Texas State University, San Marcos.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Director Nominees</w:t>
      </w:r>
    </w:p>
    <w:p>
      <w:pPr>
        <w:spacing w:after="0" w:line="225" w:lineRule="exact"/>
        <w:rPr>
          <w:sz w:val="20"/>
          <w:szCs w:val="20"/>
          <w:color w:val="auto"/>
        </w:rPr>
      </w:pPr>
    </w:p>
    <w:p>
      <w:pPr>
        <w:ind w:firstLine="324"/>
        <w:spacing w:after="0" w:line="281" w:lineRule="auto"/>
        <w:rPr>
          <w:sz w:val="20"/>
          <w:szCs w:val="20"/>
          <w:color w:val="auto"/>
        </w:rPr>
      </w:pPr>
      <w:r>
        <w:rPr>
          <w:rFonts w:ascii="Arial" w:cs="Arial" w:eastAsia="Arial" w:hAnsi="Arial"/>
          <w:sz w:val="17"/>
          <w:szCs w:val="17"/>
          <w:b w:val="1"/>
          <w:bCs w:val="1"/>
          <w:color w:val="auto"/>
        </w:rPr>
        <w:t xml:space="preserve">Leon Golden </w:t>
      </w:r>
      <w:r>
        <w:rPr>
          <w:rFonts w:ascii="Arial" w:cs="Arial" w:eastAsia="Arial" w:hAnsi="Arial"/>
          <w:sz w:val="17"/>
          <w:szCs w:val="17"/>
          <w:color w:val="auto"/>
        </w:rPr>
        <w:t>is one of our director nominees. Mr. Golden is a chartered public accountant and has worked as an accountant at ARG Associates, Inc.</w:t>
      </w:r>
      <w:r>
        <w:rPr>
          <w:rFonts w:ascii="Arial" w:cs="Arial" w:eastAsia="Arial" w:hAnsi="Arial"/>
          <w:sz w:val="17"/>
          <w:szCs w:val="17"/>
          <w:b w:val="1"/>
          <w:bCs w:val="1"/>
          <w:color w:val="auto"/>
        </w:rPr>
        <w:t xml:space="preserve"> </w:t>
      </w:r>
      <w:r>
        <w:rPr>
          <w:rFonts w:ascii="Arial" w:cs="Arial" w:eastAsia="Arial" w:hAnsi="Arial"/>
          <w:sz w:val="17"/>
          <w:szCs w:val="17"/>
          <w:color w:val="auto"/>
        </w:rPr>
        <w:t>an accounting firm in Brooklyn, New York since 1996. Mr. Golden has also been serving as a director for ARG Associates, Inc. since 1996. Mr. Golden has spent the past 25 years representing public and private companies in all areas of accounting practices. Through his expertise as a financial accountant, we believe he will be an integral part of the team. Mr. Golden has a CPA and a bachelor’s degree from Brooklyn College.</w:t>
      </w:r>
    </w:p>
    <w:p>
      <w:pPr>
        <w:spacing w:after="0" w:line="165"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b w:val="1"/>
          <w:bCs w:val="1"/>
          <w:color w:val="auto"/>
        </w:rPr>
        <w:t xml:space="preserve">Gene Zolotarev </w:t>
      </w:r>
      <w:r>
        <w:rPr>
          <w:rFonts w:ascii="Arial" w:cs="Arial" w:eastAsia="Arial" w:hAnsi="Arial"/>
          <w:sz w:val="16"/>
          <w:szCs w:val="16"/>
          <w:color w:val="auto"/>
        </w:rPr>
        <w:t>is one of our director nominees. In 2019 Mr. Zolotarev founded Baltic Technology Ventures JSC (NASDAQ:BTE1R), the Baltic</w:t>
      </w:r>
      <w:r>
        <w:rPr>
          <w:rFonts w:ascii="Arial" w:cs="Arial" w:eastAsia="Arial" w:hAnsi="Arial"/>
          <w:sz w:val="16"/>
          <w:szCs w:val="16"/>
          <w:b w:val="1"/>
          <w:bCs w:val="1"/>
          <w:color w:val="auto"/>
        </w:rPr>
        <w:t xml:space="preserve"> </w:t>
      </w:r>
      <w:r>
        <w:rPr>
          <w:rFonts w:ascii="Arial" w:cs="Arial" w:eastAsia="Arial" w:hAnsi="Arial"/>
          <w:sz w:val="16"/>
          <w:szCs w:val="16"/>
          <w:color w:val="auto"/>
        </w:rPr>
        <w:t>region's only publicly traded venture capital firm with an angel network, where he currently serves as the Chief Executive Officer and Director as Head of the Investment Committee. Baltic Tech Ventures focuses on venture capital investments in technology companies and innovation projects. Mr. Zolotarev founded Maximus Capital SA in 2008 where he still serves as Chairman of the Board. Maximus Capital is as a multi-family office with deep expertise in identifying special situation investment opportunities – both in liquid markets and private equity, based in Switzerland. Mr. Zolotarev is currently the Chairman of Baltic News, Ltd, publisher of the Baltic Times, the leading English-language daily newspaper for the Baltic region. For over 20 years, Mr. Zolotarev has held a number of senior executive and board positions at prominent U.S., Russian and Baltic commercial and investment banks including AP Anlage &amp; Privatbank, Switzerland, Parex Asset Management and Parex Bank, in Latvia, Republic Bank of New York and Arthur Andersen &amp; Co, among others. Since 1993 he had cultivated personal and business relationships with principals of many major industrial holdings in Central and Eastern Europe and Commonwealth of Independent States. Mr. Zolotarev is a prominent investor in European Property Holdings, a real estate investment and consulting company based in Monaco. European Property Holdings (“EPH”) invests in core and manage-to-core properties with growth potential and holds an extensive, geographically diversified property portfolio spanning office, hotel and mixed-use real estate with a total value of more than EUR 1.5 billion. Through investing in premium real estate in core European markets, EPH ensures long-term capital preservation and generates a stable, regular and risk-adjusted return for its stakeholders. Mr. Zolotarev has a degree in Electrical Engineering and Concentration in Business from Columbia University and an executive MBA from New York University, Sterns School of Business in Finance and International Business. Mr. Zolotarev later attended Harvard University - Kennedy School of International Affairs for an executive program on National Security and Diplomacy.</w:t>
      </w:r>
    </w:p>
    <w:p>
      <w:pPr>
        <w:spacing w:after="0" w:line="164"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b w:val="1"/>
          <w:bCs w:val="1"/>
          <w:color w:val="auto"/>
        </w:rPr>
        <w:t xml:space="preserve">Michael Penrod </w:t>
      </w:r>
      <w:r>
        <w:rPr>
          <w:rFonts w:ascii="Arial" w:cs="Arial" w:eastAsia="Arial" w:hAnsi="Arial"/>
          <w:sz w:val="16"/>
          <w:szCs w:val="16"/>
          <w:color w:val="auto"/>
        </w:rPr>
        <w:t>is one of our director nominees. Mr. Penrod has been in the hospitality industry for over 38 years. He has been the owner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famous "Elbo Room" in Fort Lauderdale since 1991; Elbo Room, founded in 1938, was one of the first places to open its doors to the world online with Web Cams and Live Chatrooms in 1996. Mr. Penrod took over the Elbo Room in 1991 and is an owner. Mr. Penrod is known for successfully building brands in the hospitality market, particularly Nikki Beach Worldwide, one of the leading luxury brands in entertainment with over twenty prestigious destinations around the world, including Miami Beach, USA; Saint Tropez, France; Saint Barth, Caribbean; Marbella, Spain; Koh Samui, Thailand; Mallorca, Spain; Ibiza, Spain; Monte Carlo, Monaco; Dubai, UAE; Versilia, Italy; Barbados, Caribbean; Costa Smeralda, Italy, and Montenegro, Tivat. Nikki Beach, founded by Mr. Penrod's father, Jack Penrod, in 1998 with its first "Café Nikki" in Miami's South Beach. Nikki Beach was the original luxury beach club concept that combines the elements of music, dining, entertainment, fashion, film, and art into one. It is known for its celebrity events such as Cannes Film Festival, Toronto Film Festival, Venice Film Festival, New Years' Eve Exclusive VIP events, and Music Festivals. Mr. Penrod was the Director of Worldwide Operations of the Nikki Beach Group from 2001 to 2015. He managed all operational and marketing divisions of the company in over 40 venues in 18 countries. Since 2016, Mr. Penrod has been the Senior Director of the Nikki Beach Family Office, where he manages all crypto investments, working on creative applications for Blockchain in the hospitality industry. In 2014 Mr. Penrod founder MVP Management, a hospitality, technology, and marketing company, where he continues to advise companies in the hospitality industry with a focus on maximizing technology platforms. Being a visionary, Mr. Penrod developed a distance learning platform with Roy Spear, founder of Home Shopping Network, from 1997 to 2000. Jim Clark recruited Mr. Penrod in 2000 to run his tech company, SeaScape, which he did until he joined his family to run Nikki Beach.</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 w:name="page11"/>
    <w:bookmarkEnd w:id="10"/>
    <w:p>
      <w:pPr>
        <w:ind w:right="80" w:firstLine="324"/>
        <w:spacing w:after="0" w:line="269" w:lineRule="auto"/>
        <w:rPr>
          <w:sz w:val="20"/>
          <w:szCs w:val="20"/>
          <w:color w:val="auto"/>
        </w:rPr>
      </w:pPr>
      <w:r>
        <w:rPr>
          <w:rFonts w:ascii="Arial" w:cs="Arial" w:eastAsia="Arial" w:hAnsi="Arial"/>
          <w:sz w:val="17"/>
          <w:szCs w:val="17"/>
          <w:b w:val="1"/>
          <w:bCs w:val="1"/>
          <w:color w:val="auto"/>
        </w:rPr>
        <w:t xml:space="preserve">Peter Plaut </w:t>
      </w:r>
      <w:r>
        <w:rPr>
          <w:rFonts w:ascii="Arial" w:cs="Arial" w:eastAsia="Arial" w:hAnsi="Arial"/>
          <w:sz w:val="17"/>
          <w:szCs w:val="17"/>
          <w:color w:val="auto"/>
        </w:rPr>
        <w:t>is one of our director nominees. Since August 2016, Mr. Plaut has been a director for AEDS Advisors Ltd, London UK, a consultant and</w:t>
      </w:r>
      <w:r>
        <w:rPr>
          <w:rFonts w:ascii="Arial" w:cs="Arial" w:eastAsia="Arial" w:hAnsi="Arial"/>
          <w:sz w:val="17"/>
          <w:szCs w:val="17"/>
          <w:b w:val="1"/>
          <w:bCs w:val="1"/>
          <w:color w:val="auto"/>
        </w:rPr>
        <w:t xml:space="preserve"> </w:t>
      </w:r>
      <w:r>
        <w:rPr>
          <w:rFonts w:ascii="Arial" w:cs="Arial" w:eastAsia="Arial" w:hAnsi="Arial"/>
          <w:sz w:val="17"/>
          <w:szCs w:val="17"/>
          <w:color w:val="auto"/>
        </w:rPr>
        <w:t>advisory and capital raising firm, which has signed over $10 billion real estate transactions in various real estate asset classes since the Covid -19 lockdown. Mr. Plaut is also an Executive Director at Wimmer Financial/Wimmer Family Office, in London, United Kingdom, a corporate advisory boutique investment bank with global reach through a network of partners and clients all over the world, where he has been an Executive Director since November 2018. Mr. Plaut is consistently recognized as a leader in the industry. Among his many achievements and awards, he was ranked as one of the Top 20 Rising Stars of Hedge Funds during the 2008 global financial crisis. More recently, since the Covid-19 Pandemic locked down the global economy, Mr. Plaut has signed over $5 billion of Engagements and/or Term Sheets across various real estate assets classes including residential, mixed use, office, and hospitality at Wimmer. Mr. Plaut has over 35 years investment banking, research, sales, trading, portfolio manager experience for some of the top tier global investment banks and private equity firms in New York, Washington DC and London, with significant experience in capital markets transactions in terms of debt and equity raises. From August 2016 through May 2018, Mr. Plaut served as an Executive Director and managed the Corporate Finance department for Swiss Invest in London, a capital origination and finance firm. Mr. Plaut has a bachelor of science in Management Information Systems from Rensselaer Polytechnic Institute.</w:t>
      </w:r>
    </w:p>
    <w:p>
      <w:pPr>
        <w:spacing w:after="0" w:line="179"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b w:val="1"/>
          <w:bCs w:val="1"/>
          <w:color w:val="auto"/>
        </w:rPr>
        <w:t xml:space="preserve">Ambassador Hans H. Hertell </w:t>
      </w:r>
      <w:r>
        <w:rPr>
          <w:rFonts w:ascii="Arial" w:cs="Arial" w:eastAsia="Arial" w:hAnsi="Arial"/>
          <w:sz w:val="16"/>
          <w:szCs w:val="16"/>
          <w:color w:val="auto"/>
        </w:rPr>
        <w:t>is one of our director nominees. Since 2009, Mr. Hertell has been the Chairman of the Board and Chief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of the Hertell Group LLC, a group of seasoned and qualified, ex government, corporate and financial sector principals, with proven backgrounds in legal, finance, engineering, management, government relations and international business. Mr. Hertell is a former United States Ambassador to the Dominican Republic where he served from 2001 to 2007. Mr. Hertell was a co-founder of Goldman, Antonetti, Ferraiuoli, Axtmayer and Hertell, from</w:t>
      </w:r>
    </w:p>
    <w:p>
      <w:pPr>
        <w:spacing w:after="0" w:line="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1982 to 1989, which at the time was the third largest full service law firm in Puerto Rico. Mr. Hertell was also involved with the operations and investments of the Barrick Gold Corporation in the Dominican Republic. He was the Chairman of the Board at U.S. Precious Metals, Inc. from 2013 to 2015, and Colt Resources Inc. in 2015. Mr. Hertell was managing director for the Caribbean and Latin America affairs at Black, Kelly, Scruggs &amp; Healey, a government and public affairs company based in Washington, D.C. from 1992-1996. In 1989, he served as a member of the Commission to Review U.S. Magistrates for Reappointment of the U.S. District Court for the District of Puerto Rico. Between 1982 to 1984, he served as political and legal advisor to the Governor of Puerto Rico, as well as to the Attorney General, the Secretary of Agriculture and the Secretary of the Treasury of the Commonwealth of Puerto Rico.</w:t>
      </w:r>
    </w:p>
    <w:p>
      <w:pPr>
        <w:spacing w:after="0" w:line="4" w:lineRule="exact"/>
        <w:rPr>
          <w:sz w:val="20"/>
          <w:szCs w:val="20"/>
          <w:color w:val="auto"/>
        </w:rPr>
      </w:pPr>
    </w:p>
    <w:p>
      <w:pPr>
        <w:jc w:val="both"/>
        <w:ind w:right="420"/>
        <w:spacing w:after="0" w:line="323" w:lineRule="auto"/>
        <w:rPr>
          <w:sz w:val="20"/>
          <w:szCs w:val="20"/>
          <w:color w:val="auto"/>
        </w:rPr>
      </w:pPr>
      <w:r>
        <w:rPr>
          <w:rFonts w:ascii="Arial" w:cs="Arial" w:eastAsia="Arial" w:hAnsi="Arial"/>
          <w:sz w:val="16"/>
          <w:szCs w:val="16"/>
          <w:color w:val="auto"/>
        </w:rPr>
        <w:t>Mr. Hertell has also served on the board for Interenergy, Inc., Valisoft, Demex and Fundacion Boerman Segarra. Mr. Hertell has a law degree from the University of Puerto Rico and a Bachelor of Science in Economics from Fordham University, and an insurance degree from the College of Insurance.</w:t>
      </w:r>
    </w:p>
    <w:p>
      <w:pPr>
        <w:spacing w:after="0" w:line="13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b w:val="1"/>
          <w:bCs w:val="1"/>
          <w:color w:val="auto"/>
        </w:rPr>
        <w:t xml:space="preserve">Our Advisors His Highness Sheikh Ahmed Dalmook Al Maktoum </w:t>
      </w:r>
      <w:r>
        <w:rPr>
          <w:rFonts w:ascii="Arial" w:cs="Arial" w:eastAsia="Arial" w:hAnsi="Arial"/>
          <w:sz w:val="18"/>
          <w:szCs w:val="18"/>
          <w:color w:val="auto"/>
        </w:rPr>
        <w:t>is one of our advisors. HH Sheikh Maktoum is a member of the Ruling Royal</w:t>
      </w:r>
      <w:r>
        <w:rPr>
          <w:rFonts w:ascii="Arial" w:cs="Arial" w:eastAsia="Arial" w:hAnsi="Arial"/>
          <w:sz w:val="18"/>
          <w:szCs w:val="18"/>
          <w:b w:val="1"/>
          <w:bCs w:val="1"/>
          <w:color w:val="auto"/>
        </w:rPr>
        <w:t xml:space="preserve"> </w:t>
      </w:r>
      <w:r>
        <w:rPr>
          <w:rFonts w:ascii="Arial" w:cs="Arial" w:eastAsia="Arial" w:hAnsi="Arial"/>
          <w:sz w:val="18"/>
          <w:szCs w:val="18"/>
          <w:color w:val="auto"/>
        </w:rPr>
        <w:t>Family of Dubai, United Arab Emirates. HH Sheikh Maktoum is Founder and Chairman of The Private Office of His Highness Sheikh Ahmed Dalmook Al Maktoum and owns a portfolio of privately held group of companies that focuses mainly on energy projects, large scale infrastructure development including setting up of LNG terminals, oil and commodity trading, healthcare, water desalination as well as education and agriculture projects operated throughout Africa, South Asia, Russia and the Middle East. Through his strategic vision, international relationships and strategic partnerships, his group companies are well positioned to deliver a best-in-class turnkey solution by bringing in investment and ensure faultless execution and project implementation.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right="60" w:firstLine="324"/>
        <w:spacing w:after="0" w:line="291" w:lineRule="auto"/>
        <w:rPr>
          <w:sz w:val="20"/>
          <w:szCs w:val="20"/>
          <w:color w:val="auto"/>
        </w:rPr>
      </w:pPr>
      <w:r>
        <w:rPr>
          <w:rFonts w:ascii="Arial" w:cs="Arial" w:eastAsia="Arial" w:hAnsi="Arial"/>
          <w:sz w:val="16"/>
          <w:szCs w:val="16"/>
          <w:b w:val="1"/>
          <w:bCs w:val="1"/>
          <w:color w:val="auto"/>
        </w:rPr>
        <w:t xml:space="preserve">Mohammad Shaikh </w:t>
      </w:r>
      <w:r>
        <w:rPr>
          <w:rFonts w:ascii="Arial" w:cs="Arial" w:eastAsia="Arial" w:hAnsi="Arial"/>
          <w:sz w:val="16"/>
          <w:szCs w:val="16"/>
          <w:color w:val="auto"/>
        </w:rPr>
        <w:t>is one of our advisors. Mr. Shaikh is the Head of Blockchain Strategic Partnerships for Facebook, responsible for global</w:t>
      </w:r>
      <w:r>
        <w:rPr>
          <w:rFonts w:ascii="Arial" w:cs="Arial" w:eastAsia="Arial" w:hAnsi="Arial"/>
          <w:sz w:val="16"/>
          <w:szCs w:val="16"/>
          <w:b w:val="1"/>
          <w:bCs w:val="1"/>
          <w:color w:val="auto"/>
        </w:rPr>
        <w:t xml:space="preserve"> </w:t>
      </w:r>
      <w:r>
        <w:rPr>
          <w:rFonts w:ascii="Arial" w:cs="Arial" w:eastAsia="Arial" w:hAnsi="Arial"/>
          <w:sz w:val="16"/>
          <w:szCs w:val="16"/>
          <w:color w:val="auto"/>
        </w:rPr>
        <w:t>partnerships and strategy. Mr. Shaikh has over a decade of multi-national financial services and blockchain/crypto experience. Previously, Mo Shaikh was the Founder and CEO of Meridio, a ConsenSys-backed, blockchain-based company that issued the world’s first fractional share of real estate. He also founded ConsenSys’ Middle East Office. Prior to Meridio, Mr. Shaikh consulted Sovereign Wealth Funds, energy and telecom companies with BCG’s Private Equity practice. Mr. Shaikh helped found BlackRock’s sustainability committee while he worked at the firm’s Real Estate Alternative Asset group. Mr. Shaikh is a two time founder and has advised several blockchain companies across the web3 stack. He has been invited by the World Economic Forum to consult on their global blockchain strategy including Central Bank Digital Currency (CBDCs). He is an active angel investor and serves on the board of two logistics companies. Mr. Shaikh holds a Bachelor’s Degree from Hunter College and an MBA from the University of Rochester.</w:t>
      </w:r>
    </w:p>
    <w:p>
      <w:pPr>
        <w:spacing w:after="0" w:line="159"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b w:val="1"/>
          <w:bCs w:val="1"/>
          <w:color w:val="auto"/>
        </w:rPr>
        <w:t xml:space="preserve">Scott Young </w:t>
      </w:r>
      <w:r>
        <w:rPr>
          <w:rFonts w:ascii="Arial" w:cs="Arial" w:eastAsia="Arial" w:hAnsi="Arial"/>
          <w:sz w:val="17"/>
          <w:szCs w:val="17"/>
          <w:color w:val="auto"/>
        </w:rPr>
        <w:t>is one of our advisors. Since January 2010, Mr. Young has served as a Senior Advisor and director of Dial Partners LLP, And advisory</w:t>
      </w:r>
      <w:r>
        <w:rPr>
          <w:rFonts w:ascii="Arial" w:cs="Arial" w:eastAsia="Arial" w:hAnsi="Arial"/>
          <w:sz w:val="17"/>
          <w:szCs w:val="17"/>
          <w:b w:val="1"/>
          <w:bCs w:val="1"/>
          <w:color w:val="auto"/>
        </w:rPr>
        <w:t xml:space="preserve"> </w:t>
      </w:r>
      <w:r>
        <w:rPr>
          <w:rFonts w:ascii="Arial" w:cs="Arial" w:eastAsia="Arial" w:hAnsi="Arial"/>
          <w:sz w:val="17"/>
          <w:szCs w:val="17"/>
          <w:color w:val="auto"/>
        </w:rPr>
        <w:t>firm specializing in mergers and acquisitions and corporate finance. Mr. Young was one of the three founding board members of Cambridge Quantum Computing Ltd, in Cambridge, England (“Cambridge”), serving from April of 2015 through October of 2017. After the recent announcement of a merger with Honeywell Quantum Solutions, Cambridge has become one of the world’s leading integrated Quantum Computing company, incorporating Quantum software, Honeywell’s leading Quantum hardware, and the world’s only Quantum Operating System which was developed by Cambridge Quantum. Key attributes of the combined entity are Quantum-enabled Cybersecurity solutions, Quantum chemistry for accelerated drug discovery and securities and commodities trading enhancement, all with the incorporation of Artificial Intelligence, Machine Learning and other technologies. Mr. Young also served as a director of Globomass Holdings Ltd. From January 2012 until October 2016. Mr. Young has served as a director of Omnicyte Limited since November of 2003 and is currently a member of its Nominating and Corporate Governance Committee.</w:t>
      </w:r>
    </w:p>
    <w:p>
      <w:pPr>
        <w:spacing w:after="0" w:line="17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Mr. Young provides strategic advice to a wide range of entities, including private businesses, multinational companies, family offices, private equity groups and sovereign wealth funds. He is particularly focusing on companies that have developed proven and pioneering technologies with a tangible positive impact ( for example, on the environment, communications, health and wellbeing), that are highly relevant and scalable on a worldwide basis, have exceptional management teams, and which are supported by robust commercial business models. Mr. Young was previously with Morgan Stanley &amp; Company in New York in the International Capital Markets group where his responsibilities included assisting sovereign governments in raising debt on the international capital markets, working with large investment groups such as Templeton, JP Morgan Investment Management, Fidelity and Soros in providing investment advice and hedging strategies. He worked closely with Morgan Stanley’s Wealth Management group worldwide in identifying outperforming international investment strategies for its clients. Earlier positions include Corporate Finance, Fixed Income and Equity Sales and Syndication with the securities trading and merchant banking firm LF Rothschild &amp; Co in New York, one of the leading firms in providing financing, stock exchange listings and mergers &amp; acquisitions advice to companies primarily in the Technology and Biotech sectors. Mr. Young worked with the US office of the Organization for Economic Co-operation and Development in New York, providing guidance to the US Government as well as a wide range of multinational companies with inter-European and EU policy and regulations governing financial services, labor practices, information sharing between police forces and security-related issues, space cooperation and other key areas. Mr. Young has a Bachelor of Science in Economics &amp; International Studies, as well as a Juris Doctorate in Law and Masters in Business Administration from the University of North Carolina – Chapel Hill.</w:t>
      </w:r>
    </w:p>
    <w:p>
      <w:pPr>
        <w:spacing w:after="0" w:line="16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b w:val="1"/>
          <w:bCs w:val="1"/>
          <w:color w:val="auto"/>
        </w:rPr>
        <w:t xml:space="preserve">Alexis Johnson </w:t>
      </w:r>
      <w:r>
        <w:rPr>
          <w:rFonts w:ascii="Arial" w:cs="Arial" w:eastAsia="Arial" w:hAnsi="Arial"/>
          <w:sz w:val="18"/>
          <w:szCs w:val="18"/>
          <w:color w:val="auto"/>
        </w:rPr>
        <w:t>is one of our advisors. Ms. Johnson has over five years of experience in real estate development and construction management ranging</w:t>
      </w:r>
      <w:r>
        <w:rPr>
          <w:rFonts w:ascii="Arial" w:cs="Arial" w:eastAsia="Arial" w:hAnsi="Arial"/>
          <w:sz w:val="18"/>
          <w:szCs w:val="18"/>
          <w:b w:val="1"/>
          <w:bCs w:val="1"/>
          <w:color w:val="auto"/>
        </w:rPr>
        <w:t xml:space="preserve"> </w:t>
      </w:r>
      <w:r>
        <w:rPr>
          <w:rFonts w:ascii="Arial" w:cs="Arial" w:eastAsia="Arial" w:hAnsi="Arial"/>
          <w:sz w:val="18"/>
          <w:szCs w:val="18"/>
          <w:color w:val="auto"/>
        </w:rPr>
        <w:t>from high-end residential to commercial and healthcare, with a total value from the projects totaling over $2 billion. Ms. Johnson launched her media company in 2015 targeting niche industries and communities. Ms. Johnson began passively investing in cryptocurrencies in early 2017, and during Spring 2018 launched the Light Node Media a new division, an events, public relations and media company which targets the Blockchain community. In Summer 2019 Ms. Johnson founded Legends Investment Network. Ms. Johnson serves as President and Board member of the Johns Hopkins Blockchain and Fintech network which connects students, alumni and professors that work or express interest within the Blockchain space. Ms. Johnson graduated with Cum Laude distinction from Loomis Chaffee, an independent boarding school in Windsor, CT and part of Ten Schools Admissions Organization. A recipient of the Little Rock 9 Scholarship, Ms. Johnson holds a bachelors in Civil Engineering from Johns Hopkins University's Whiting School of Engineering.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b w:val="1"/>
          <w:bCs w:val="1"/>
          <w:color w:val="auto"/>
        </w:rPr>
        <w:t>Affiliated SPACS.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March 2021, BurTech LP LLC, our Sponsor, founded GSD Quantum AI Acquisition Corp., which changed its name to BurTech Acquisition Corp.</w:t>
      </w:r>
    </w:p>
    <w:p>
      <w:pPr>
        <w:spacing w:after="0" w:line="46" w:lineRule="exact"/>
        <w:rPr>
          <w:sz w:val="20"/>
          <w:szCs w:val="20"/>
          <w:color w:val="auto"/>
        </w:rPr>
      </w:pPr>
    </w:p>
    <w:p>
      <w:pPr>
        <w:ind w:right="20" w:firstLine="8"/>
        <w:spacing w:after="0" w:line="284" w:lineRule="auto"/>
        <w:tabs>
          <w:tab w:leader="none" w:pos="165" w:val="left"/>
        </w:tabs>
        <w:numPr>
          <w:ilvl w:val="0"/>
          <w:numId w:val="4"/>
        </w:numPr>
        <w:rPr>
          <w:rFonts w:ascii="Arial" w:cs="Arial" w:eastAsia="Arial" w:hAnsi="Arial"/>
          <w:sz w:val="16"/>
          <w:szCs w:val="16"/>
          <w:color w:val="auto"/>
        </w:rPr>
      </w:pPr>
      <w:r>
        <w:rPr>
          <w:rFonts w:ascii="Arial" w:cs="Arial" w:eastAsia="Arial" w:hAnsi="Arial"/>
          <w:sz w:val="16"/>
          <w:szCs w:val="16"/>
          <w:color w:val="auto"/>
        </w:rPr>
        <w:t>on October 5, 2021 (“BurTech II”), a blank check company incorporated for the purposes of effecting a business combination. BurTech II is expected to complete its initial public offering either before or after this offering. In March 2021, our Sponsor founded Bridge Media Acquisition Corp. (“Bridge”) a blank check company incorporated for the purposes of effecting a business combination. Bridge is expected to complete its initial public offering after this offering. Certain of our executive officers also serve as executive officers for BurTech II and Bridge. Our officers and directors may have conflicts of interest with other entities to which they owe fiduciary or contractual obligations with respect to initial business combination opportunities, including for our officers with respect to BurTech II and Bridge, collectively which we refer to as the “Affiliated SPACs”. None of our officers or directors, our sponsor, nor any of its respective officers, directors, employees, or affiliates, have had management experience with blank check companies or special purpose acquisition corporations in the past. In order to minimize potential conflicts of interest which may arise from multiple affiliations, our officers who are also officers of any of the Affiliated SPACs may be required to present all suitable target businesses to the Affiliated SPACs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 For a list of our officers and directors and entities for which a conflict of interest may or does exist between such officers or directors and the company, as well as the priority and preference that such entity has with respect to performance of obligations and presentation of business opportunities to us, please refer to the table and subsequent explanatory paragraph under “Management — Conflicts of Interest”. Although conflicts of interest in pursuing an acquisition target may arise among the Affiliated SPACS, we do not believe that any potential conflicts would materially affect our ability to complete our initial business combination.</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strategy is to utilize our management team’s investing and operating experience to identify and acquire a business within our sectors of interest. Upon a successful business combination, we intend to have a hands-on approach towards growing the business organically and through acquisitions, improve operations, raise capital and optimize the business’ capital structure. Our investing style is deep-rooted in disciplined fundamental analysis, taking a long-term view towards shareholder value creation and improving the business’ operating performance. We currently expect that we will leverage our management team’s knowledge, experience and longstanding relationships within various industries towards identifying business combination opportunities. Furthermore, we intend to source initial business combination opportunities through our management team’s network of investors, operating partners, financial firms, brokers and lenders. Upon completion of this offering, members of our management team will communicate with their networks our target acquisition criteria and business strategy to begin the process of pursuing and reviewing potentially interesting ideas.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Thesis</w:t>
      </w:r>
    </w:p>
    <w:p>
      <w:pPr>
        <w:spacing w:after="0" w:line="229"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are seeing emerging trends of industry crossovers and overlapping technologies and policies across the infrastructure, property, and fintech spaces. The convergence of information, transactions, and management is enabling the rapid growth of the infratech, proptech, and fintech industries - from smart homes to construction/property management/business tech.</w:t>
      </w:r>
    </w:p>
    <w:p>
      <w:pPr>
        <w:spacing w:after="0" w:line="18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Technology prices and risks are falling while big data and artificial intelligence are rapidly growing. It is no longer enough to just capture data, we have to make sense of it and create new opportunities for people and businesses with it. We also have to streamline services like automated valuations. Connectivity is increasingly crucial for tomorrow's modern life, and with work life shifting due to the pandemic - work, home, and leisure is merging more and more.</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3" w:name="page14"/>
    <w:bookmarkEnd w:id="13"/>
    <w:p>
      <w:pPr>
        <w:ind w:right="120" w:firstLine="324"/>
        <w:spacing w:after="0" w:line="279" w:lineRule="auto"/>
        <w:rPr>
          <w:sz w:val="20"/>
          <w:szCs w:val="20"/>
          <w:color w:val="auto"/>
        </w:rPr>
      </w:pPr>
      <w:r>
        <w:rPr>
          <w:rFonts w:ascii="Arial" w:cs="Arial" w:eastAsia="Arial" w:hAnsi="Arial"/>
          <w:sz w:val="17"/>
          <w:szCs w:val="17"/>
          <w:color w:val="auto"/>
        </w:rPr>
        <w:t>Social housing needs are rapidly increasing within our changing demographics, and we expect these needs to keep growing. Whether it be micro-housing in high density urban areas or it be multi-generational housing, co-living or community-living, we are seeing these important evolutionary trends across retirees as well as young millennials. Blurring of the use of properties and converting them into multi-function spaces is the next frontier of helping the world increase productivity, comfort, and fun - through spaces where work, rest, and play meet seamlessly.</w:t>
      </w:r>
    </w:p>
    <w:p>
      <w:pPr>
        <w:spacing w:after="0" w:line="171"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The rise of the “digital nomad” is also giving rise to a brand new property demand: global properties with lightning fast broadband, print facilities, luxurious bedding, and group dinners that promote intermingling with peers and brainstorming on new ventures and ideas … all before ‘nomading' off to another part of the world for the next few months.</w:t>
      </w:r>
    </w:p>
    <w:p>
      <w:pPr>
        <w:spacing w:after="0" w:line="18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This evolution in how we live, play, and work is making the industry rethink how we use space wisely. The sharing economy has emerged, and we are the leading experts in bringing to the world meaningful, sustainable, energy-efficient, and timely changes in how we use properties in the future and also how their economic models need to evolve over time. We believe that our capabilities in technology developments across infrastructure, real estate, fintech, and blockchain will give us unparalleled advantages in bringing viable and diverse options for the entire spectrum of investors, businesses, travelers, renters, and owners. Our reputation and experience along with our acute abilities to leverage, source, value, perform due-diligence, and execute provides us a significant pipeline of opportunities from which we evaluate and select businesses that will benefit from our expertise with regards to their profitability and productivity.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While we will not be limited to a particular industry or geographic region, given the experience of our management team, we expect to focus on acquiring a business that participates within the consumer, financial services, lifestyle, infrastructure, technology or real estate markets and gain the benefit of our team’s deep knowledge in cloud connectivity and services that can be leveraged in those markets We believe that significant opportunity exists in bringing scale, increased market penetration and cloud connected technology solutions to businesses that benefit from strong core offerings and have access to large addressable markets. Our management team will look to identify business combination targets that are in need of strategic growth capital, will benefit from becoming a publicly listed company or will benefit from our management team’s experience and relationships towards scaling existing platforms. We intend to seek candidates with an enterprise value of between $500 million and $1.5 billion, where we believe our management team has the strongest network to identify opportunities.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Criteria</w:t>
      </w:r>
    </w:p>
    <w:p>
      <w:pPr>
        <w:spacing w:after="0" w:line="229"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We will seek to identify companies that have compelling growth potential and a combination of the following characteristics. We will use these criteria and guidelines in evaluating acquisition opportunities, but we may decide to enter our initial business combination with a target business that does not meet these criteria and guidelines. We intend to acquire companies or assets that we believe have the following attributes:</w:t>
      </w:r>
    </w:p>
    <w:p>
      <w:pPr>
        <w:spacing w:after="0" w:line="165" w:lineRule="exact"/>
        <w:rPr>
          <w:sz w:val="20"/>
          <w:szCs w:val="20"/>
          <w:color w:val="auto"/>
        </w:rPr>
      </w:pPr>
    </w:p>
    <w:p>
      <w:pPr>
        <w:ind w:left="660" w:right="380" w:hanging="328"/>
        <w:spacing w:after="0" w:line="31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Scalability and large addressable markets. </w:t>
      </w:r>
      <w:r>
        <w:rPr>
          <w:rFonts w:ascii="Arial" w:cs="Arial" w:eastAsia="Arial" w:hAnsi="Arial"/>
          <w:sz w:val="16"/>
          <w:szCs w:val="16"/>
          <w:color w:val="auto"/>
        </w:rPr>
        <w:t>We intend to seek candidates that operate in large markets where small increases in cloud</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connectivity penetration can translate into rapid and significant financial benefits. We intend to evaluate each market based on several factors, including competitive dynamics, demand drivers, macroeconomic trends, and the potential to build a sustainable competitive edge.</w:t>
      </w:r>
    </w:p>
    <w:p>
      <w:pPr>
        <w:spacing w:after="0" w:line="148" w:lineRule="exact"/>
        <w:rPr>
          <w:rFonts w:ascii="Arial" w:cs="Arial" w:eastAsia="Arial" w:hAnsi="Arial"/>
          <w:sz w:val="16"/>
          <w:szCs w:val="16"/>
          <w:color w:val="auto"/>
        </w:rPr>
      </w:pPr>
    </w:p>
    <w:p>
      <w:pPr>
        <w:jc w:val="both"/>
        <w:ind w:left="660" w:right="18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Attractive customer demographics. </w:t>
      </w:r>
      <w:r>
        <w:rPr>
          <w:rFonts w:ascii="Arial" w:cs="Arial" w:eastAsia="Arial" w:hAnsi="Arial"/>
          <w:sz w:val="18"/>
          <w:szCs w:val="18"/>
          <w:color w:val="auto"/>
        </w:rPr>
        <w:t>Our management team has deep insights into the consumer and enterprise customer’s behavior and buying</w:t>
      </w:r>
      <w:r>
        <w:rPr>
          <w:rFonts w:ascii="Arial" w:cs="Arial" w:eastAsia="Arial" w:hAnsi="Arial"/>
          <w:sz w:val="18"/>
          <w:szCs w:val="18"/>
          <w:i w:val="1"/>
          <w:iCs w:val="1"/>
          <w:color w:val="auto"/>
        </w:rPr>
        <w:t xml:space="preserve"> </w:t>
      </w:r>
      <w:r>
        <w:rPr>
          <w:rFonts w:ascii="Arial" w:cs="Arial" w:eastAsia="Arial" w:hAnsi="Arial"/>
          <w:sz w:val="18"/>
          <w:szCs w:val="18"/>
          <w:color w:val="auto"/>
        </w:rPr>
        <w:t>patterns in a range of global markets. We expect to capitalize on shifting demographic trends to build a sustainable business enterprise with clear understandings of global market trends.</w:t>
      </w:r>
    </w:p>
    <w:p>
      <w:pPr>
        <w:spacing w:after="0" w:line="183"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Brands serving high growth markets. </w:t>
      </w:r>
      <w:r>
        <w:rPr>
          <w:rFonts w:ascii="Arial" w:cs="Arial" w:eastAsia="Arial" w:hAnsi="Arial"/>
          <w:sz w:val="18"/>
          <w:szCs w:val="18"/>
          <w:color w:val="auto"/>
        </w:rPr>
        <w:t>We intend to seek candidates where we believe that customer connection with the business’ brands in their</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matters and will continue to matter. We believe that building global brand recognition with an awareness of the ultimate brand value in the markets we will serve is a significant driver of shareholder value.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ind w:left="660" w:right="60" w:hanging="328"/>
        <w:spacing w:after="0" w:line="30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Ecosystem-oriented and technology-centric. </w:t>
      </w:r>
      <w:r>
        <w:rPr>
          <w:rFonts w:ascii="Arial" w:cs="Arial" w:eastAsia="Arial" w:hAnsi="Arial"/>
          <w:sz w:val="16"/>
          <w:szCs w:val="16"/>
          <w:color w:val="auto"/>
        </w:rPr>
        <w:t>We intend to seek candidates that have a potential to provide the business’ customers with</w:t>
      </w:r>
      <w:r>
        <w:rPr>
          <w:rFonts w:ascii="Arial" w:cs="Arial" w:eastAsia="Arial" w:hAnsi="Arial"/>
          <w:sz w:val="16"/>
          <w:szCs w:val="16"/>
          <w:i w:val="1"/>
          <w:iCs w:val="1"/>
          <w:color w:val="auto"/>
        </w:rPr>
        <w:t xml:space="preserve"> </w:t>
      </w:r>
      <w:r>
        <w:rPr>
          <w:rFonts w:ascii="Arial" w:cs="Arial" w:eastAsia="Arial" w:hAnsi="Arial"/>
          <w:sz w:val="16"/>
          <w:szCs w:val="16"/>
          <w:color w:val="auto"/>
        </w:rPr>
        <w:t>comprehensive benefits within a cloud connected ecosystem. Our management team has expertise in identifying and investing in scalable growth businesses. The team has experience in using partnerships to drive value creation, scale and entry into new global markets. Furthermore, our management team has experience deploying capital into companies to propel growth and physical presence across global markets.</w:t>
      </w:r>
    </w:p>
    <w:p>
      <w:pPr>
        <w:spacing w:after="0" w:line="157" w:lineRule="exact"/>
        <w:rPr>
          <w:rFonts w:ascii="Arial" w:cs="Arial" w:eastAsia="Arial" w:hAnsi="Arial"/>
          <w:sz w:val="16"/>
          <w:szCs w:val="16"/>
          <w:color w:val="auto"/>
        </w:rPr>
      </w:pPr>
    </w:p>
    <w:p>
      <w:pPr>
        <w:ind w:left="660" w:hanging="328"/>
        <w:spacing w:after="0" w:line="279"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Sustainable Development Goal (SDG) measurements. </w:t>
      </w:r>
      <w:r>
        <w:rPr>
          <w:rFonts w:ascii="Arial" w:cs="Arial" w:eastAsia="Arial" w:hAnsi="Arial"/>
          <w:sz w:val="17"/>
          <w:szCs w:val="17"/>
          <w:color w:val="auto"/>
        </w:rPr>
        <w:t>We intend to seek candidates that have business models and solutions that have positive</w:t>
      </w:r>
      <w:r>
        <w:rPr>
          <w:rFonts w:ascii="Arial" w:cs="Arial" w:eastAsia="Arial" w:hAnsi="Arial"/>
          <w:sz w:val="17"/>
          <w:szCs w:val="17"/>
          <w:i w:val="1"/>
          <w:iCs w:val="1"/>
          <w:color w:val="auto"/>
        </w:rPr>
        <w:t xml:space="preserve"> </w:t>
      </w:r>
      <w:r>
        <w:rPr>
          <w:rFonts w:ascii="Arial" w:cs="Arial" w:eastAsia="Arial" w:hAnsi="Arial"/>
          <w:sz w:val="17"/>
          <w:szCs w:val="17"/>
          <w:color w:val="auto"/>
        </w:rPr>
        <w:t>impact as measured against the United Nations Sustainable Development Goals and that showcase good stewardship of the planet. Our management team is uniquely qualified in this area and has been involved in global advocacy of the SDGs as well as part of enterprises with clear metrics and measurements to show how companies can be measured for their positive impact on the SDGs.</w:t>
      </w:r>
    </w:p>
    <w:p>
      <w:pPr>
        <w:spacing w:after="0" w:line="171" w:lineRule="exact"/>
        <w:rPr>
          <w:rFonts w:ascii="Arial" w:cs="Arial" w:eastAsia="Arial" w:hAnsi="Arial"/>
          <w:sz w:val="17"/>
          <w:szCs w:val="17"/>
          <w:color w:val="auto"/>
        </w:rPr>
      </w:pPr>
    </w:p>
    <w:p>
      <w:pPr>
        <w:ind w:left="660" w:right="120" w:hanging="328"/>
        <w:spacing w:after="0" w:line="31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Strong target management teams. </w:t>
      </w:r>
      <w:r>
        <w:rPr>
          <w:rFonts w:ascii="Arial" w:cs="Arial" w:eastAsia="Arial" w:hAnsi="Arial"/>
          <w:sz w:val="16"/>
          <w:szCs w:val="16"/>
          <w:color w:val="auto"/>
        </w:rPr>
        <w:t>We intend to seek candidates that have strong management teams with a track record of driving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growth, enhancing profitability and generating strong free cash flow. We will spend significant time assessing a target company’s leadership and personnel across the organization and evaluating how we can build a stronger team with requisite skill sets to execute on business strategy.</w:t>
      </w:r>
    </w:p>
    <w:p>
      <w:pPr>
        <w:spacing w:after="0" w:line="148" w:lineRule="exact"/>
        <w:rPr>
          <w:rFonts w:ascii="Arial" w:cs="Arial" w:eastAsia="Arial" w:hAnsi="Arial"/>
          <w:sz w:val="16"/>
          <w:szCs w:val="16"/>
          <w:color w:val="auto"/>
        </w:rPr>
      </w:pPr>
    </w:p>
    <w:p>
      <w:pPr>
        <w:ind w:left="660" w:right="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Opportunity to benefit from our management team’s expertise. </w:t>
      </w:r>
      <w:r>
        <w:rPr>
          <w:rFonts w:ascii="Arial" w:cs="Arial" w:eastAsia="Arial" w:hAnsi="Arial"/>
          <w:sz w:val="18"/>
          <w:szCs w:val="18"/>
          <w:color w:val="auto"/>
        </w:rPr>
        <w:t>We intend to seek candidates whose performance can be augmented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team’s investing, operating expertise, and global enterprise networks. Our management team has actively recruited and retained key operational human capital into companies.</w:t>
      </w:r>
    </w:p>
    <w:p>
      <w:pPr>
        <w:spacing w:after="0" w:line="183" w:lineRule="exact"/>
        <w:rPr>
          <w:rFonts w:ascii="Arial" w:cs="Arial" w:eastAsia="Arial" w:hAnsi="Arial"/>
          <w:sz w:val="18"/>
          <w:szCs w:val="18"/>
          <w:color w:val="auto"/>
        </w:rPr>
      </w:pPr>
    </w:p>
    <w:p>
      <w:pPr>
        <w:ind w:left="660" w:right="74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Opportunity for operational improvements. </w:t>
      </w:r>
      <w:r>
        <w:rPr>
          <w:rFonts w:ascii="Arial" w:cs="Arial" w:eastAsia="Arial" w:hAnsi="Arial"/>
          <w:sz w:val="17"/>
          <w:szCs w:val="17"/>
          <w:color w:val="auto"/>
        </w:rPr>
        <w:t>We will seek to identify businesses that we believe would benefit from our ability to drive</w:t>
      </w:r>
      <w:r>
        <w:rPr>
          <w:rFonts w:ascii="Arial" w:cs="Arial" w:eastAsia="Arial" w:hAnsi="Arial"/>
          <w:sz w:val="17"/>
          <w:szCs w:val="17"/>
          <w:i w:val="1"/>
          <w:iCs w:val="1"/>
          <w:color w:val="auto"/>
        </w:rPr>
        <w:t xml:space="preserve"> </w:t>
      </w:r>
      <w:r>
        <w:rPr>
          <w:rFonts w:ascii="Arial" w:cs="Arial" w:eastAsia="Arial" w:hAnsi="Arial"/>
          <w:sz w:val="17"/>
          <w:szCs w:val="17"/>
          <w:color w:val="auto"/>
        </w:rPr>
        <w:t>improvements in the target company’s revenue models, cost structure, brand awareness and product offerings.</w:t>
      </w:r>
    </w:p>
    <w:p>
      <w:pPr>
        <w:spacing w:after="0" w:line="146" w:lineRule="exact"/>
        <w:rPr>
          <w:rFonts w:ascii="Arial" w:cs="Arial" w:eastAsia="Arial" w:hAnsi="Arial"/>
          <w:sz w:val="17"/>
          <w:szCs w:val="17"/>
          <w:color w:val="auto"/>
        </w:rPr>
      </w:pPr>
    </w:p>
    <w:p>
      <w:pPr>
        <w:ind w:left="660" w:right="24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Growth opportunities through capital investment. </w:t>
      </w:r>
      <w:r>
        <w:rPr>
          <w:rFonts w:ascii="Arial" w:cs="Arial" w:eastAsia="Arial" w:hAnsi="Arial"/>
          <w:sz w:val="18"/>
          <w:szCs w:val="18"/>
          <w:color w:val="auto"/>
        </w:rPr>
        <w:t>We intend to seek candidates that will benefit from additional capital investment through a</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combination and technology enhancing solutions. These opportunities may include investment in existing and new facilities to drive growth.</w:t>
      </w:r>
    </w:p>
    <w:p>
      <w:pPr>
        <w:spacing w:after="0" w:line="183" w:lineRule="exact"/>
        <w:rPr>
          <w:rFonts w:ascii="Arial" w:cs="Arial" w:eastAsia="Arial" w:hAnsi="Arial"/>
          <w:sz w:val="18"/>
          <w:szCs w:val="18"/>
          <w:color w:val="auto"/>
        </w:rPr>
      </w:pPr>
    </w:p>
    <w:p>
      <w:pPr>
        <w:ind w:left="660" w:right="8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Opportunities for add-on acquisitions. </w:t>
      </w:r>
      <w:r>
        <w:rPr>
          <w:rFonts w:ascii="Arial" w:cs="Arial" w:eastAsia="Arial" w:hAnsi="Arial"/>
          <w:sz w:val="18"/>
          <w:szCs w:val="18"/>
          <w:color w:val="auto"/>
        </w:rPr>
        <w:t>We will seek to acquire one or more businesses or assets that we can grow both organically and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In addition, we believe that our ability to source proprietary opportunities will be valuable as we continue to build upon a robust public company platform post initial business combination.</w:t>
      </w:r>
    </w:p>
    <w:p>
      <w:pPr>
        <w:spacing w:after="0" w:line="183"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Appropriate valuations. </w:t>
      </w:r>
      <w:r>
        <w:rPr>
          <w:rFonts w:ascii="Arial" w:cs="Arial" w:eastAsia="Arial" w:hAnsi="Arial"/>
          <w:sz w:val="18"/>
          <w:szCs w:val="18"/>
          <w:color w:val="auto"/>
        </w:rPr>
        <w:t>We will seek to be disciplined and bring our fundamental investing approach towards valuing potential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targets.</w:t>
      </w:r>
    </w:p>
    <w:p>
      <w:pPr>
        <w:spacing w:after="0" w:line="170"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may deem relevant. In the event that we decide to enter into our initial business combination with a target business that does not meet some or all of the above criteria and guidelines, we will disclose that the target business does not meet such criteria in our stockholder communications related to our initial business combination, which, as discussed in this prospectus, would be in the form of tender offer documents or proxy solicitation materials that we would file with the SEC.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Experienced Management Team with Diverse Deal Sourcing Network</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management team’s contacts and relationships are extensive across the targeted industries, providing superior access to private companies. With regard to real estate, infrastructure, financial services, lifestyle brands, our network includes private equity, venture capital, technology entrepreneurs, and individual owners and founders of space-as-a-service operators, clean energy, cloud services, real estate technology companies, hotels, retailers, and restaurant groups. This network extends beyond the United States into Europe, Asia, the Middle East, South America, and Sub-Saharan Africa. We intend to leverage this network to gain exclusive access to and identify attractive target businesses which have the opportunity to scale up, transition services and customers, and grow.</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15" w:name="page16"/>
    <w:bookmarkEnd w:id="15"/>
    <w:p>
      <w:pPr>
        <w:ind w:right="20" w:firstLine="324"/>
        <w:spacing w:after="0" w:line="259" w:lineRule="auto"/>
        <w:rPr>
          <w:sz w:val="20"/>
          <w:szCs w:val="20"/>
          <w:color w:val="auto"/>
        </w:rPr>
      </w:pPr>
      <w:r>
        <w:rPr>
          <w:rFonts w:ascii="Arial" w:cs="Arial" w:eastAsia="Arial" w:hAnsi="Arial"/>
          <w:sz w:val="18"/>
          <w:szCs w:val="18"/>
          <w:color w:val="auto"/>
        </w:rPr>
        <w:t>In addition, we anticipate that target business candidates may be brought to our attention from various unaffiliated sources, including real estate market participants, private equity and venture capital groups, investment banking firms, consultants, legal and accounting firms and large business enterprises. Upon completion of this offering, members of our management team will communicate actively with their networks of relationships to articulate parameters for a potential business combination target.</w:t>
      </w:r>
    </w:p>
    <w:p>
      <w:pPr>
        <w:spacing w:after="0" w:line="187"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In addition to supporting us in the areas of, assessment of key risks and opportunities and due diligence, members of our board of directors may also advise us after the completion of our business combination in overseeing our strategy and value creation plan where relevant expertise exists.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Past performance of our management team is not a guarantee either (i) of success with respect to any business combination we may consummate or</w:t>
      </w:r>
    </w:p>
    <w:p>
      <w:pPr>
        <w:spacing w:after="0" w:line="46" w:lineRule="exact"/>
        <w:rPr>
          <w:sz w:val="20"/>
          <w:szCs w:val="20"/>
          <w:color w:val="auto"/>
        </w:rPr>
      </w:pPr>
    </w:p>
    <w:p>
      <w:pPr>
        <w:ind w:right="40" w:firstLine="8"/>
        <w:spacing w:after="0" w:line="251" w:lineRule="auto"/>
        <w:tabs>
          <w:tab w:leader="none" w:pos="26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we will be able to identify a suitable candidate for our initial business combination. You should not rely on the historical performance record of our management team as indicative of our future performance. Additionally, in the course of their respective careers, members of our management team have been involved in businesses and deals that were unsuccessful. Our officers and directors have no experience with special purpose acquisition companies. In addition, our officers and directors may have conflicts of interest and non-compete agreements with other entities to which they owe fiduciary or contractual obligations with respect to initial business combination opportunities. For a list of our officers and directors and entities for which a conflict of interest may or does exist between such persons and the company, as well as the priority and preference that such entity has with respect to performance of obligations and presentation of business opportunities to us, please refer to the table and subsequent explanatory paragraph under “Management — Conflicts of Interest”.</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Management Experience and understandings of Governmental policy and work with Universities on Innovation programs.</w:t>
      </w:r>
    </w:p>
    <w:p>
      <w:pPr>
        <w:spacing w:after="0" w:line="225" w:lineRule="exact"/>
        <w:rPr>
          <w:sz w:val="20"/>
          <w:szCs w:val="20"/>
          <w:color w:val="auto"/>
        </w:rPr>
      </w:pPr>
    </w:p>
    <w:p>
      <w:pPr>
        <w:ind w:right="380" w:firstLine="324"/>
        <w:spacing w:after="0" w:line="296" w:lineRule="auto"/>
        <w:rPr>
          <w:sz w:val="20"/>
          <w:szCs w:val="20"/>
          <w:color w:val="auto"/>
        </w:rPr>
      </w:pPr>
      <w:r>
        <w:rPr>
          <w:rFonts w:ascii="Arial" w:cs="Arial" w:eastAsia="Arial" w:hAnsi="Arial"/>
          <w:sz w:val="16"/>
          <w:szCs w:val="16"/>
          <w:color w:val="auto"/>
        </w:rPr>
        <w:t>Our management team brings significant experience working with Governmental groups and organizations on policy and programs to enhance the reach of U.S. companies in developing markets in areas of technology and infrastructure. Our management team also works closely with leading Universities in the United States on programs to enhance the opportunity and access of technology and innovation for new markets both in the United States and in Developing Markets. This understanding and experience with the role of Governmental policies and strong University programs play in opening and enhancing global market opportunities for our businesses we feel is a unique competitive strength of our management team.</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Management Experience Identifying and Investing in Scalable Businesses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management team brings recent experience in working with rapidly scaling businesses. The complementary skillset of our management team is well suited to working with companies and brands that can grow rapidly with the addition of, or access to capital. Helping companies grow physical presence by utilizing our management team’s knowledge of global real estate markets, real estate operations, and the capital markets is a core competitive strength.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Business Combination</w:t>
      </w:r>
    </w:p>
    <w:p>
      <w:pPr>
        <w:spacing w:after="0" w:line="229"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will obtain an opinion from an independent investment banking firm or another independent entity that commonly renders valuation opinions with respect to the satisfaction of such criteria.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a target’s assets or prospects. Additionally, pursuant to Nasdaq rules, any initial business combination must be approved by a majority of our independent directors.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6" w:name="page17"/>
    <w:bookmarkEnd w:id="16"/>
    <w:p>
      <w:pPr>
        <w:ind w:firstLine="324"/>
        <w:spacing w:after="0" w:line="311" w:lineRule="auto"/>
        <w:rPr>
          <w:sz w:val="20"/>
          <w:szCs w:val="20"/>
          <w:color w:val="auto"/>
        </w:rPr>
      </w:pPr>
      <w:r>
        <w:rPr>
          <w:rFonts w:ascii="Arial" w:cs="Arial" w:eastAsia="Arial" w:hAnsi="Arial"/>
          <w:sz w:val="16"/>
          <w:szCs w:val="16"/>
          <w:color w:val="auto"/>
        </w:rPr>
        <w:t>We will have until 15 months from the closing of this offering to consummate an initial business combination. Up to $1,500,000 of the loans made by our sponsor, our officers and directors, or our or their affiliates to us prior to or in connection with our initial business combination (including loans made to extend our time period for consummating a business combination) may be convertible into units at a price of $10.00 per unit at the option of the lender.</w:t>
      </w:r>
    </w:p>
    <w:p>
      <w:pPr>
        <w:spacing w:after="0" w:line="149"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anticipate structuring our initial business combination so that the post-transaction company in which our public stockholders own shares will own or acquire 100% of the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prior owners of the target business, the target management team or stockholders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Even if the post-transaction company owns or acquires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shares or other equity interests of a target. In this case, we would acquire a 100% controlling interest in the target. However, as a result of the issuance of a substantial number of new shares, our stockholders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fair market value test. If the business combination involves more than one target business, the 80% fair market value test will be based on the aggregate value of all of the target businesses and we will treat the target businesses together as our initial business combination for purposes of a tender offer or for seeking stockholder approval, as applicable.</w:t>
      </w:r>
    </w:p>
    <w:p>
      <w:pPr>
        <w:spacing w:after="0" w:line="176"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Our sponsor, officers, directors, and their respective affiliates may participate in the formation of, or become an officer or director of, any other blank check company prior to completion of our initial business combination. In particular, certain of our executive officers and directors also serve as executive officers or directors of an Affiliated SPAC, which is focused on searching for businesses that may provide significant opportunities for attractive investor returns in industries similar to the industries in which our search is focused. As a result, our sponsor, officers or directors could have conflicts of interest in determining whether to present business combination opportunities to us or to any other blank check company with which they may become involved.</w:t>
      </w:r>
    </w:p>
    <w:p>
      <w:pPr>
        <w:spacing w:after="0" w:line="16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including an Affiliated SPAC.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such opportunity is one we are legally and contractually permitted to undertake and would otherwise be reasonable for us to pursue, and to the extent the director or officer is permitted to refer that opportunity to us without violating another legal obligation. Accordingly, if any of our officers or directors becomes aware of a business combination opportunity which is suitable for one or more entities to which he or she has fiduciary, contractual or other obligations or duties, including an Affiliated SPAC, he or she will honor these obligations and duties to present such business combination opportunity to such entities first, and only present it to us if such entities reject the opportunity and he or she determines to present the opportunity to us.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ind w:right="60" w:firstLine="324"/>
        <w:spacing w:after="0" w:line="286" w:lineRule="auto"/>
        <w:rPr>
          <w:sz w:val="20"/>
          <w:szCs w:val="20"/>
          <w:color w:val="auto"/>
        </w:rPr>
      </w:pPr>
      <w:r>
        <w:rPr>
          <w:rFonts w:ascii="Arial" w:cs="Arial" w:eastAsia="Arial" w:hAnsi="Arial"/>
          <w:sz w:val="17"/>
          <w:szCs w:val="17"/>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16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Combination Process</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evaluating prospective business combinations, we expect to conduct a thorough due diligence review process that will encompass, among other things, a review of historical and projected financial and operating data, meetings with management and their advisors (if applicable), on-site inspection of facilities and assets, discussion with customers and suppliers, legal reviews and other reviews as we deem appropriate. We will also utilize the expertise of our management team in analyzing companies and evaluating operating projections, financial projections and determining the appropriate return expectations given the risk profile of the target business.</w:t>
      </w:r>
    </w:p>
    <w:p>
      <w:pPr>
        <w:spacing w:after="0" w:line="188"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We are not prohibited from pursuing an initial business combination with a company that is affiliated with our sponsor, officers or directors. In the event we seek to complete our initial business combination with a company that is affiliated with our sponsor, officers or directors we, or a committee of independent directors, will obtain an opinion from an independent investment banking firm or another independent entity that commonly renders valuation opinions that our initial business combination is fair to our company from a financial point of view.</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Members of our management team may directly or indirectly own our founders shares, common stock and/or private placement warrants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were to be included by a target business as a condition to any agreement with respect to our initial business combination. We have not selected any specific business combination target and we have not, nor has anyone on our behalf, initiated any substantive discussions, directly or indirectly, with any business combination target.</w:t>
      </w:r>
    </w:p>
    <w:p>
      <w:pPr>
        <w:spacing w:after="0" w:line="17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Some of our officers and directors presently have, and any of them in the future may have additional, fiduciary or contractual obligations to other entities pursuant to which such officer or director is or will be required to present a business combination opportunity. Accordingly, if any of our officers or directors becomes aware of a business combination opportunity which is suitable for an entity to which he or she has then-current fiduciary or contractual obligations to present the opportunity to such entity, he or she will honor his or her fiduciary or contractual obligations to present such opportunity to such entity. We believe, however, that the fiduciary duties or contractual obligations of our officers or directors will not materially affect our ability to complete our initial business combination, as we believe any such opportunities presented would be smaller than what we are interested in, in different fields than what we would be interested in, and that our obligations are to entities that are not themselves in the business of engaging in business combinations.</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and to the extent the director or officer is permitted to refer that opportunity to us without violating another legal obligation.</w:t>
      </w:r>
    </w:p>
    <w:p>
      <w:pPr>
        <w:spacing w:after="0" w:line="18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Corporate Information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Our executive offices are located at 1300 Pennsylvania Ave NW, Suite 700, Washington, DC 20004 and our telephone number is </w:t>
      </w:r>
      <w:r>
        <w:rPr>
          <w:rFonts w:ascii="Arial" w:cs="Arial" w:eastAsia="Arial" w:hAnsi="Arial"/>
          <w:sz w:val="16"/>
          <w:szCs w:val="16"/>
          <w:b w:val="1"/>
          <w:bCs w:val="1"/>
          <w:color w:val="auto"/>
        </w:rPr>
        <w:t>(</w:t>
      </w:r>
      <w:r>
        <w:rPr>
          <w:rFonts w:ascii="Arial" w:cs="Arial" w:eastAsia="Arial" w:hAnsi="Arial"/>
          <w:sz w:val="16"/>
          <w:szCs w:val="16"/>
          <w:color w:val="auto"/>
        </w:rPr>
        <w:t>202) 600-5757.</w:t>
      </w:r>
    </w:p>
    <w:p>
      <w:pPr>
        <w:spacing w:after="0" w:line="25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ind w:right="80" w:firstLine="324"/>
        <w:spacing w:after="0" w:line="284" w:lineRule="auto"/>
        <w:rPr>
          <w:sz w:val="20"/>
          <w:szCs w:val="20"/>
          <w:color w:val="auto"/>
        </w:rPr>
      </w:pPr>
      <w:r>
        <w:rPr>
          <w:rFonts w:ascii="Arial" w:cs="Arial" w:eastAsia="Arial" w:hAnsi="Arial"/>
          <w:sz w:val="16"/>
          <w:szCs w:val="16"/>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common stock that is held by non-affiliates exceeds $700 million as of the prior June 30, and (2) the date on which we have issued more than $1.0 billion in non-convertible debt securities during the prior three-year period. References herein to emerging growth company will have the meaning associated with it in the JOBS Act. 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w:t>
      </w:r>
    </w:p>
    <w:p>
      <w:pPr>
        <w:spacing w:after="0" w:line="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our common stock held by non-affiliates exceeds $250 million as of the end of the prior June 30</w:t>
      </w:r>
      <w:r>
        <w:rPr>
          <w:rFonts w:ascii="Arial" w:cs="Arial" w:eastAsia="Arial" w:hAnsi="Arial"/>
          <w:sz w:val="28"/>
          <w:szCs w:val="28"/>
          <w:color w:val="auto"/>
          <w:vertAlign w:val="superscript"/>
        </w:rPr>
        <w:t>th</w:t>
      </w:r>
      <w:r>
        <w:rPr>
          <w:rFonts w:ascii="Arial" w:cs="Arial" w:eastAsia="Arial" w:hAnsi="Arial"/>
          <w:sz w:val="17"/>
          <w:szCs w:val="17"/>
          <w:color w:val="auto"/>
        </w:rPr>
        <w:t>, or (2) our annual revenues exceeded $100 million during such completed fiscal year and the market value of our common stock held by non-affiliates exceeds $700 million as of the prior June 30</w:t>
      </w:r>
      <w:r>
        <w:rPr>
          <w:rFonts w:ascii="Arial" w:cs="Arial" w:eastAsia="Arial" w:hAnsi="Arial"/>
          <w:sz w:val="28"/>
          <w:szCs w:val="28"/>
          <w:color w:val="auto"/>
          <w:vertAlign w:val="superscript"/>
        </w:rPr>
        <w:t>th</w:t>
      </w:r>
      <w:r>
        <w:rPr>
          <w:rFonts w:ascii="Arial" w:cs="Arial" w:eastAsia="Arial" w:hAnsi="Arial"/>
          <w:sz w:val="17"/>
          <w:szCs w:val="17"/>
          <w:color w:val="auto"/>
        </w:rPr>
        <w:t>.</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i w:val="1"/>
          <w:iCs w:val="1"/>
          <w:color w:val="auto"/>
        </w:rPr>
        <w:t>In deciding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of this prospectus entitled “Risk Factors.”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Securities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Proposed Nasdaq symbols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80" w:right="1180" w:hanging="161"/>
        <w:spacing w:after="0" w:line="277" w:lineRule="auto"/>
        <w:rPr>
          <w:sz w:val="20"/>
          <w:szCs w:val="20"/>
          <w:color w:val="auto"/>
        </w:rPr>
      </w:pPr>
      <w:r>
        <w:rPr>
          <w:rFonts w:ascii="Arial" w:cs="Arial" w:eastAsia="Arial" w:hAnsi="Arial"/>
          <w:sz w:val="18"/>
          <w:szCs w:val="18"/>
          <w:color w:val="auto"/>
        </w:rPr>
        <w:t>Trading commencement and separation of Class A common stock and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80" w:right="1900" w:hanging="161"/>
        <w:spacing w:after="0" w:line="259" w:lineRule="auto"/>
        <w:rPr>
          <w:sz w:val="20"/>
          <w:szCs w:val="20"/>
          <w:color w:val="auto"/>
        </w:rPr>
      </w:pPr>
      <w:r>
        <w:rPr>
          <w:rFonts w:ascii="Arial" w:cs="Arial" w:eastAsia="Arial" w:hAnsi="Arial"/>
          <w:sz w:val="18"/>
          <w:szCs w:val="18"/>
          <w:color w:val="auto"/>
        </w:rPr>
        <w:t>Separate trading of the Class A common stock and warrants is prohibited until we have filed a Current Report on Form 8-K</w:t>
      </w:r>
    </w:p>
    <w:p>
      <w:pPr>
        <w:spacing w:after="0" w:line="20" w:lineRule="exact"/>
        <w:rPr>
          <w:sz w:val="20"/>
          <w:szCs w:val="20"/>
          <w:color w:val="auto"/>
        </w:rPr>
      </w:pPr>
      <w:r>
        <w:rPr>
          <w:sz w:val="20"/>
          <w:szCs w:val="20"/>
          <w:color w:val="auto"/>
        </w:rPr>
        <w:br w:type="column"/>
      </w:r>
    </w:p>
    <w:p>
      <w:pPr>
        <w:ind w:left="80" w:right="380"/>
        <w:spacing w:after="0" w:line="342" w:lineRule="auto"/>
        <w:rPr>
          <w:sz w:val="20"/>
          <w:szCs w:val="20"/>
          <w:color w:val="auto"/>
        </w:rPr>
      </w:pPr>
      <w:r>
        <w:rPr>
          <w:rFonts w:ascii="Arial" w:cs="Arial" w:eastAsia="Arial" w:hAnsi="Arial"/>
          <w:sz w:val="16"/>
          <w:szCs w:val="16"/>
          <w:color w:val="auto"/>
        </w:rPr>
        <w:t>25,000,000 units (or 28,750,000 units if the underwriters’ over-allotment option is exercised in full), at $10.00 per unit, each unit consisting of:</w:t>
      </w:r>
    </w:p>
    <w:p>
      <w:pPr>
        <w:spacing w:after="0" w:line="124" w:lineRule="exact"/>
        <w:rPr>
          <w:sz w:val="20"/>
          <w:szCs w:val="20"/>
          <w:color w:val="auto"/>
        </w:rPr>
      </w:pPr>
    </w:p>
    <w:p>
      <w:pPr>
        <w:ind w:left="600" w:hanging="19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one share of Class A common stock; and</w:t>
      </w:r>
    </w:p>
    <w:p>
      <w:pPr>
        <w:spacing w:after="0" w:line="225" w:lineRule="exact"/>
        <w:rPr>
          <w:rFonts w:ascii="Arial" w:cs="Arial" w:eastAsia="Arial" w:hAnsi="Arial"/>
          <w:sz w:val="18"/>
          <w:szCs w:val="18"/>
          <w:color w:val="auto"/>
        </w:rPr>
      </w:pPr>
    </w:p>
    <w:p>
      <w:pPr>
        <w:ind w:left="660" w:hanging="2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one redeemable warrant.</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Units: “BRKHU”</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Class A common stock: “BRKH”</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Warrants: “BRKHW”</w:t>
      </w:r>
    </w:p>
    <w:p>
      <w:pPr>
        <w:spacing w:after="0" w:line="225" w:lineRule="exact"/>
        <w:rPr>
          <w:sz w:val="20"/>
          <w:szCs w:val="20"/>
          <w:color w:val="auto"/>
        </w:rPr>
      </w:pPr>
    </w:p>
    <w:p>
      <w:pPr>
        <w:ind w:left="80" w:right="100"/>
        <w:spacing w:after="0" w:line="291" w:lineRule="auto"/>
        <w:rPr>
          <w:sz w:val="20"/>
          <w:szCs w:val="20"/>
          <w:color w:val="auto"/>
        </w:rPr>
      </w:pPr>
      <w:r>
        <w:rPr>
          <w:rFonts w:ascii="Arial" w:cs="Arial" w:eastAsia="Arial" w:hAnsi="Arial"/>
          <w:sz w:val="16"/>
          <w:szCs w:val="16"/>
          <w:color w:val="auto"/>
        </w:rPr>
        <w:t>The units will begin trading on or promptly after the date of this prospectus. We expect the Class A common stock and warrants comprising the units will</w:t>
      </w:r>
    </w:p>
    <w:p>
      <w:pPr>
        <w:ind w:left="80" w:right="20"/>
        <w:spacing w:after="0" w:line="256" w:lineRule="auto"/>
        <w:rPr>
          <w:sz w:val="20"/>
          <w:szCs w:val="20"/>
          <w:color w:val="auto"/>
        </w:rPr>
      </w:pPr>
      <w:r>
        <w:rPr>
          <w:rFonts w:ascii="Arial" w:cs="Arial" w:eastAsia="Arial" w:hAnsi="Arial"/>
          <w:sz w:val="17"/>
          <w:szCs w:val="17"/>
          <w:color w:val="auto"/>
        </w:rPr>
        <w:t>begin separate trading on the 52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day following the date of this prospectus unless the representative informs us of its decision to allow earlier separate trading, subject to our having filed the Current Report on Form 8-K described below and having issued a press release announcing when such separate trading will begin. Once the shares of Class A common stock and warrants commence separate trading, holders will have the option to continue to hold units or separate their units into the component securities. Holders will need to have their brokers contact our transfer agent in order to separate the units into shares of Class A common stock and warrants. No fractional warrants will be issued upon separation of the units and only whole warrants will trade.</w:t>
      </w:r>
    </w:p>
    <w:p>
      <w:pPr>
        <w:spacing w:after="0" w:line="190" w:lineRule="exact"/>
        <w:rPr>
          <w:sz w:val="20"/>
          <w:szCs w:val="20"/>
          <w:color w:val="auto"/>
        </w:rPr>
      </w:pPr>
    </w:p>
    <w:p>
      <w:pPr>
        <w:ind w:left="80"/>
        <w:spacing w:after="0" w:line="269" w:lineRule="auto"/>
        <w:rPr>
          <w:sz w:val="20"/>
          <w:szCs w:val="20"/>
          <w:color w:val="auto"/>
        </w:rPr>
      </w:pPr>
      <w:r>
        <w:rPr>
          <w:rFonts w:ascii="Arial" w:cs="Arial" w:eastAsia="Arial" w:hAnsi="Arial"/>
          <w:sz w:val="17"/>
          <w:szCs w:val="17"/>
          <w:color w:val="auto"/>
        </w:rPr>
        <w:t>In no event will the Class A common stock and warrants be traded separately until we have filed a Current Report on Form 8-K with the SEC containing an audited balance sheet reflecting our receipt of the gross proceeds at the closing of this offering. We will file the Current Report on Form 8-K promptly after the closing of this offering, which is anticipated to take place three business days from the date of this prospectus.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4820" w:space="720"/>
            <w:col w:w="5700"/>
          </w:cols>
          <w:pgMar w:left="320" w:top="90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Units:</w:t>
      </w:r>
    </w:p>
    <w:p>
      <w:pPr>
        <w:spacing w:after="0" w:line="229" w:lineRule="exact"/>
        <w:rPr>
          <w:sz w:val="20"/>
          <w:szCs w:val="20"/>
          <w:color w:val="auto"/>
        </w:rPr>
      </w:pPr>
    </w:p>
    <w:p>
      <w:pPr>
        <w:ind w:right="1340"/>
        <w:spacing w:after="0" w:line="277" w:lineRule="auto"/>
        <w:rPr>
          <w:sz w:val="20"/>
          <w:szCs w:val="20"/>
          <w:color w:val="auto"/>
        </w:rPr>
      </w:pPr>
      <w:r>
        <w:rPr>
          <w:rFonts w:ascii="Arial" w:cs="Arial" w:eastAsia="Arial" w:hAnsi="Arial"/>
          <w:sz w:val="18"/>
          <w:szCs w:val="18"/>
          <w:color w:val="auto"/>
        </w:rPr>
        <w:t>Number outstanding before this offering and the private placement</w:t>
      </w:r>
    </w:p>
    <w:p>
      <w:pPr>
        <w:spacing w:after="0" w:line="170" w:lineRule="exact"/>
        <w:rPr>
          <w:sz w:val="20"/>
          <w:szCs w:val="20"/>
          <w:color w:val="auto"/>
        </w:rPr>
      </w:pPr>
    </w:p>
    <w:p>
      <w:pPr>
        <w:ind w:right="1240"/>
        <w:spacing w:after="0" w:line="342" w:lineRule="auto"/>
        <w:rPr>
          <w:sz w:val="20"/>
          <w:szCs w:val="20"/>
          <w:color w:val="auto"/>
        </w:rPr>
      </w:pPr>
      <w:r>
        <w:rPr>
          <w:rFonts w:ascii="Arial" w:cs="Arial" w:eastAsia="Arial" w:hAnsi="Arial"/>
          <w:sz w:val="16"/>
          <w:szCs w:val="16"/>
          <w:color w:val="auto"/>
        </w:rPr>
        <w:t>Number or placement units to be sold in a private placement simultaneously with this offering</w:t>
      </w:r>
    </w:p>
    <w:p>
      <w:pPr>
        <w:spacing w:after="0" w:line="124"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Number outstanding after this offering and the private placement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1340"/>
        <w:spacing w:after="0" w:line="277" w:lineRule="auto"/>
        <w:rPr>
          <w:sz w:val="20"/>
          <w:szCs w:val="20"/>
          <w:color w:val="auto"/>
        </w:rPr>
      </w:pPr>
      <w:r>
        <w:rPr>
          <w:rFonts w:ascii="Arial" w:cs="Arial" w:eastAsia="Arial" w:hAnsi="Arial"/>
          <w:sz w:val="18"/>
          <w:szCs w:val="18"/>
          <w:color w:val="auto"/>
        </w:rPr>
        <w:t>Number outstanding before this offering and the private placement</w:t>
      </w:r>
    </w:p>
    <w:p>
      <w:pPr>
        <w:spacing w:after="0" w:line="170"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Number outstanding after this offering and the private placement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right="1340"/>
        <w:spacing w:after="0" w:line="277" w:lineRule="auto"/>
        <w:rPr>
          <w:sz w:val="20"/>
          <w:szCs w:val="20"/>
          <w:color w:val="auto"/>
        </w:rPr>
      </w:pPr>
      <w:r>
        <w:rPr>
          <w:rFonts w:ascii="Arial" w:cs="Arial" w:eastAsia="Arial" w:hAnsi="Arial"/>
          <w:sz w:val="18"/>
          <w:szCs w:val="18"/>
          <w:color w:val="auto"/>
        </w:rPr>
        <w:t>Number outstanding before this offering and the private placement</w:t>
      </w:r>
    </w:p>
    <w:p>
      <w:pPr>
        <w:spacing w:after="0" w:line="170" w:lineRule="exact"/>
        <w:rPr>
          <w:sz w:val="20"/>
          <w:szCs w:val="20"/>
          <w:color w:val="auto"/>
        </w:rPr>
      </w:pPr>
    </w:p>
    <w:p>
      <w:pPr>
        <w:ind w:right="1400"/>
        <w:spacing w:after="0" w:line="308" w:lineRule="auto"/>
        <w:rPr>
          <w:sz w:val="20"/>
          <w:szCs w:val="20"/>
          <w:color w:val="auto"/>
        </w:rPr>
      </w:pPr>
      <w:r>
        <w:rPr>
          <w:rFonts w:ascii="Arial" w:cs="Arial" w:eastAsia="Arial" w:hAnsi="Arial"/>
          <w:sz w:val="17"/>
          <w:szCs w:val="17"/>
          <w:color w:val="auto"/>
        </w:rPr>
        <w:t>Number of warrants to be outstanding after this offering and the private placement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Exercisability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0</w:t>
      </w:r>
    </w:p>
    <w:p>
      <w:pPr>
        <w:spacing w:after="0" w:line="200" w:lineRule="exact"/>
        <w:rPr>
          <w:sz w:val="20"/>
          <w:szCs w:val="20"/>
          <w:color w:val="auto"/>
        </w:rPr>
      </w:pPr>
    </w:p>
    <w:p>
      <w:pPr>
        <w:spacing w:after="0" w:line="24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804,500 </w:t>
      </w:r>
      <w:r>
        <w:rPr>
          <w:rFonts w:ascii="Arial" w:cs="Arial" w:eastAsia="Arial" w:hAnsi="Arial"/>
          <w:sz w:val="29"/>
          <w:szCs w:val="29"/>
          <w:color w:val="auto"/>
          <w:vertAlign w:val="superscript"/>
        </w:rPr>
        <w:t>(1)</w:t>
      </w:r>
    </w:p>
    <w:p>
      <w:pPr>
        <w:spacing w:after="0" w:line="3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25,804,500 </w:t>
      </w:r>
      <w:r>
        <w:rPr>
          <w:rFonts w:ascii="Arial" w:cs="Arial" w:eastAsia="Arial" w:hAnsi="Arial"/>
          <w:sz w:val="29"/>
          <w:szCs w:val="29"/>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8,250,000 shares of Class B common stock</w:t>
      </w:r>
      <w:r>
        <w:rPr>
          <w:rFonts w:ascii="Arial" w:cs="Arial" w:eastAsia="Arial" w:hAnsi="Arial"/>
          <w:sz w:val="29"/>
          <w:szCs w:val="29"/>
          <w:color w:val="auto"/>
          <w:vertAlign w:val="superscript"/>
        </w:rPr>
        <w:t>(2)</w:t>
      </w:r>
    </w:p>
    <w:p>
      <w:pPr>
        <w:spacing w:after="0" w:line="3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34,429,500 shares of Class A common stock and Class B common</w:t>
      </w:r>
    </w:p>
    <w:p>
      <w:pPr>
        <w:ind w:left="180"/>
        <w:spacing w:after="0" w:line="182" w:lineRule="auto"/>
        <w:rPr>
          <w:sz w:val="20"/>
          <w:szCs w:val="20"/>
          <w:color w:val="auto"/>
        </w:rPr>
      </w:pPr>
      <w:r>
        <w:rPr>
          <w:rFonts w:ascii="Arial" w:cs="Arial" w:eastAsia="Arial" w:hAnsi="Arial"/>
          <w:sz w:val="32"/>
          <w:szCs w:val="32"/>
          <w:color w:val="auto"/>
          <w:vertAlign w:val="subscript"/>
        </w:rPr>
        <w:t>stock</w:t>
      </w:r>
      <w:r>
        <w:rPr>
          <w:rFonts w:ascii="Arial" w:cs="Arial" w:eastAsia="Arial" w:hAnsi="Arial"/>
          <w:sz w:val="14"/>
          <w:szCs w:val="14"/>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0</w:t>
      </w:r>
    </w:p>
    <w:p>
      <w:pPr>
        <w:spacing w:after="0" w:line="200" w:lineRule="exact"/>
        <w:rPr>
          <w:sz w:val="20"/>
          <w:szCs w:val="20"/>
          <w:color w:val="auto"/>
        </w:rPr>
      </w:pPr>
    </w:p>
    <w:p>
      <w:pPr>
        <w:spacing w:after="0" w:line="24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25,804,500 </w:t>
      </w:r>
      <w:r>
        <w:rPr>
          <w:rFonts w:ascii="Arial" w:cs="Arial" w:eastAsia="Arial" w:hAnsi="Arial"/>
          <w:sz w:val="29"/>
          <w:szCs w:val="29"/>
          <w:color w:val="auto"/>
          <w:vertAlign w:val="superscript"/>
        </w:rPr>
        <w:t>(1)</w:t>
      </w:r>
    </w:p>
    <w:p>
      <w:pPr>
        <w:spacing w:after="0" w:line="311" w:lineRule="exact"/>
        <w:rPr>
          <w:sz w:val="20"/>
          <w:szCs w:val="20"/>
          <w:color w:val="auto"/>
        </w:rPr>
      </w:pPr>
    </w:p>
    <w:p>
      <w:pPr>
        <w:ind w:left="180"/>
        <w:spacing w:after="0" w:line="259" w:lineRule="auto"/>
        <w:rPr>
          <w:sz w:val="20"/>
          <w:szCs w:val="20"/>
          <w:color w:val="auto"/>
        </w:rPr>
      </w:pPr>
      <w:r>
        <w:rPr>
          <w:rFonts w:ascii="Arial" w:cs="Arial" w:eastAsia="Arial" w:hAnsi="Arial"/>
          <w:sz w:val="18"/>
          <w:szCs w:val="18"/>
          <w:color w:val="auto"/>
        </w:rPr>
        <w:t>Each warrant is exercisable to purchase one share of our Class A common stock, subject to adjustment as provided herein. No fractional warrants will be issued upon separation of the units and only whole warrants will trade and are exercisable.</w:t>
      </w:r>
    </w:p>
    <w:p>
      <w:pPr>
        <w:spacing w:after="0" w:line="187" w:lineRule="exact"/>
        <w:rPr>
          <w:sz w:val="20"/>
          <w:szCs w:val="20"/>
          <w:color w:val="auto"/>
        </w:rPr>
      </w:pPr>
    </w:p>
    <w:p>
      <w:pPr>
        <w:ind w:left="180" w:right="380"/>
        <w:spacing w:after="0" w:line="308" w:lineRule="auto"/>
        <w:rPr>
          <w:sz w:val="20"/>
          <w:szCs w:val="20"/>
          <w:color w:val="auto"/>
        </w:rPr>
      </w:pPr>
      <w:r>
        <w:rPr>
          <w:rFonts w:ascii="Arial" w:cs="Arial" w:eastAsia="Arial" w:hAnsi="Arial"/>
          <w:sz w:val="17"/>
          <w:szCs w:val="17"/>
          <w:color w:val="auto"/>
        </w:rPr>
        <w:t>We structured each unit to contain one redeemable warrant, with each warrant exercisable for one share of Class A common stock.</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4820" w:space="720"/>
            <w:col w:w="5580"/>
          </w:cols>
          <w:pgMar w:left="320" w:top="904" w:right="459" w:bottom="1440" w:gutter="0" w:footer="0" w:header="0"/>
        </w:sectPr>
      </w:pPr>
    </w:p>
    <w:bookmarkStart w:id="21" w:name="page22"/>
    <w:bookmarkEnd w:id="21"/>
    <w:p>
      <w:pPr>
        <w:ind w:left="520" w:hanging="512"/>
        <w:spacing w:after="0" w:line="293" w:lineRule="auto"/>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Assumes no exercise of the underwriters’ over-allotment option and the forfeiture by our initial stockholders of 1,237,500 founder shares. Our sponsor has agreed to purchase an aggregate of 804,500 placement units (or 898,250 placement units if the over-allotment option is exercised in full) for an aggregate purchase price of $8,045,000 ($8,982,500 if the over-allotment option is exercised in full). Each placement unit will be identical to the units sold in this offering, except as described in this prospectus. The placement units are not subject to forfeiture but will be subject to transfer restrictions as described in “Principal Stockholders — Transfers of Founder Shares and Placement Units (including securities contained therein)”. Total number of warrants is comprised of 25,000,000 warrants underlying units to be sold in this offering and 804,500 placement warrants.</w:t>
      </w:r>
    </w:p>
    <w:p>
      <w:pPr>
        <w:spacing w:after="0" w:line="164" w:lineRule="exact"/>
        <w:rPr>
          <w:rFonts w:ascii="Arial" w:cs="Arial" w:eastAsia="Arial" w:hAnsi="Arial"/>
          <w:sz w:val="16"/>
          <w:szCs w:val="16"/>
          <w:color w:val="auto"/>
        </w:rPr>
      </w:pPr>
    </w:p>
    <w:p>
      <w:pPr>
        <w:ind w:left="520" w:right="220" w:hanging="512"/>
        <w:spacing w:after="0" w:line="277"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9,487,500 founders’ shares. The 9,487,500 founders’ shares, include an aggregate of up to 1,237,500 founders’ shares that are subject to forfeiture by our initial stockholders assuming the underwriters’ over-allotment option is not exercised.</w:t>
      </w:r>
    </w:p>
    <w:p>
      <w:pPr>
        <w:spacing w:after="0" w:line="170" w:lineRule="exact"/>
        <w:rPr>
          <w:rFonts w:ascii="Arial" w:cs="Arial" w:eastAsia="Arial" w:hAnsi="Arial"/>
          <w:sz w:val="18"/>
          <w:szCs w:val="18"/>
          <w:color w:val="auto"/>
        </w:rPr>
      </w:pPr>
    </w:p>
    <w:p>
      <w:pPr>
        <w:ind w:left="520" w:right="280" w:hanging="512"/>
        <w:spacing w:after="0" w:line="301" w:lineRule="auto"/>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Comprised of 25,804,500 shares of Class A common stock (including 804,500 placement shares) and 8,250,000 shares of Class B common stock founder shares plus 375,000 shares of Class A common stock which we have agreed to issue to the representative or its designees, upon consummation of this offering. The shares of Class B common stock are convertible into shares of our Class A common stock on a one-for-one basis, subject to adjustment as described below adjacent to the caption “Founder shares conversion and anti-dilution rights.”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Exercise price</w:t>
            </w:r>
          </w:p>
        </w:tc>
        <w:tc>
          <w:tcPr>
            <w:tcW w:w="8480" w:type="dxa"/>
            <w:vAlign w:val="bottom"/>
          </w:tcPr>
          <w:p>
            <w:pPr>
              <w:ind w:left="1640"/>
              <w:spacing w:after="0"/>
              <w:rPr>
                <w:sz w:val="20"/>
                <w:szCs w:val="20"/>
                <w:color w:val="auto"/>
              </w:rPr>
            </w:pPr>
            <w:r>
              <w:rPr>
                <w:rFonts w:ascii="Arial" w:cs="Arial" w:eastAsia="Arial" w:hAnsi="Arial"/>
                <w:sz w:val="18"/>
                <w:szCs w:val="18"/>
                <w:color w:val="auto"/>
                <w:w w:val="98"/>
              </w:rPr>
              <w:t>$11.50 per share, subject to adjustment as described herein. In addition, if (x) we issue</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8"/>
              </w:rPr>
              <w:t>additional shares of Class A common stock or equity-linked securities for capital raising</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1"/>
              </w:rPr>
              <w:t>purposes in connection with the closing of our initial business combination at an issue price or</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3"/>
              </w:rPr>
              <w:t>effective issue price of less than $9.20 per share of Class A common stock (with such issue</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4"/>
              </w:rPr>
              <w:t>price or effective issue price to be determined in good faith by our board of directors and, in</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3"/>
              </w:rPr>
              <w:t>the case of any such issuance to our sponsor or its affiliates, without taking into account any</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89"/>
              </w:rPr>
              <w:t>founder shares held by our sponsor or such affiliates, as applicable, prior to such issuance) (the</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1"/>
              </w:rPr>
              <w:t>“Newly Issued Price”), (y) the aggregate gross proceeds from such issuances represent more</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4"/>
              </w:rPr>
              <w:t>than 60% of the total equity proceeds, and interest thereon, available for the funding of our</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rPr>
              <w:t>initial business combination on the date of the consummation of our initial business</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4"/>
              </w:rPr>
              <w:t>combination (net of redemptions), and (z) the volume weighted average trading price of our</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1"/>
              </w:rPr>
              <w:t>Class A common stock during the 20 trading day period starting on the trading day prior to the</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8"/>
              </w:rPr>
              <w:t>day on which we consummate our initial business combination (such price, the “Market</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3"/>
              </w:rPr>
              <w:t>Value”) is below $9.20 per share, then the exercise price of the warrants will be adjusted (to</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0"/>
              </w:rPr>
              <w:t>the nearest cent) to be equal to 115% of the greater of the Market Value and the Newly Issued</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1"/>
              </w:rPr>
              <w:t>Price, and the $18.00 per share redemption trigger price described below under “Redemption</w:t>
            </w:r>
          </w:p>
        </w:tc>
      </w:tr>
      <w:tr>
        <w:trPr>
          <w:trHeight w:val="216"/>
        </w:trPr>
        <w:tc>
          <w:tcPr>
            <w:tcW w:w="2760" w:type="dxa"/>
            <w:vAlign w:val="bottom"/>
          </w:tcPr>
          <w:p>
            <w:pPr>
              <w:spacing w:after="0"/>
              <w:rPr>
                <w:sz w:val="18"/>
                <w:szCs w:val="18"/>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w w:val="95"/>
              </w:rPr>
              <w:t>of warrants” will be adjusted (to the nearest cent) to be equal to 180% of the greater of the</w:t>
            </w:r>
          </w:p>
        </w:tc>
      </w:tr>
      <w:tr>
        <w:trPr>
          <w:trHeight w:val="230"/>
        </w:trPr>
        <w:tc>
          <w:tcPr>
            <w:tcW w:w="2760" w:type="dxa"/>
            <w:vAlign w:val="bottom"/>
          </w:tcPr>
          <w:p>
            <w:pPr>
              <w:spacing w:after="0"/>
              <w:rPr>
                <w:sz w:val="20"/>
                <w:szCs w:val="20"/>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rPr>
              <w:t>Market Value and the Newly Issued Price.</w:t>
            </w: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Exercise period</w:t>
            </w:r>
          </w:p>
        </w:tc>
        <w:tc>
          <w:tcPr>
            <w:tcW w:w="8480" w:type="dxa"/>
            <w:vAlign w:val="bottom"/>
          </w:tcPr>
          <w:p>
            <w:pPr>
              <w:ind w:left="1640"/>
              <w:spacing w:after="0"/>
              <w:rPr>
                <w:sz w:val="20"/>
                <w:szCs w:val="20"/>
                <w:color w:val="auto"/>
              </w:rPr>
            </w:pPr>
            <w:r>
              <w:rPr>
                <w:rFonts w:ascii="Arial" w:cs="Arial" w:eastAsia="Arial" w:hAnsi="Arial"/>
                <w:sz w:val="18"/>
                <w:szCs w:val="18"/>
                <w:color w:val="auto"/>
                <w:w w:val="92"/>
              </w:rPr>
              <w:t>The warrants will become exercisable the later of (i) 30 days after the completion of our initial</w:t>
            </w:r>
          </w:p>
        </w:tc>
      </w:tr>
      <w:tr>
        <w:trPr>
          <w:trHeight w:val="230"/>
        </w:trPr>
        <w:tc>
          <w:tcPr>
            <w:tcW w:w="2760" w:type="dxa"/>
            <w:vAlign w:val="bottom"/>
          </w:tcPr>
          <w:p>
            <w:pPr>
              <w:spacing w:after="0"/>
              <w:rPr>
                <w:sz w:val="20"/>
                <w:szCs w:val="20"/>
                <w:color w:val="auto"/>
              </w:rPr>
            </w:pPr>
          </w:p>
        </w:tc>
        <w:tc>
          <w:tcPr>
            <w:tcW w:w="8480" w:type="dxa"/>
            <w:vAlign w:val="bottom"/>
          </w:tcPr>
          <w:p>
            <w:pPr>
              <w:ind w:left="1640"/>
              <w:spacing w:after="0"/>
              <w:rPr>
                <w:sz w:val="20"/>
                <w:szCs w:val="20"/>
                <w:color w:val="auto"/>
              </w:rPr>
            </w:pPr>
            <w:r>
              <w:rPr>
                <w:rFonts w:ascii="Arial" w:cs="Arial" w:eastAsia="Arial" w:hAnsi="Arial"/>
                <w:sz w:val="18"/>
                <w:szCs w:val="18"/>
                <w:color w:val="auto"/>
              </w:rPr>
              <w:t>business combination or (ii) 12 months from the closing of this public offering.</w:t>
            </w:r>
          </w:p>
        </w:tc>
      </w:tr>
      <w:tr>
        <w:trPr>
          <w:trHeight w:val="648"/>
        </w:trPr>
        <w:tc>
          <w:tcPr>
            <w:tcW w:w="276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ind w:left="278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240"/>
          </w:cols>
          <w:pgMar w:left="320" w:top="908" w:right="339" w:bottom="1440" w:gutter="0" w:footer="0" w:header="0"/>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hanging="161"/>
        <w:spacing w:after="0" w:line="342" w:lineRule="auto"/>
        <w:rPr>
          <w:sz w:val="20"/>
          <w:szCs w:val="20"/>
          <w:color w:val="auto"/>
        </w:rPr>
      </w:pPr>
      <w:r>
        <w:rPr>
          <w:rFonts w:ascii="Arial" w:cs="Arial" w:eastAsia="Arial" w:hAnsi="Arial"/>
          <w:sz w:val="16"/>
          <w:szCs w:val="16"/>
          <w:color w:val="auto"/>
        </w:rPr>
        <w:t>Redemption of Warrants when the price per share of our Class A common stock equals or exceeds $18.00</w:t>
      </w:r>
    </w:p>
    <w:p>
      <w:pPr>
        <w:spacing w:after="0" w:line="20" w:lineRule="exact"/>
        <w:rPr>
          <w:sz w:val="20"/>
          <w:szCs w:val="20"/>
          <w:color w:val="auto"/>
        </w:rPr>
      </w:pPr>
      <w:r>
        <w:rPr>
          <w:sz w:val="20"/>
          <w:szCs w:val="20"/>
          <w:color w:val="auto"/>
        </w:rPr>
        <w:br w:type="column"/>
      </w:r>
    </w:p>
    <w:p>
      <w:pPr>
        <w:spacing w:after="0" w:line="285" w:lineRule="auto"/>
        <w:rPr>
          <w:sz w:val="20"/>
          <w:szCs w:val="20"/>
          <w:color w:val="auto"/>
        </w:rPr>
      </w:pPr>
      <w:r>
        <w:rPr>
          <w:rFonts w:ascii="Arial" w:cs="Arial" w:eastAsia="Arial" w:hAnsi="Arial"/>
          <w:sz w:val="16"/>
          <w:szCs w:val="16"/>
          <w:color w:val="auto"/>
        </w:rPr>
        <w:t>We are not registering the shares of Class A common stock issuable upon exercise of the warrants at this time. However, we have agreed that as soon as practicable after the closing of our initial business combination, we will use our best efforts to file with the SEC a registration statement covering the issuance of the shares of Class A common stock issuable upon exercise of the warrants, to cause such registration statement to become effective within 60 business days following our initial business combination and to maintain a current prospectus relating to those shares of Class A common stock until the warrants expire or are redeemed. No warrants will be exercisable for cash unless we have an effective and current registration statement covering the shares of Class A common stock issuable upon exercise of the warrants and a current prospectus relating to such shares of Class A common stock. Notwithstanding the foregoing, if a registration statement covering the shares of Class A common stock issuable upon exercise of the warrants is not effective within the specified period following the consummation of our initial business combination, warrant holders may, until such time as there is an effective registration statement and during any period when we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warrants will expire at 5:00 p.m., New York City time, five years after the completion of our initial business combination or earlier upon redemption or liquidation. On the exercise of any warrant, the warrant exercise price will be paid directly to us and not placed in the trust account.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may redeem the outstanding warrants:</w:t>
      </w:r>
    </w:p>
    <w:p>
      <w:pPr>
        <w:spacing w:after="0" w:line="225" w:lineRule="exact"/>
        <w:rPr>
          <w:sz w:val="20"/>
          <w:szCs w:val="20"/>
          <w:color w:val="auto"/>
        </w:rPr>
      </w:pPr>
    </w:p>
    <w:p>
      <w:pPr>
        <w:ind w:left="680" w:hanging="289"/>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3" w:lineRule="exact"/>
        <w:rPr>
          <w:rFonts w:ascii="Arial" w:cs="Arial" w:eastAsia="Arial" w:hAnsi="Arial"/>
          <w:sz w:val="18"/>
          <w:szCs w:val="18"/>
          <w:color w:val="auto"/>
        </w:rPr>
      </w:pPr>
    </w:p>
    <w:p>
      <w:pPr>
        <w:ind w:left="680" w:hanging="289"/>
        <w:spacing w:after="0"/>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at a price of $0.01 per warrant at any time after the warrants become exercisable,</w:t>
      </w:r>
    </w:p>
    <w:p>
      <w:pPr>
        <w:spacing w:after="0" w:line="20" w:lineRule="exact"/>
        <w:rPr>
          <w:rFonts w:ascii="Arial" w:cs="Arial" w:eastAsia="Arial" w:hAnsi="Arial"/>
          <w:sz w:val="17"/>
          <w:szCs w:val="17"/>
          <w:color w:val="auto"/>
        </w:rPr>
      </w:pPr>
    </w:p>
    <w:p>
      <w:pPr>
        <w:ind w:left="680" w:right="440" w:hanging="289"/>
        <w:spacing w:after="0" w:line="250"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to each warrant holder,</w:t>
      </w:r>
    </w:p>
    <w:p>
      <w:pPr>
        <w:ind w:left="680" w:right="40" w:hanging="289"/>
        <w:spacing w:after="0" w:line="265" w:lineRule="auto"/>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and only if, the last sales price of our shares of Class A common stock equals or exceeds $18.00 per share (as adjusted for stock splits, stock dividends, reorganizations and recapitalizations) for any 20 trading days within a 30 trading day period commencing at any time after the warrants become exercisable and ending three business days before we send the notice of redemption; and</w:t>
      </w:r>
    </w:p>
    <w:p>
      <w:pPr>
        <w:ind w:left="680" w:right="300" w:hanging="289"/>
        <w:spacing w:after="0" w:line="290" w:lineRule="auto"/>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and only if, there is a current registration statement in effect with respect to the shares of Class A common stock underlying such warrants.</w:t>
      </w:r>
    </w:p>
    <w:p>
      <w:pPr>
        <w:spacing w:after="0" w:line="16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If the foregoing conditions are satisfied and we issue a notice of redemption, each warrant holder can exercise his, her or its warrant prior to the scheduled redemption date. However, the price of the shares of Class A common stock may fall below the $18.00 trigger price as well as the $11.50 warrant exercise price after the redemption notice is issued.</w:t>
      </w:r>
    </w:p>
    <w:p>
      <w:pPr>
        <w:spacing w:after="0" w:line="15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shall mean the average reported last sale price of the shares of Class A common stock for the five trading days ending on the third trading day prior to the date on which the notice of redemption is sent to the holders of warrants.</w:t>
      </w:r>
    </w:p>
    <w:p>
      <w:pPr>
        <w:spacing w:after="0" w:line="185"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Please see the section of this prospectus entitled “Description of Securities — Redeemable Warrants — Public Stockholders’ Warrants” for additional information.</w:t>
      </w:r>
    </w:p>
    <w:p>
      <w:pPr>
        <w:spacing w:after="0" w:line="36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3880" w:space="340"/>
            <w:col w:w="6840"/>
          </w:cols>
          <w:pgMar w:left="500" w:top="908"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Founder shares</w:t>
            </w:r>
          </w:p>
        </w:tc>
        <w:tc>
          <w:tcPr>
            <w:tcW w:w="8500" w:type="dxa"/>
            <w:vAlign w:val="bottom"/>
          </w:tcPr>
          <w:p>
            <w:pPr>
              <w:ind w:left="1660"/>
              <w:spacing w:after="0"/>
              <w:rPr>
                <w:sz w:val="20"/>
                <w:szCs w:val="20"/>
                <w:color w:val="auto"/>
              </w:rPr>
            </w:pPr>
            <w:r>
              <w:rPr>
                <w:rFonts w:ascii="Arial" w:cs="Arial" w:eastAsia="Arial" w:hAnsi="Arial"/>
                <w:sz w:val="18"/>
                <w:szCs w:val="18"/>
                <w:color w:val="auto"/>
                <w:w w:val="89"/>
              </w:rPr>
              <w:t>On May 21, 2021, our sponsor purchased 8,625,000 founder shares for an aggregate purchase</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4"/>
              </w:rPr>
              <w:t>price of $25,000. On September 24, 2021, the Company issued 862,500 shares of Class B</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6"/>
              </w:rPr>
              <w:t>common stock in connection with a 1.1 stock split, resulting in an aggregate of 9,487,500</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1"/>
              </w:rPr>
              <w:t>shares of Class B common stock outstanding, or approximately $0.003 per share. Prior to the</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6"/>
              </w:rPr>
              <w:t>initial investment in the company of $25,000 by our sponsor, the company had no assets,</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1"/>
              </w:rPr>
              <w:t>tangible or intangible. The per share purchase price of the founder shares was determined by</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2"/>
              </w:rPr>
              <w:t>dividing the amount of cash contributed to the company by the aggregate number of founder</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89"/>
              </w:rPr>
              <w:t>shares issued. The number of founder shares issued was determined based on the expectation</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3"/>
              </w:rPr>
              <w:t>that the founder shares would represent 24.81% of the outstanding shares after this offering</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8"/>
              </w:rPr>
              <w:t>(excluding the shares of Class A common stock to be issued to the representative or its</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2"/>
              </w:rPr>
              <w:t>designees upon consummation of this offering, the placement units and securities underlying</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9"/>
              </w:rPr>
              <w:t>the placement units and assuming the initial stockholders do not purchase units in this</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5"/>
              </w:rPr>
              <w:t>offering). As such, our initial stockholders will collectively own approximately 26.6% of our</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89"/>
              </w:rPr>
              <w:t>issued and outstanding shares after this offering (including the placement shares to be issued to</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4"/>
              </w:rPr>
              <w:t>the sponsor and assuming they do not purchase any units in this offering but excluding the</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6"/>
              </w:rPr>
              <w:t>shares of Class A common stock to be issued to the representative or its designees upon</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3"/>
              </w:rPr>
              <w:t>consummation of this offering). Neither our sponsor nor any of our officers or directors have</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2"/>
              </w:rPr>
              <w:t>expressed an intention to purchase any units in this offering. Up to 1,237,500 founder shares</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4"/>
              </w:rPr>
              <w:t>held by our initial stockholders will be subject to forfeiture depending on the extent to which</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rPr>
              <w:t>the underwriters’ over-allotment option is exercised so that our initial stockholders will</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6"/>
              </w:rPr>
              <w:t>maintain ownership of 24.81% of the outstanding shares after this offering (excluding the</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6"/>
              </w:rPr>
              <w:t>shares of Class A common stock to be issued to the representative or its designees upon</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4"/>
              </w:rPr>
              <w:t>consummation of this offering, the placement units and securities underlying the placement</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6"/>
              </w:rPr>
              <w:t>units and assuming the initial stockholders do not purchase units in this offering). We will</w:t>
            </w:r>
          </w:p>
        </w:tc>
      </w:tr>
      <w:tr>
        <w:trPr>
          <w:trHeight w:val="216"/>
        </w:trPr>
        <w:tc>
          <w:tcPr>
            <w:tcW w:w="2740" w:type="dxa"/>
            <w:vAlign w:val="bottom"/>
          </w:tcPr>
          <w:p>
            <w:pPr>
              <w:spacing w:after="0"/>
              <w:rPr>
                <w:sz w:val="18"/>
                <w:szCs w:val="18"/>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rPr>
              <w:t>effect a stock dividend or share contribution prior to this offering should the size of the</w:t>
            </w:r>
          </w:p>
        </w:tc>
      </w:tr>
      <w:tr>
        <w:trPr>
          <w:trHeight w:val="230"/>
        </w:trPr>
        <w:tc>
          <w:tcPr>
            <w:tcW w:w="2740" w:type="dxa"/>
            <w:vAlign w:val="bottom"/>
          </w:tcPr>
          <w:p>
            <w:pPr>
              <w:spacing w:after="0"/>
              <w:rPr>
                <w:sz w:val="20"/>
                <w:szCs w:val="20"/>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rPr>
              <w:t>offering change, in order to maintain such ownership percentage.</w:t>
            </w:r>
          </w:p>
        </w:tc>
      </w:tr>
      <w:tr>
        <w:trPr>
          <w:trHeight w:val="418"/>
        </w:trPr>
        <w:tc>
          <w:tcPr>
            <w:tcW w:w="2740" w:type="dxa"/>
            <w:vAlign w:val="bottom"/>
          </w:tcPr>
          <w:p>
            <w:pPr>
              <w:spacing w:after="0"/>
              <w:rPr>
                <w:sz w:val="24"/>
                <w:szCs w:val="24"/>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w w:val="92"/>
              </w:rPr>
              <w:t>The founder shares are identical to the shares of Class A common stock included in the units</w:t>
            </w:r>
          </w:p>
        </w:tc>
      </w:tr>
      <w:tr>
        <w:trPr>
          <w:trHeight w:val="230"/>
        </w:trPr>
        <w:tc>
          <w:tcPr>
            <w:tcW w:w="2740" w:type="dxa"/>
            <w:vAlign w:val="bottom"/>
          </w:tcPr>
          <w:p>
            <w:pPr>
              <w:spacing w:after="0"/>
              <w:rPr>
                <w:sz w:val="20"/>
                <w:szCs w:val="20"/>
                <w:color w:val="auto"/>
              </w:rPr>
            </w:pPr>
          </w:p>
        </w:tc>
        <w:tc>
          <w:tcPr>
            <w:tcW w:w="8500" w:type="dxa"/>
            <w:vAlign w:val="bottom"/>
          </w:tcPr>
          <w:p>
            <w:pPr>
              <w:ind w:left="1660"/>
              <w:spacing w:after="0"/>
              <w:rPr>
                <w:sz w:val="20"/>
                <w:szCs w:val="20"/>
                <w:color w:val="auto"/>
              </w:rPr>
            </w:pPr>
            <w:r>
              <w:rPr>
                <w:rFonts w:ascii="Arial" w:cs="Arial" w:eastAsia="Arial" w:hAnsi="Arial"/>
                <w:sz w:val="18"/>
                <w:szCs w:val="18"/>
                <w:color w:val="auto"/>
              </w:rPr>
              <w:t>being sold in this offering, except that:</w:t>
            </w:r>
          </w:p>
        </w:tc>
      </w:tr>
      <w:tr>
        <w:trPr>
          <w:trHeight w:val="418"/>
        </w:trPr>
        <w:tc>
          <w:tcPr>
            <w:tcW w:w="2740" w:type="dxa"/>
            <w:vAlign w:val="bottom"/>
          </w:tcPr>
          <w:p>
            <w:pPr>
              <w:spacing w:after="0"/>
              <w:rPr>
                <w:sz w:val="24"/>
                <w:szCs w:val="24"/>
                <w:color w:val="auto"/>
              </w:rPr>
            </w:pPr>
          </w:p>
        </w:tc>
        <w:tc>
          <w:tcPr>
            <w:tcW w:w="8500" w:type="dxa"/>
            <w:vAlign w:val="bottom"/>
          </w:tcPr>
          <w:p>
            <w:pPr>
              <w:ind w:left="1800"/>
              <w:spacing w:after="0"/>
              <w:rPr>
                <w:sz w:val="20"/>
                <w:szCs w:val="20"/>
                <w:color w:val="auto"/>
              </w:rPr>
            </w:pPr>
            <w:r>
              <w:rPr>
                <w:rFonts w:ascii="Arial" w:cs="Arial" w:eastAsia="Arial" w:hAnsi="Arial"/>
                <w:sz w:val="18"/>
                <w:szCs w:val="18"/>
                <w:color w:val="auto"/>
                <w:w w:val="94"/>
              </w:rPr>
              <w:t>•  the founder shares are shares of Class B common stock that automatically convert into</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9"/>
              </w:rPr>
              <w:t>shares of our Class A common stock at the time of the consummation of our initial</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2"/>
              </w:rPr>
              <w:t>business combination, on a one-for-one basis, subject to adjustment pursuant to certain</w:t>
            </w:r>
          </w:p>
        </w:tc>
      </w:tr>
      <w:tr>
        <w:trPr>
          <w:trHeight w:val="230"/>
        </w:trPr>
        <w:tc>
          <w:tcPr>
            <w:tcW w:w="2740" w:type="dxa"/>
            <w:vAlign w:val="bottom"/>
          </w:tcPr>
          <w:p>
            <w:pPr>
              <w:spacing w:after="0"/>
              <w:rPr>
                <w:sz w:val="20"/>
                <w:szCs w:val="20"/>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rPr>
              <w:t>anti-dilution rights, as described herein;</w:t>
            </w:r>
          </w:p>
        </w:tc>
      </w:tr>
      <w:tr>
        <w:trPr>
          <w:trHeight w:val="418"/>
        </w:trPr>
        <w:tc>
          <w:tcPr>
            <w:tcW w:w="2740" w:type="dxa"/>
            <w:vAlign w:val="bottom"/>
          </w:tcPr>
          <w:p>
            <w:pPr>
              <w:spacing w:after="0"/>
              <w:rPr>
                <w:sz w:val="24"/>
                <w:szCs w:val="24"/>
                <w:color w:val="auto"/>
              </w:rPr>
            </w:pPr>
          </w:p>
        </w:tc>
        <w:tc>
          <w:tcPr>
            <w:tcW w:w="8500" w:type="dxa"/>
            <w:vAlign w:val="bottom"/>
          </w:tcPr>
          <w:p>
            <w:pPr>
              <w:ind w:left="1800"/>
              <w:spacing w:after="0"/>
              <w:rPr>
                <w:sz w:val="20"/>
                <w:szCs w:val="20"/>
                <w:color w:val="auto"/>
              </w:rPr>
            </w:pPr>
            <w:r>
              <w:rPr>
                <w:rFonts w:ascii="Arial" w:cs="Arial" w:eastAsia="Arial" w:hAnsi="Arial"/>
                <w:sz w:val="18"/>
                <w:szCs w:val="18"/>
                <w:color w:val="auto"/>
                <w:w w:val="92"/>
              </w:rPr>
              <w:t>•  the founder shares are subject to certain transfer restrictions, as described in more detail</w:t>
            </w:r>
          </w:p>
        </w:tc>
      </w:tr>
      <w:tr>
        <w:trPr>
          <w:trHeight w:val="230"/>
        </w:trPr>
        <w:tc>
          <w:tcPr>
            <w:tcW w:w="2740" w:type="dxa"/>
            <w:vAlign w:val="bottom"/>
          </w:tcPr>
          <w:p>
            <w:pPr>
              <w:spacing w:after="0"/>
              <w:rPr>
                <w:sz w:val="20"/>
                <w:szCs w:val="20"/>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rPr>
              <w:t>below;</w:t>
            </w:r>
          </w:p>
        </w:tc>
      </w:tr>
      <w:tr>
        <w:trPr>
          <w:trHeight w:val="418"/>
        </w:trPr>
        <w:tc>
          <w:tcPr>
            <w:tcW w:w="2740" w:type="dxa"/>
            <w:vAlign w:val="bottom"/>
          </w:tcPr>
          <w:p>
            <w:pPr>
              <w:spacing w:after="0"/>
              <w:rPr>
                <w:sz w:val="24"/>
                <w:szCs w:val="24"/>
                <w:color w:val="auto"/>
              </w:rPr>
            </w:pPr>
          </w:p>
        </w:tc>
        <w:tc>
          <w:tcPr>
            <w:tcW w:w="8500" w:type="dxa"/>
            <w:vAlign w:val="bottom"/>
          </w:tcPr>
          <w:p>
            <w:pPr>
              <w:ind w:left="1800"/>
              <w:spacing w:after="0"/>
              <w:rPr>
                <w:sz w:val="20"/>
                <w:szCs w:val="20"/>
                <w:color w:val="auto"/>
              </w:rPr>
            </w:pPr>
            <w:r>
              <w:rPr>
                <w:rFonts w:ascii="Arial" w:cs="Arial" w:eastAsia="Arial" w:hAnsi="Arial"/>
                <w:sz w:val="18"/>
                <w:szCs w:val="18"/>
                <w:color w:val="auto"/>
                <w:w w:val="92"/>
              </w:rPr>
              <w:t>•  our sponsor, officers and directors have entered into a letter agreement with us, pursuant</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1"/>
              </w:rPr>
              <w:t>to which they have agreed to (i) waive their redemption rights with respect to any founder</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rPr>
              <w:t>shares, placement shares and public shares held by them in connection with the</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7"/>
              </w:rPr>
              <w:t>completion of our initial business combination, (ii) waive their redemption rights with</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7"/>
              </w:rPr>
              <w:t>respect to any founder shares, placement shares and public shares held by them in</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89"/>
              </w:rPr>
              <w:t>connection with a stockholder vote to approve an amendment to our amended and restated</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8"/>
              </w:rPr>
              <w:t>certificate of incorporation (A) to modify the substance or timing of our obligation to</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rPr>
              <w:t>allow redemption in connection with our initial business combination or certain</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1"/>
              </w:rPr>
              <w:t>amendments to our charter prior thereto or to redeem 100% of our public shares if we do</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4"/>
              </w:rPr>
              <w:t>not complete our initial business combination within 15 months from the closing of this</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4"/>
              </w:rPr>
              <w:t>offering or (B) with respect to any other provision relating to stockholders’ rights or pre-</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3"/>
              </w:rPr>
              <w:t>initial business combination activity and (iii) waive their rights to liquidating distributions</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2"/>
              </w:rPr>
              <w:t>from the trust account with respect to any founder shares and placement shares held by</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6"/>
              </w:rPr>
              <w:t>them if we fail to complete our initial business combination within 15 months from the</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4"/>
              </w:rPr>
              <w:t>closing of this offering, although they will be entitled to liquidating distributions from the</w:t>
            </w:r>
          </w:p>
        </w:tc>
      </w:tr>
      <w:tr>
        <w:trPr>
          <w:trHeight w:val="216"/>
        </w:trPr>
        <w:tc>
          <w:tcPr>
            <w:tcW w:w="2740" w:type="dxa"/>
            <w:vAlign w:val="bottom"/>
          </w:tcPr>
          <w:p>
            <w:pPr>
              <w:spacing w:after="0"/>
              <w:rPr>
                <w:sz w:val="18"/>
                <w:szCs w:val="18"/>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w w:val="93"/>
              </w:rPr>
              <w:t>trust account with respect to any public shares they hold if we fail to complete our initial</w:t>
            </w:r>
          </w:p>
        </w:tc>
      </w:tr>
      <w:tr>
        <w:trPr>
          <w:trHeight w:val="230"/>
        </w:trPr>
        <w:tc>
          <w:tcPr>
            <w:tcW w:w="2740" w:type="dxa"/>
            <w:vAlign w:val="bottom"/>
          </w:tcPr>
          <w:p>
            <w:pPr>
              <w:spacing w:after="0"/>
              <w:rPr>
                <w:sz w:val="20"/>
                <w:szCs w:val="20"/>
                <w:color w:val="auto"/>
              </w:rPr>
            </w:pPr>
          </w:p>
        </w:tc>
        <w:tc>
          <w:tcPr>
            <w:tcW w:w="8500" w:type="dxa"/>
            <w:vAlign w:val="bottom"/>
          </w:tcPr>
          <w:p>
            <w:pPr>
              <w:ind w:left="2000"/>
              <w:spacing w:after="0"/>
              <w:rPr>
                <w:sz w:val="20"/>
                <w:szCs w:val="20"/>
                <w:color w:val="auto"/>
              </w:rPr>
            </w:pPr>
            <w:r>
              <w:rPr>
                <w:rFonts w:ascii="Arial" w:cs="Arial" w:eastAsia="Arial" w:hAnsi="Arial"/>
                <w:sz w:val="18"/>
                <w:szCs w:val="18"/>
                <w:color w:val="auto"/>
              </w:rPr>
              <w:t>business combination within the prescribed time frame;</w:t>
            </w:r>
          </w:p>
        </w:tc>
      </w:tr>
      <w:tr>
        <w:trPr>
          <w:trHeight w:val="648"/>
        </w:trPr>
        <w:tc>
          <w:tcPr>
            <w:tcW w:w="2740" w:type="dxa"/>
            <w:vAlign w:val="bottom"/>
            <w:tcBorders>
              <w:bottom w:val="single" w:sz="8" w:color="auto"/>
            </w:tcBorders>
          </w:tcPr>
          <w:p>
            <w:pPr>
              <w:spacing w:after="0"/>
              <w:rPr>
                <w:sz w:val="24"/>
                <w:szCs w:val="24"/>
                <w:color w:val="auto"/>
              </w:rPr>
            </w:pPr>
          </w:p>
        </w:tc>
        <w:tc>
          <w:tcPr>
            <w:tcW w:w="8500" w:type="dxa"/>
            <w:vAlign w:val="bottom"/>
            <w:tcBorders>
              <w:bottom w:val="single" w:sz="8" w:color="auto"/>
            </w:tcBorders>
          </w:tcPr>
          <w:p>
            <w:pPr>
              <w:ind w:left="2800"/>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1240"/>
          </w:cols>
          <w:pgMar w:left="320" w:top="908" w:right="339" w:bottom="1440" w:gutter="0" w:footer="0" w:header="0"/>
        </w:sectPr>
      </w:pPr>
    </w:p>
    <w:bookmarkStart w:id="24" w:name="page25"/>
    <w:bookmarkEnd w:id="24"/>
    <w:p>
      <w:pPr>
        <w:ind w:left="44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84" w:lineRule="auto"/>
        <w:rPr>
          <w:sz w:val="20"/>
          <w:szCs w:val="20"/>
          <w:color w:val="auto"/>
        </w:rPr>
      </w:pPr>
      <w:r>
        <w:rPr>
          <w:rFonts w:ascii="Arial" w:cs="Arial" w:eastAsia="Arial" w:hAnsi="Arial"/>
          <w:sz w:val="16"/>
          <w:szCs w:val="16"/>
          <w:color w:val="auto"/>
        </w:rPr>
        <w:t>pursuant to the letter agreement, our sponsor, officers and directors have agreed to vote any founder shares and placement shares held by them and any public shares they may acquire during or after this offering (including in open market and privately negotiated transactions) in favor of our initial business combination. If we submit our initial business combination to our public stockholders for a vote, we will complete our initial business combination only if a majority of the then outstanding shares of common stock present and entitled to vote at the meeting to approve the initial business combination are voted in favor of the initial business combination. As a result, in the event that only the minimum number of shares representing a quorum is present at a stockholders’ meeting held to vote on our initial business combination, in addition to our initial stockholders’ founder shares and placement shares, we would need no additional public shares sold in this offering to be voted in favor of an initial business combination in order to have our initial business combination approved (assuming the over-allotment option is not exercised, that the initial stockholders do not purchase any units in this offering or units or shares in the after-market and excluding the representative’s shares). In the event that all shares of our outstanding common stock are voted, we would need 8,160,251 or 32.64%, of the 25,000,000 public shares sold in this offering to be voted in favor of an initial business combination in order to have our initial business combination approved (assuming the over-allotment option is not exercised, that the initial stockholders do not purchase any units in this offering or units or shares in the after-market and excluding the representative’s shares); and</w:t>
      </w:r>
    </w:p>
    <w:p>
      <w:pPr>
        <w:spacing w:after="0" w:line="200" w:lineRule="exact"/>
        <w:rPr>
          <w:sz w:val="20"/>
          <w:szCs w:val="20"/>
          <w:color w:val="auto"/>
        </w:rPr>
      </w:pPr>
    </w:p>
    <w:p>
      <w:pPr>
        <w:sectPr>
          <w:pgSz w:w="11900" w:h="16838" w:orient="portrait"/>
          <w:cols w:equalWidth="0" w:num="2">
            <w:col w:w="4480" w:space="260"/>
            <w:col w:w="6480"/>
          </w:cols>
          <w:pgMar w:left="320" w:top="908" w:right="359" w:bottom="1440" w:gutter="0" w:footer="0" w:header="0"/>
        </w:sectPr>
      </w:pPr>
    </w:p>
    <w:p>
      <w:pPr>
        <w:spacing w:after="0" w:line="19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founder shares are entitled to registration rights.</w:t>
      </w:r>
    </w:p>
    <w:p>
      <w:pPr>
        <w:spacing w:after="0" w:line="222" w:lineRule="exact"/>
        <w:rPr>
          <w:sz w:val="20"/>
          <w:szCs w:val="20"/>
          <w:color w:val="auto"/>
        </w:rPr>
      </w:pPr>
    </w:p>
    <w:p>
      <w:pPr>
        <w:sectPr>
          <w:pgSz w:w="11900" w:h="16838" w:orient="portrait"/>
          <w:cols w:equalWidth="0" w:num="2">
            <w:col w:w="4480" w:space="260"/>
            <w:col w:w="6480"/>
          </w:cols>
          <w:pgMar w:left="320" w:top="908" w:right="35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Transfer restrictions on founder shares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Our initial stockholders have agreed not to transfer, assign or sell any of their founder shares (or shares of common stock issuable upon conversion thereof) until the earlier to occur of:</w:t>
      </w:r>
    </w:p>
    <w:p>
      <w:pPr>
        <w:spacing w:after="0" w:line="1" w:lineRule="exact"/>
        <w:rPr>
          <w:sz w:val="20"/>
          <w:szCs w:val="20"/>
          <w:color w:val="auto"/>
        </w:rPr>
      </w:pPr>
    </w:p>
    <w:p>
      <w:pPr>
        <w:sectPr>
          <w:pgSz w:w="11900" w:h="16838" w:orient="portrait"/>
          <w:cols w:equalWidth="0" w:num="2">
            <w:col w:w="3680" w:space="720"/>
            <w:col w:w="6820"/>
          </w:cols>
          <w:pgMar w:left="320" w:top="908" w:right="359" w:bottom="1440" w:gutter="0" w:footer="0" w:header="0"/>
          <w:type w:val="continuous"/>
        </w:sectPr>
      </w:pPr>
    </w:p>
    <w:p>
      <w:pPr>
        <w:ind w:left="4400"/>
        <w:spacing w:after="0" w:line="286" w:lineRule="auto"/>
        <w:rPr>
          <w:sz w:val="20"/>
          <w:szCs w:val="20"/>
          <w:color w:val="auto"/>
        </w:rPr>
      </w:pPr>
      <w:r>
        <w:rPr>
          <w:rFonts w:ascii="Arial" w:cs="Arial" w:eastAsia="Arial" w:hAnsi="Arial"/>
          <w:sz w:val="16"/>
          <w:szCs w:val="16"/>
          <w:color w:val="auto"/>
        </w:rPr>
        <w:t>(A) six months after the completion of our initial business combination and (B) subsequent to our initial business combination, if the reported last sale price of our Class A common stock equals or exceeds $12.00 per share (as adjusted for stock splits, stock dividends, reorganizations, recapitalizations and the like) for any 20 trading days within any 30-trading day period commencing after our initial business combination (except as described herein under the section of this prospectus entitled “Principal Stockholders — Restrictions on Transfers of Founder Shares and Placement Units”). Any permitted transferees will be subject to the same restrictions and other agreements of our initial stockholders with respect to any founder shares. We refer to such transfer restrictions throughout this prospectus as the lock-up.</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Founder shares conversion and anti-dilution rights</w:t>
            </w:r>
          </w:p>
        </w:tc>
        <w:tc>
          <w:tcPr>
            <w:tcW w:w="7220" w:type="dxa"/>
            <w:vAlign w:val="bottom"/>
          </w:tcPr>
          <w:p>
            <w:pPr>
              <w:ind w:left="380"/>
              <w:spacing w:after="0"/>
              <w:rPr>
                <w:sz w:val="20"/>
                <w:szCs w:val="20"/>
                <w:color w:val="auto"/>
              </w:rPr>
            </w:pPr>
            <w:r>
              <w:rPr>
                <w:rFonts w:ascii="Arial" w:cs="Arial" w:eastAsia="Arial" w:hAnsi="Arial"/>
                <w:sz w:val="18"/>
                <w:szCs w:val="18"/>
                <w:color w:val="auto"/>
                <w:w w:val="95"/>
              </w:rPr>
              <w:t>The shares of Class B common stock will automatically convert into shares of our Class A</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2"/>
              </w:rPr>
              <w:t>common stock at the time of the consummation of our initial business combination on a one-</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rPr>
              <w:t>for-one basis, subject to adjustment for stock splits, stock dividends, reorganizations,</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1"/>
              </w:rPr>
              <w:t>recapitalizations and the like, and subject to further adjustment as provided herein. In the case</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6"/>
              </w:rPr>
              <w:t>that additional shares of Class A common stock, or equity-linked securities, are issued or</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89"/>
              </w:rPr>
              <w:t>deemed issued in excess of the amounts offered in this prospectus and related to the closing of</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6"/>
              </w:rPr>
              <w:t>the initial business combination, the ratio at which shares of Class B common stock shall</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1"/>
              </w:rPr>
              <w:t>convert into shares of Class A common stock will be adjusted (unless the holders of a majority</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6"/>
              </w:rPr>
              <w:t>of the outstanding shares of Class B common stock agree to waive such adjustment with</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3"/>
              </w:rPr>
              <w:t>respect to any such issuance or deemed issuance) so that the number of shares of Class A</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2"/>
              </w:rPr>
              <w:t>common stock issuable upon conversion of all shares of Class B common stock will equal, in</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89"/>
              </w:rPr>
              <w:t>the aggregate, on an as-converted basis, 24.81% of the sum of the total number of all shares of</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8"/>
              </w:rPr>
              <w:t>common stock outstanding upon the completion of this offering (excluding the shares of</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0"/>
              </w:rPr>
              <w:t>Class A common stock to be issued to the representative or its designees upon consummation</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rPr>
              <w:t>of this offering, the placement units and securities underlying the placement units and</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7"/>
              </w:rPr>
              <w:t>assuming the initial stockholders do not purchase units in this offering) plus all shares of</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4"/>
              </w:rPr>
              <w:t>Class A common stock and equity-linked securities issued or deemed issued in connection</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2"/>
              </w:rPr>
              <w:t>with the initial business combination (excluding any shares or equity-linked securities issued,</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6"/>
              </w:rPr>
              <w:t>or to be issued, to any seller in the initial business combination or any private placement-</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6"/>
              </w:rPr>
              <w:t>equivalent units and their underlying securities issued to our sponsor or its affiliates upon</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3"/>
              </w:rPr>
              <w:t>conversion of working capital loans made to us). The term “equity-linked securities” refers to</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3"/>
              </w:rPr>
              <w:t>any debt or equity securities that are convertible, exercisable or exchangeable for shares of</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1"/>
              </w:rPr>
              <w:t>Class A common stock issued in a financing transaction in connection with our initial business</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7"/>
              </w:rPr>
              <w:t>combination, including but not limited to a private placement of equity or debt. Securities</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3"/>
              </w:rPr>
              <w:t>could be “deemed issued” for purposes of the conversion rate adjustment if such shares are</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rPr>
              <w:t>issuable upon the conversion or exercise of convertible securities, warrants or similar</w:t>
            </w:r>
          </w:p>
        </w:tc>
      </w:tr>
      <w:tr>
        <w:trPr>
          <w:trHeight w:val="230"/>
        </w:trPr>
        <w:tc>
          <w:tcPr>
            <w:tcW w:w="4020" w:type="dxa"/>
            <w:vAlign w:val="bottom"/>
          </w:tcPr>
          <w:p>
            <w:pPr>
              <w:spacing w:after="0"/>
              <w:rPr>
                <w:sz w:val="20"/>
                <w:szCs w:val="20"/>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rPr>
              <w:t>securities.</w:t>
            </w:r>
          </w:p>
        </w:tc>
      </w:tr>
      <w:tr>
        <w:trPr>
          <w:trHeight w:val="418"/>
        </w:trPr>
        <w:tc>
          <w:tcPr>
            <w:tcW w:w="4020" w:type="dxa"/>
            <w:vAlign w:val="bottom"/>
          </w:tcPr>
          <w:p>
            <w:pPr>
              <w:spacing w:after="0"/>
              <w:rPr>
                <w:sz w:val="20"/>
                <w:szCs w:val="20"/>
                <w:color w:val="auto"/>
              </w:rPr>
            </w:pPr>
            <w:r>
              <w:rPr>
                <w:rFonts w:ascii="Arial" w:cs="Arial" w:eastAsia="Arial" w:hAnsi="Arial"/>
                <w:sz w:val="18"/>
                <w:szCs w:val="18"/>
                <w:color w:val="auto"/>
              </w:rPr>
              <w:t>Voting Rights</w:t>
            </w:r>
          </w:p>
        </w:tc>
        <w:tc>
          <w:tcPr>
            <w:tcW w:w="7220" w:type="dxa"/>
            <w:vAlign w:val="bottom"/>
          </w:tcPr>
          <w:p>
            <w:pPr>
              <w:ind w:left="380"/>
              <w:spacing w:after="0"/>
              <w:rPr>
                <w:sz w:val="20"/>
                <w:szCs w:val="20"/>
                <w:color w:val="auto"/>
              </w:rPr>
            </w:pPr>
            <w:r>
              <w:rPr>
                <w:rFonts w:ascii="Arial" w:cs="Arial" w:eastAsia="Arial" w:hAnsi="Arial"/>
                <w:sz w:val="18"/>
                <w:szCs w:val="18"/>
                <w:color w:val="auto"/>
                <w:w w:val="91"/>
              </w:rPr>
              <w:t>Holders of record of the Class A common stock and holders of record of the Class B common</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0"/>
              </w:rPr>
              <w:t>stock will vote together as a single class on all matters submitted to a vote of our stockholders,</w:t>
            </w:r>
          </w:p>
        </w:tc>
      </w:tr>
      <w:tr>
        <w:trPr>
          <w:trHeight w:val="230"/>
        </w:trPr>
        <w:tc>
          <w:tcPr>
            <w:tcW w:w="4020" w:type="dxa"/>
            <w:vAlign w:val="bottom"/>
          </w:tcPr>
          <w:p>
            <w:pPr>
              <w:spacing w:after="0"/>
              <w:rPr>
                <w:sz w:val="20"/>
                <w:szCs w:val="20"/>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3"/>
              </w:rPr>
              <w:t>with each share of common stock entitling the holder to one vote, except as required by law.</w:t>
            </w:r>
          </w:p>
        </w:tc>
      </w:tr>
      <w:tr>
        <w:trPr>
          <w:trHeight w:val="418"/>
        </w:trPr>
        <w:tc>
          <w:tcPr>
            <w:tcW w:w="4020" w:type="dxa"/>
            <w:vAlign w:val="bottom"/>
          </w:tcPr>
          <w:p>
            <w:pPr>
              <w:spacing w:after="0"/>
              <w:rPr>
                <w:sz w:val="20"/>
                <w:szCs w:val="20"/>
                <w:color w:val="auto"/>
              </w:rPr>
            </w:pPr>
            <w:r>
              <w:rPr>
                <w:rFonts w:ascii="Arial" w:cs="Arial" w:eastAsia="Arial" w:hAnsi="Arial"/>
                <w:sz w:val="18"/>
                <w:szCs w:val="18"/>
                <w:color w:val="auto"/>
              </w:rPr>
              <w:t>Placement units</w:t>
            </w:r>
          </w:p>
        </w:tc>
        <w:tc>
          <w:tcPr>
            <w:tcW w:w="7220" w:type="dxa"/>
            <w:vAlign w:val="bottom"/>
          </w:tcPr>
          <w:p>
            <w:pPr>
              <w:ind w:left="380"/>
              <w:spacing w:after="0"/>
              <w:rPr>
                <w:sz w:val="20"/>
                <w:szCs w:val="20"/>
                <w:color w:val="auto"/>
              </w:rPr>
            </w:pPr>
            <w:r>
              <w:rPr>
                <w:rFonts w:ascii="Arial" w:cs="Arial" w:eastAsia="Arial" w:hAnsi="Arial"/>
                <w:sz w:val="18"/>
                <w:szCs w:val="18"/>
                <w:color w:val="auto"/>
                <w:w w:val="94"/>
              </w:rPr>
              <w:t>Our sponsor has agreed to purchase an aggregate of 804,500 placement units (or 898,250</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4"/>
              </w:rPr>
              <w:t>placement units if the over-allotment option is exercised in full) at a price of $10.00 per unit,</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6"/>
              </w:rPr>
              <w:t>for an aggregate purchase price of $8,045,000 ($8,982,500 if the over-allotment option is</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7"/>
              </w:rPr>
              <w:t>exercised in full). Each placement unit is identical to the units offered by this prospectus</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1"/>
              </w:rPr>
              <w:t>except as described below. There will be no redemption rights or liquidating distributions from</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0"/>
              </w:rPr>
              <w:t>the trust account with respect to the founder shares, placement shares, or placement warrants,</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9"/>
              </w:rPr>
              <w:t>which will expire worthless if we do not consummate a business combination within 15</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5"/>
              </w:rPr>
              <w:t>months from the closing of this offering. Our initial stockholders have agreed to waive their</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4"/>
              </w:rPr>
              <w:t>redemption rights with respect to any founder shares or placement shares (i) in connection</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3"/>
              </w:rPr>
              <w:t>with the consummation of a business combination, (ii) in connection with a stockholder vote</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4"/>
              </w:rPr>
              <w:t>to amend our amended and restated certificate of incorporation to modify the substance or</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rPr>
              <w:t>timing of our obligation to allow redemption in connection with our initial business</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1"/>
              </w:rPr>
              <w:t>combination or certain amendments to our charter prior thereto, to redeem 100% of our public</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8"/>
              </w:rPr>
              <w:t>shares if we do not complete our initial business combination within 15 months from the</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7"/>
              </w:rPr>
              <w:t>completion of this offering or with respect to any other provision relating to stockholders’</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2"/>
              </w:rPr>
              <w:t>rights or pre-initial business combination activity and (iii) if we fail to consummate a business</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5"/>
              </w:rPr>
              <w:t>combination within 15 months from the completion of this offering or if we liquidate prior to</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4"/>
              </w:rPr>
              <w:t>the expiration of the allotted time period. However, our initial stockholders will be entitled to</w:t>
            </w:r>
          </w:p>
        </w:tc>
      </w:tr>
      <w:tr>
        <w:trPr>
          <w:trHeight w:val="216"/>
        </w:trPr>
        <w:tc>
          <w:tcPr>
            <w:tcW w:w="402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w w:val="93"/>
              </w:rPr>
              <w:t>redemption rights with respect to any public shares held by them if we fail to consummate a</w:t>
            </w:r>
          </w:p>
        </w:tc>
      </w:tr>
      <w:tr>
        <w:trPr>
          <w:trHeight w:val="230"/>
        </w:trPr>
        <w:tc>
          <w:tcPr>
            <w:tcW w:w="4020" w:type="dxa"/>
            <w:vAlign w:val="bottom"/>
          </w:tcPr>
          <w:p>
            <w:pPr>
              <w:spacing w:after="0"/>
              <w:rPr>
                <w:sz w:val="20"/>
                <w:szCs w:val="20"/>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rPr>
              <w:t>business combination or liquidate within the allotted time period.</w:t>
            </w:r>
          </w:p>
        </w:tc>
      </w:tr>
      <w:tr>
        <w:trPr>
          <w:trHeight w:val="648"/>
        </w:trPr>
        <w:tc>
          <w:tcPr>
            <w:tcW w:w="4020" w:type="dxa"/>
            <w:vAlign w:val="bottom"/>
            <w:tcBorders>
              <w:bottom w:val="single" w:sz="8" w:color="auto"/>
            </w:tcBorders>
          </w:tcPr>
          <w:p>
            <w:pPr>
              <w:spacing w:after="0"/>
              <w:rPr>
                <w:sz w:val="24"/>
                <w:szCs w:val="24"/>
                <w:color w:val="auto"/>
              </w:rPr>
            </w:pPr>
          </w:p>
        </w:tc>
        <w:tc>
          <w:tcPr>
            <w:tcW w:w="722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1240"/>
          </w:cols>
          <w:pgMar w:left="320" w:top="90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Transfer restrictions on placement units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Redeemability and exercise of placement warrants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Representative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Proceeds to be held in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Anticipated expenses and funding sources</w:t>
      </w:r>
    </w:p>
    <w:p>
      <w:pPr>
        <w:spacing w:after="0" w:line="20" w:lineRule="exact"/>
        <w:rPr>
          <w:sz w:val="20"/>
          <w:szCs w:val="20"/>
          <w:color w:val="auto"/>
        </w:rPr>
      </w:pPr>
      <w:r>
        <w:rPr>
          <w:sz w:val="20"/>
          <w:szCs w:val="20"/>
          <w:color w:val="auto"/>
        </w:rPr>
        <w:br w:type="column"/>
      </w:r>
    </w:p>
    <w:p>
      <w:pPr>
        <w:jc w:val="both"/>
        <w:ind w:left="5" w:right="280"/>
        <w:spacing w:after="0" w:line="263" w:lineRule="auto"/>
        <w:rPr>
          <w:sz w:val="20"/>
          <w:szCs w:val="20"/>
          <w:color w:val="auto"/>
        </w:rPr>
      </w:pPr>
      <w:r>
        <w:rPr>
          <w:rFonts w:ascii="Arial" w:cs="Arial" w:eastAsia="Arial" w:hAnsi="Arial"/>
          <w:sz w:val="18"/>
          <w:szCs w:val="18"/>
          <w:color w:val="auto"/>
        </w:rPr>
        <w:t>The placement units and their component securities will not be transferable, assignable or saleable until 30 days after the consummation of our initial business combination except to permitted transferees.</w:t>
      </w:r>
    </w:p>
    <w:p>
      <w:pPr>
        <w:spacing w:after="0" w:line="184" w:lineRule="exact"/>
        <w:rPr>
          <w:sz w:val="20"/>
          <w:szCs w:val="20"/>
          <w:color w:val="auto"/>
        </w:rPr>
      </w:pPr>
    </w:p>
    <w:p>
      <w:pPr>
        <w:jc w:val="both"/>
        <w:ind w:left="5" w:right="140"/>
        <w:spacing w:after="0" w:line="263" w:lineRule="auto"/>
        <w:rPr>
          <w:sz w:val="20"/>
          <w:szCs w:val="20"/>
          <w:color w:val="auto"/>
        </w:rPr>
      </w:pPr>
      <w:r>
        <w:rPr>
          <w:rFonts w:ascii="Arial" w:cs="Arial" w:eastAsia="Arial" w:hAnsi="Arial"/>
          <w:sz w:val="18"/>
          <w:szCs w:val="18"/>
          <w:color w:val="auto"/>
        </w:rPr>
        <w:t>The placement warrants will be identical to the public warrants and will be redeemable by us and exercisable by such holders on the same basis as the warrants included in the units being sold in this offering.</w:t>
      </w:r>
    </w:p>
    <w:p>
      <w:pPr>
        <w:spacing w:after="0" w:line="184" w:lineRule="exact"/>
        <w:rPr>
          <w:sz w:val="20"/>
          <w:szCs w:val="20"/>
          <w:color w:val="auto"/>
        </w:rPr>
      </w:pPr>
    </w:p>
    <w:p>
      <w:pPr>
        <w:ind w:left="5" w:right="60"/>
        <w:spacing w:after="0" w:line="284" w:lineRule="auto"/>
        <w:rPr>
          <w:sz w:val="20"/>
          <w:szCs w:val="20"/>
          <w:color w:val="auto"/>
        </w:rPr>
      </w:pPr>
      <w:r>
        <w:rPr>
          <w:rFonts w:ascii="Arial" w:cs="Arial" w:eastAsia="Arial" w:hAnsi="Arial"/>
          <w:sz w:val="16"/>
          <w:szCs w:val="16"/>
          <w:color w:val="auto"/>
        </w:rPr>
        <w:t>We have agreed to issue to the representative or its designees 375,000 shares (or 431,250 shares if the underwriters’ over-allotment option is exercised in full) of our Class A common stock upon the consummation of this offering. We refer to such shares of Class A common stock as the “representative shares.” The holders of the representative shares have agreed not to transfer, assign or sell any such shares without our prior consent until the completion of our initial business combination. In addition, the holders of the representative shares have agreed</w:t>
      </w:r>
    </w:p>
    <w:p>
      <w:pPr>
        <w:spacing w:after="0" w:line="4" w:lineRule="exact"/>
        <w:rPr>
          <w:sz w:val="20"/>
          <w:szCs w:val="20"/>
          <w:color w:val="auto"/>
        </w:rPr>
      </w:pPr>
    </w:p>
    <w:p>
      <w:pPr>
        <w:ind w:left="5" w:hanging="5"/>
        <w:spacing w:after="0" w:line="270" w:lineRule="auto"/>
        <w:tabs>
          <w:tab w:leader="none" w:pos="2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to waive their redemption rights (or right to participate in any tender offer) with respect to such shares in connection with the completion of our initial business combination and (ii) to waive their rights to liquidating distributions from the trust account with respect to such shares if we fail to complete our initial business combination within 15 months from the closing of this offering. The representative shares are deemed to be underwriters’ compensation by FINRA pursuant to FINRA Rule 5110.</w:t>
      </w:r>
    </w:p>
    <w:p>
      <w:pPr>
        <w:spacing w:after="0" w:line="178" w:lineRule="exact"/>
        <w:rPr>
          <w:sz w:val="20"/>
          <w:szCs w:val="20"/>
          <w:color w:val="auto"/>
        </w:rPr>
      </w:pPr>
    </w:p>
    <w:p>
      <w:pPr>
        <w:ind w:left="5" w:right="20"/>
        <w:spacing w:after="0" w:line="293" w:lineRule="auto"/>
        <w:rPr>
          <w:sz w:val="20"/>
          <w:szCs w:val="20"/>
          <w:color w:val="auto"/>
        </w:rPr>
      </w:pPr>
      <w:r>
        <w:rPr>
          <w:rFonts w:ascii="Arial" w:cs="Arial" w:eastAsia="Arial" w:hAnsi="Arial"/>
          <w:sz w:val="16"/>
          <w:szCs w:val="16"/>
          <w:color w:val="auto"/>
        </w:rPr>
        <w:t>Nasdaq rules provide that at least 90% of the gross proceeds from this offering and the sale of the placement units be deposited in a trust account. Of the net proceeds of this offering and the sale of the placement units, $253,750,000, or $10.15 per unit ($291,812,500, or $10.15 per unit, if the underwriters’ over-allotment option is exercised in full) will be placed into a trust account in the United States with Continental Stock Transfer &amp; Trust Company acting as trustee and J.P. Morgan Securities LLC acting as investment manager.</w:t>
      </w:r>
    </w:p>
    <w:p>
      <w:pPr>
        <w:spacing w:after="0" w:line="164" w:lineRule="exact"/>
        <w:rPr>
          <w:sz w:val="20"/>
          <w:szCs w:val="20"/>
          <w:color w:val="auto"/>
        </w:rPr>
      </w:pPr>
    </w:p>
    <w:p>
      <w:pPr>
        <w:ind w:left="5" w:right="20"/>
        <w:spacing w:after="0" w:line="277" w:lineRule="auto"/>
        <w:rPr>
          <w:sz w:val="20"/>
          <w:szCs w:val="20"/>
          <w:color w:val="auto"/>
        </w:rPr>
      </w:pPr>
      <w:r>
        <w:rPr>
          <w:rFonts w:ascii="Arial" w:cs="Arial" w:eastAsia="Arial" w:hAnsi="Arial"/>
          <w:sz w:val="18"/>
          <w:szCs w:val="18"/>
          <w:color w:val="auto"/>
        </w:rPr>
        <w:t>These proceeds include $8,750,000 (or $10,062,500 if the underwriters’ over-allotment option is exercised in full) in deferred underwriting commissions.</w:t>
      </w:r>
    </w:p>
    <w:p>
      <w:pPr>
        <w:spacing w:after="0" w:line="170" w:lineRule="exact"/>
        <w:rPr>
          <w:sz w:val="20"/>
          <w:szCs w:val="20"/>
          <w:color w:val="auto"/>
        </w:rPr>
      </w:pPr>
    </w:p>
    <w:p>
      <w:pPr>
        <w:ind w:left="5" w:right="40"/>
        <w:spacing w:after="0" w:line="286" w:lineRule="auto"/>
        <w:rPr>
          <w:sz w:val="20"/>
          <w:szCs w:val="20"/>
          <w:color w:val="auto"/>
        </w:rPr>
      </w:pPr>
      <w:r>
        <w:rPr>
          <w:rFonts w:ascii="Arial" w:cs="Arial" w:eastAsia="Arial" w:hAnsi="Arial"/>
          <w:sz w:val="16"/>
          <w:szCs w:val="16"/>
          <w:color w:val="auto"/>
        </w:rPr>
        <w:t>Except with respect to interest earned on the funds held in the trust account that may be released to us to pay our tax obligations and up to $100,000 of interest that may be used for our dissolution expenses, the proceeds from this offering and the sale of the placement units held in the trust account will not be released from the trust account until the earliest to occur of: (a) the completion of our initial business combination, (b) the redemption of any public shares properly submitted in connection with a stockholder vote to amend our amended and restated certificate of incorporation (i) to modify the substance or timing of our obligation to allow redemption in connection with our initial business combination or certain amendments to our charter prior thereto or to redeem 100% of our public shares if we do not complete our initial business combination within 15 months from the closing of this offering or (ii) with respect to any other provision relating to stockholders’ rights or pre-business combination activity, and (c) the redemption of our public shares if we are unable to complete our initial business combination within 15 months from the closing of this offering, subject to applicable law. The proceeds deposited in the trust account could become subject to the claims of our creditors, if any, which could have priority over the claims of our public stockholders.</w:t>
      </w:r>
    </w:p>
    <w:p>
      <w:pPr>
        <w:spacing w:after="0" w:line="167" w:lineRule="exact"/>
        <w:rPr>
          <w:sz w:val="20"/>
          <w:szCs w:val="20"/>
          <w:color w:val="auto"/>
        </w:rPr>
      </w:pPr>
    </w:p>
    <w:p>
      <w:pPr>
        <w:ind w:left="5"/>
        <w:spacing w:after="0" w:line="287" w:lineRule="auto"/>
        <w:rPr>
          <w:sz w:val="20"/>
          <w:szCs w:val="20"/>
          <w:color w:val="auto"/>
        </w:rPr>
      </w:pPr>
      <w:r>
        <w:rPr>
          <w:rFonts w:ascii="Arial" w:cs="Arial" w:eastAsia="Arial" w:hAnsi="Arial"/>
          <w:sz w:val="16"/>
          <w:szCs w:val="16"/>
          <w:color w:val="auto"/>
        </w:rPr>
        <w:t>Except as described above with respect to the payment of taxes, unless and until we complete our initial business combination, no proceeds held in the trust account will be available for our use. The proceeds held in the trust account will be invested only in U.S. government securities with a maturity of 185 days or less or in money market funds meeting certain conditions under Rule 2a-7 under the Investment Company Act which invest only in direct U.S. government treasury obligations. We will disclose in each quarterly and annual report filed with the SEC prior to our initial business combination whether the proceeds deposited in the trust account are invested in U.S. government treasury obligations or money market funds or a combination thereof. Based upon current interest rates, we expect the trust account to generate approximately $253,750 of pre-tax interest annually assuming an interest rate of 0.1% per year; however, we can provide no assurances regarding this amount.</w:t>
      </w:r>
    </w:p>
    <w:p>
      <w:pPr>
        <w:spacing w:after="0" w:line="172" w:lineRule="exact"/>
        <w:rPr>
          <w:sz w:val="20"/>
          <w:szCs w:val="20"/>
          <w:color w:val="auto"/>
        </w:rPr>
      </w:pPr>
    </w:p>
    <w:p>
      <w:pPr>
        <w:ind w:left="5" w:right="20"/>
        <w:spacing w:after="0" w:line="277" w:lineRule="auto"/>
        <w:rPr>
          <w:sz w:val="20"/>
          <w:szCs w:val="20"/>
          <w:color w:val="auto"/>
        </w:rPr>
      </w:pPr>
      <w:r>
        <w:rPr>
          <w:rFonts w:ascii="Arial" w:cs="Arial" w:eastAsia="Arial" w:hAnsi="Arial"/>
          <w:sz w:val="18"/>
          <w:szCs w:val="18"/>
          <w:color w:val="auto"/>
        </w:rPr>
        <w:t>Unless and until we complete our initial business combination, we may pay our expenses only from:</w:t>
      </w:r>
    </w:p>
    <w:p>
      <w:pPr>
        <w:spacing w:after="0" w:line="170" w:lineRule="exact"/>
        <w:rPr>
          <w:sz w:val="20"/>
          <w:szCs w:val="20"/>
          <w:color w:val="auto"/>
        </w:rPr>
      </w:pPr>
    </w:p>
    <w:p>
      <w:pPr>
        <w:ind w:left="345" w:right="60" w:hanging="200"/>
        <w:spacing w:after="0" w:line="263" w:lineRule="auto"/>
        <w:tabs>
          <w:tab w:leader="none" w:pos="3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net proceeds of this offering and the sale of the placement units not held in the trust account, which will be approximately $1,150,000 in working capital after the payment of approximately $645,000 in expenses relating to this offering; and</w:t>
      </w:r>
    </w:p>
    <w:p>
      <w:pPr>
        <w:spacing w:after="0" w:line="400" w:lineRule="exact"/>
        <w:rPr>
          <w:sz w:val="20"/>
          <w:szCs w:val="20"/>
          <w:color w:val="auto"/>
        </w:rPr>
      </w:pPr>
    </w:p>
    <w:p>
      <w:pPr>
        <w:ind w:left="1145"/>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-2785110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3675" w:space="720"/>
            <w:col w:w="6825"/>
          </w:cols>
          <w:pgMar w:left="320" w:top="908" w:right="359" w:bottom="686" w:gutter="0" w:footer="0" w:header="0"/>
        </w:sectPr>
      </w:pPr>
    </w:p>
    <w:bookmarkStart w:id="27" w:name="page28"/>
    <w:bookmarkEnd w:id="27"/>
    <w:p>
      <w:pPr>
        <w:ind w:left="4720" w:right="80" w:hanging="200"/>
        <w:spacing w:after="0" w:line="275" w:lineRule="auto"/>
        <w:tabs>
          <w:tab w:leader="none" w:pos="47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loans or additional investments from our sponsor, members of our management team or their affiliates or other third parties, although they are under no obligation to advance funds or invest in us, and provided that any such loans will not have any claim on the proceeds held in the trust account unless such proceeds are released to us upon completion of an initial business combination.</w:t>
      </w:r>
    </w:p>
    <w:p>
      <w:pPr>
        <w:spacing w:after="0" w:line="176" w:lineRule="exact"/>
        <w:rPr>
          <w:sz w:val="20"/>
          <w:szCs w:val="20"/>
          <w:color w:val="auto"/>
        </w:rPr>
      </w:pPr>
    </w:p>
    <w:p>
      <w:pPr>
        <w:ind w:left="4380" w:right="40" w:hanging="4400"/>
        <w:spacing w:after="0" w:line="285" w:lineRule="auto"/>
        <w:tabs>
          <w:tab w:leader="none" w:pos="4360" w:val="left"/>
        </w:tabs>
        <w:rPr>
          <w:sz w:val="20"/>
          <w:szCs w:val="20"/>
          <w:color w:val="auto"/>
        </w:rPr>
      </w:pPr>
      <w:r>
        <w:rPr>
          <w:rFonts w:ascii="Arial" w:cs="Arial" w:eastAsia="Arial" w:hAnsi="Arial"/>
          <w:sz w:val="18"/>
          <w:szCs w:val="18"/>
          <w:color w:val="auto"/>
        </w:rPr>
        <w:t>Conditions to completing our initial business combination</w:t>
      </w:r>
      <w:r>
        <w:rPr>
          <w:sz w:val="20"/>
          <w:szCs w:val="20"/>
          <w:color w:val="auto"/>
        </w:rPr>
        <w:tab/>
      </w:r>
      <w:r>
        <w:rPr>
          <w:rFonts w:ascii="Arial" w:cs="Arial" w:eastAsia="Arial" w:hAnsi="Arial"/>
          <w:sz w:val="16"/>
          <w:szCs w:val="16"/>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target, we will obtain an opinion from an independent investment banking firm or another independent entity that commonly renders valuation opinions with respect to the satisfaction of such criteria. While we consider it unlikely that our board of directors will not be able to make an independent determination of the fair market value of our initial business combination target, it may be unable to do so if it is less familiar or experienced with the business of a particular target or if there is a significant amount of uncertainty as to the value of a target’s assets or prospects. There is no limitation on our ability to raise funds privately, or through loans in connection with our initial business combination. Additionally, pursuant to Nasdaq rules, any initial business combination must be approved by a majority of our independent directors.</w:t>
      </w:r>
    </w:p>
    <w:p>
      <w:pPr>
        <w:spacing w:after="0" w:line="176" w:lineRule="exact"/>
        <w:rPr>
          <w:sz w:val="20"/>
          <w:szCs w:val="20"/>
          <w:color w:val="auto"/>
        </w:rPr>
      </w:pPr>
    </w:p>
    <w:p>
      <w:pPr>
        <w:ind w:left="4380"/>
        <w:spacing w:after="0" w:line="269" w:lineRule="auto"/>
        <w:rPr>
          <w:sz w:val="20"/>
          <w:szCs w:val="20"/>
          <w:color w:val="auto"/>
        </w:rPr>
      </w:pPr>
      <w:r>
        <w:rPr>
          <w:rFonts w:ascii="Arial" w:cs="Arial" w:eastAsia="Arial" w:hAnsi="Arial"/>
          <w:sz w:val="17"/>
          <w:szCs w:val="17"/>
          <w:color w:val="auto"/>
        </w:rPr>
        <w:t>We anticipate structuring our initial business combination either (i) in such a way so that the post-transaction company in which our public stockholders own shares will own or acquire 100% of the equity interests or assets of the target business or businesses, or (ii) in such a way so that the post-transaction company owns or acquires less than 100% of such interests or assets of the target business in order to meet certain objectives of the target management team or stockholders, or for other reasons. However, we will only complete an initial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85" w:lineRule="exact"/>
        <w:rPr>
          <w:sz w:val="20"/>
          <w:szCs w:val="20"/>
          <w:color w:val="auto"/>
        </w:rPr>
      </w:pPr>
    </w:p>
    <w:p>
      <w:pPr>
        <w:ind w:left="4380"/>
        <w:spacing w:after="0" w:line="255" w:lineRule="auto"/>
        <w:rPr>
          <w:sz w:val="20"/>
          <w:szCs w:val="20"/>
          <w:color w:val="auto"/>
        </w:rPr>
      </w:pPr>
      <w:r>
        <w:rPr>
          <w:rFonts w:ascii="Arial" w:cs="Arial" w:eastAsia="Arial" w:hAnsi="Arial"/>
          <w:sz w:val="18"/>
          <w:szCs w:val="18"/>
          <w:color w:val="auto"/>
        </w:rPr>
        <w:t>Even if the post-transaction company owns or acquires 50% or more of the voting securities of the target, our stockholders prior to the initial business combination may collectively own a minority interest in the post-transaction company, depending on valuations ascribed to the target and us in the initial business combination. For example, we could pursue a transaction in which we issue a substantial number of new shares in exchange for all of the outstanding capital stock of a target.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Conflict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80" w:hanging="161"/>
        <w:spacing w:after="0" w:line="277" w:lineRule="auto"/>
        <w:rPr>
          <w:sz w:val="20"/>
          <w:szCs w:val="20"/>
          <w:color w:val="auto"/>
        </w:rPr>
      </w:pPr>
      <w:r>
        <w:rPr>
          <w:rFonts w:ascii="Arial" w:cs="Arial" w:eastAsia="Arial" w:hAnsi="Arial"/>
          <w:sz w:val="18"/>
          <w:szCs w:val="18"/>
          <w:color w:val="auto"/>
        </w:rPr>
        <w:t>Permitted purchases of public shares and public warrants by our affiliates</w:t>
      </w:r>
    </w:p>
    <w:p>
      <w:pPr>
        <w:spacing w:after="0" w:line="20" w:lineRule="exact"/>
        <w:rPr>
          <w:sz w:val="20"/>
          <w:szCs w:val="20"/>
          <w:color w:val="auto"/>
        </w:rPr>
      </w:pPr>
      <w:r>
        <w:rPr>
          <w:sz w:val="20"/>
          <w:szCs w:val="20"/>
          <w:color w:val="auto"/>
        </w:rPr>
        <w:br w:type="column"/>
      </w:r>
    </w:p>
    <w:p>
      <w:pPr>
        <w:ind w:right="20"/>
        <w:spacing w:after="0" w:line="269" w:lineRule="auto"/>
        <w:rPr>
          <w:sz w:val="20"/>
          <w:szCs w:val="20"/>
          <w:color w:val="auto"/>
        </w:rPr>
      </w:pPr>
      <w:r>
        <w:rPr>
          <w:rFonts w:ascii="Arial" w:cs="Arial" w:eastAsia="Arial" w:hAnsi="Arial"/>
          <w:sz w:val="17"/>
          <w:szCs w:val="17"/>
          <w:color w:val="auto"/>
        </w:rPr>
        <w:t>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taken into account for purposes of Nasdaq’s 80% fair market value test. If the initial business combination involves more than one target business, the 80% fair market value test will be based on the aggregate value of all of the transactions and we will treat the target businesses together as the initial business combination for purposes of a tender offer or for seeking stockholder approval, as applicable.</w:t>
      </w:r>
    </w:p>
    <w:p>
      <w:pPr>
        <w:spacing w:after="0" w:line="18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sponsor is also the sponsor to the Affiliated SPACS, Our sponsor, officers, directors, and their respective affiliates, may become an officer or director in any other blank check company prior to completion of our initial business combination. In particular, certain of our executive officers and directors also serve as executive officers or directors of an Affiliated SPAC, which is focused on searching for businesses that may provide significant opportunities for attractive investor returns in industries similar to the industries in which our search is focused. As a result, our sponsor, officers or directors could have conflicts of interest in determining whether to present business combination opportunities to us or to any other blank check company with which they may become involved.</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described herein,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including an Affiliated SPAC. Accordingly, if any of our officers or directors becomes aware of a business combination opportunity which is suitable for one or more entities to which he or she has fiduciary, contractual or other obligations or duties, including an Affiliated SPAC, he or she will honor these obligations and duties to present such business combination opportunity to such entities first, and only present it to us if such entities reject the opportunity and he or she determines to present the opportunity to us (including as described above). These conflicts may not be resolved in our favor and a potential target business may be presented to another entity prior to its presentation to us.</w:t>
      </w:r>
    </w:p>
    <w:p>
      <w:pPr>
        <w:spacing w:after="0" w:line="17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potential conflicts described above may limit our ability to enter into a business combination or other transactions. These circumstances could give rise to numerous situations where interests may conflict. There can be no assurance that these or other conflicts of interest with the potential for adverse effects on the Company and investors will not arise.</w:t>
      </w:r>
    </w:p>
    <w:p>
      <w:pPr>
        <w:spacing w:after="0" w:line="157"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If we seek stockholder approval of our initial business combination and we do not conduct redemptions in connection with our initial business combination pursuant to the tender offer rules, our sponsor, initial stockholders, directors, officers, advisors or their affiliates may purchase public shares or public warrants in privately negotiated transactions or in the open market either prior to or following the completion of our initial business combination. There is no limit on the number of shares or warrants our sponsor, initial stockholders, directors, officers, advisors or their affiliates may purchase in such transactions, subject to compliance with applicable law and Nasdaq rules. However, apart from the purchase of the placement units, they have no current commitments, plans or intentions to engage in such transactions and have not formulated any terms or conditions for any such transactions. If they engage in such transactions, they will not make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We expect that any such purchases will be reported pursuant to Section 13 and Section 16 of the Exchange Act to the extent such purchasers are subject to such reporting requirements.</w:t>
      </w:r>
    </w:p>
    <w:p>
      <w:pPr>
        <w:spacing w:after="0" w:line="16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None of the funds held in the trust account will be used to purchase shares or public warrants in such transactions prior to completion of our initial business combination. See “Proposed Business — Permitted purchases of our securities” for a description of how our sponsor, initial stockholders, directors, officers or any of their affiliates will select which stockholders to purchase securities from in any private transaction.</w:t>
      </w:r>
    </w:p>
    <w:p>
      <w:pPr>
        <w:spacing w:after="0" w:line="200" w:lineRule="exact"/>
        <w:rPr>
          <w:sz w:val="20"/>
          <w:szCs w:val="20"/>
          <w:color w:val="auto"/>
        </w:rPr>
      </w:pPr>
    </w:p>
    <w:p>
      <w:pPr>
        <w:spacing w:after="0" w:line="20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4120" w:space="280"/>
            <w:col w:w="6840"/>
          </w:cols>
          <w:pgMar w:left="320" w:top="908" w:right="339" w:bottom="686" w:gutter="0" w:footer="0" w:header="0"/>
        </w:sectPr>
      </w:pPr>
    </w:p>
    <w:bookmarkStart w:id="29" w:name="page30"/>
    <w:bookmarkEnd w:id="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80" w:right="155" w:hanging="161"/>
        <w:spacing w:after="0" w:line="342" w:lineRule="auto"/>
        <w:rPr>
          <w:sz w:val="20"/>
          <w:szCs w:val="20"/>
          <w:color w:val="auto"/>
        </w:rPr>
      </w:pPr>
      <w:r>
        <w:rPr>
          <w:rFonts w:ascii="Arial" w:cs="Arial" w:eastAsia="Arial" w:hAnsi="Arial"/>
          <w:sz w:val="16"/>
          <w:szCs w:val="16"/>
          <w:color w:val="auto"/>
        </w:rPr>
        <w:t>Redemption rights for public stockholders upon completion of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Manner of conducting redemptions</w:t>
      </w:r>
    </w:p>
    <w:p>
      <w:pPr>
        <w:spacing w:after="0" w:line="20" w:lineRule="exact"/>
        <w:rPr>
          <w:sz w:val="20"/>
          <w:szCs w:val="20"/>
          <w:color w:val="auto"/>
        </w:rPr>
      </w:pPr>
      <w:r>
        <w:rPr>
          <w:sz w:val="20"/>
          <w:szCs w:val="20"/>
          <w:color w:val="auto"/>
        </w:rPr>
        <w:br w:type="column"/>
      </w:r>
    </w:p>
    <w:p>
      <w:pPr>
        <w:ind w:left="5" w:right="20"/>
        <w:spacing w:after="0" w:line="286" w:lineRule="auto"/>
        <w:rPr>
          <w:sz w:val="20"/>
          <w:szCs w:val="20"/>
          <w:color w:val="auto"/>
        </w:rPr>
      </w:pPr>
      <w:r>
        <w:rPr>
          <w:rFonts w:ascii="Arial" w:cs="Arial" w:eastAsia="Arial" w:hAnsi="Arial"/>
          <w:sz w:val="16"/>
          <w:szCs w:val="16"/>
          <w:color w:val="auto"/>
        </w:rPr>
        <w:t>The purpose of any such purchases of shares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In addition, if such purchases are made, the public “float” of our shares of Class A common stock or warrants may be reduced and the number of beneficial holders of our securities may be reduced, which may make it difficult to maintain or obtain the quotation, listing or trading of our securities on a national securities exchange.</w:t>
      </w:r>
    </w:p>
    <w:p>
      <w:pPr>
        <w:spacing w:after="0" w:line="174" w:lineRule="exact"/>
        <w:rPr>
          <w:sz w:val="20"/>
          <w:szCs w:val="20"/>
          <w:color w:val="auto"/>
        </w:rPr>
      </w:pPr>
    </w:p>
    <w:p>
      <w:pPr>
        <w:ind w:left="5"/>
        <w:spacing w:after="0" w:line="268" w:lineRule="auto"/>
        <w:rPr>
          <w:sz w:val="20"/>
          <w:szCs w:val="20"/>
          <w:color w:val="auto"/>
        </w:rPr>
      </w:pPr>
      <w:r>
        <w:rPr>
          <w:rFonts w:ascii="Arial" w:cs="Arial" w:eastAsia="Arial" w:hAnsi="Arial"/>
          <w:sz w:val="17"/>
          <w:szCs w:val="17"/>
          <w:color w:val="auto"/>
        </w:rPr>
        <w:t>We will provide our public stockholders with the opportunity to redeem all or a portion of their public shares upon the completion of our initial business combination at a per-share price, payable in cash, equal to the aggregate amount then on deposit in the trust account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described herein. The amount in the trust account is initially anticipated to be $10.15 per public share, however, there is no guarantee that investors will receive $10.15 per share upon redemption. The per-share amount we will distribute to investors who properly redeem their shares will not be reduced by the deferred underwriting commissions we will pay to the underwriters. There will be no redemption rights upon the completion of our initial business combination with respect to our warrants. Our sponsor, officers and directors have entered into a letter agreement with us, pursuant to which they have agreed to waive their redemption rights with respect to any founder shares and placement shares held by them and any public shares they may acquire during or after this offering in connection with the completion of our initial business combination or otherwise.</w:t>
      </w:r>
    </w:p>
    <w:p>
      <w:pPr>
        <w:spacing w:after="0" w:line="180" w:lineRule="exact"/>
        <w:rPr>
          <w:sz w:val="20"/>
          <w:szCs w:val="20"/>
          <w:color w:val="auto"/>
        </w:rPr>
      </w:pPr>
    </w:p>
    <w:p>
      <w:pPr>
        <w:ind w:left="5" w:right="240"/>
        <w:spacing w:after="0" w:line="287" w:lineRule="auto"/>
        <w:rPr>
          <w:sz w:val="20"/>
          <w:szCs w:val="20"/>
          <w:color w:val="auto"/>
        </w:rPr>
      </w:pPr>
      <w:r>
        <w:rPr>
          <w:rFonts w:ascii="Arial" w:cs="Arial" w:eastAsia="Arial" w:hAnsi="Arial"/>
          <w:sz w:val="16"/>
          <w:szCs w:val="16"/>
          <w:color w:val="auto"/>
        </w:rPr>
        <w:t>We will provide our public stockholders with the opportunity to redeem all or a portion of their public shares upon the completion of our initial business combination either (i) in connection with a stockholder meeting called to approve the initial business combination or</w:t>
      </w:r>
    </w:p>
    <w:p>
      <w:pPr>
        <w:spacing w:after="0" w:line="2" w:lineRule="exact"/>
        <w:rPr>
          <w:sz w:val="20"/>
          <w:szCs w:val="20"/>
          <w:color w:val="auto"/>
        </w:rPr>
      </w:pPr>
    </w:p>
    <w:p>
      <w:pPr>
        <w:ind w:left="5" w:right="100" w:hanging="5"/>
        <w:spacing w:after="0" w:line="284" w:lineRule="auto"/>
        <w:tabs>
          <w:tab w:leader="none" w:pos="269" w:val="left"/>
        </w:tabs>
        <w:numPr>
          <w:ilvl w:val="0"/>
          <w:numId w:val="14"/>
        </w:numPr>
        <w:rPr>
          <w:rFonts w:ascii="Arial" w:cs="Arial" w:eastAsia="Arial" w:hAnsi="Arial"/>
          <w:sz w:val="16"/>
          <w:szCs w:val="16"/>
          <w:color w:val="auto"/>
        </w:rPr>
      </w:pPr>
      <w:r>
        <w:rPr>
          <w:rFonts w:ascii="Arial" w:cs="Arial" w:eastAsia="Arial" w:hAnsi="Arial"/>
          <w:sz w:val="16"/>
          <w:szCs w:val="16"/>
          <w:color w:val="auto"/>
        </w:rPr>
        <w:t>by means of a tender offer. The decision as to whether we will seek stockholder approval of a proposed initial business combination or conduct a tender offer will be made by us, solely in our discretion, and will be based on a variety of factors such as the timing of the transaction and whether the terms of the transaction would require us to seek stockholder approval under applicable law or stock exchange listing requirements. Under Nasdaq rules, asset acquisitions and stock purchases would not typically require stockholder approval while direct mergers with our company where we do not survive and any transactions where we issue more than 20% of our outstanding common stock or seek to amend our amended and restated certificate of incorporation would typically require stockholder approval. We may conduct redemptions without a stockholder vote pursuant to the tender offer rules of the SEC unless stockholder approval is required by law or stock exchange listing requirements or we choose to seek stockholder approval for business or other legal reasons. So long as we obtain and maintain a listing for our securities on Nasdaq, we will be required to comply with Nasdaq’s stockholder approval rules.</w:t>
      </w:r>
    </w:p>
    <w:p>
      <w:pPr>
        <w:spacing w:after="0" w:line="394" w:lineRule="exact"/>
        <w:rPr>
          <w:sz w:val="20"/>
          <w:szCs w:val="20"/>
          <w:color w:val="auto"/>
        </w:rPr>
      </w:pPr>
    </w:p>
    <w:p>
      <w:pPr>
        <w:ind w:left="1145"/>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-2785110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3675" w:space="720"/>
            <w:col w:w="6845"/>
          </w:cols>
          <w:pgMar w:left="320" w:top="908" w:right="339" w:bottom="1440" w:gutter="0" w:footer="0" w:header="0"/>
        </w:sectPr>
      </w:pPr>
    </w:p>
    <w:bookmarkStart w:id="30" w:name="page31"/>
    <w:bookmarkEnd w:id="30"/>
    <w:p>
      <w:pPr>
        <w:ind w:left="3280" w:right="60"/>
        <w:spacing w:after="0" w:line="263" w:lineRule="auto"/>
        <w:rPr>
          <w:sz w:val="20"/>
          <w:szCs w:val="20"/>
          <w:color w:val="auto"/>
        </w:rPr>
      </w:pPr>
      <w:r>
        <w:rPr>
          <w:rFonts w:ascii="Arial" w:cs="Arial" w:eastAsia="Arial" w:hAnsi="Arial"/>
          <w:sz w:val="18"/>
          <w:szCs w:val="18"/>
          <w:color w:val="auto"/>
        </w:rPr>
        <w:t>If stockholder approval of the transaction is required by law or stock exchange listing requirements, or we decide to obtain stockholder approval for business or other legal reasons, we will:</w:t>
      </w:r>
    </w:p>
    <w:p>
      <w:pPr>
        <w:spacing w:after="0" w:line="184" w:lineRule="exact"/>
        <w:rPr>
          <w:sz w:val="20"/>
          <w:szCs w:val="20"/>
          <w:color w:val="auto"/>
        </w:rPr>
      </w:pPr>
    </w:p>
    <w:p>
      <w:pPr>
        <w:ind w:left="3620" w:right="60" w:hanging="200"/>
        <w:spacing w:after="0" w:line="263" w:lineRule="auto"/>
        <w:tabs>
          <w:tab w:leader="none" w:pos="3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183" w:lineRule="exact"/>
        <w:rPr>
          <w:rFonts w:ascii="Arial" w:cs="Arial" w:eastAsia="Arial" w:hAnsi="Arial"/>
          <w:sz w:val="18"/>
          <w:szCs w:val="18"/>
          <w:color w:val="auto"/>
        </w:rPr>
      </w:pPr>
    </w:p>
    <w:p>
      <w:pPr>
        <w:ind w:left="3620" w:hanging="200"/>
        <w:spacing w:after="0"/>
        <w:tabs>
          <w:tab w:leader="none" w:pos="3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225" w:lineRule="exact"/>
        <w:rPr>
          <w:sz w:val="20"/>
          <w:szCs w:val="20"/>
          <w:color w:val="auto"/>
        </w:rPr>
      </w:pPr>
    </w:p>
    <w:p>
      <w:pPr>
        <w:ind w:left="3280"/>
        <w:spacing w:after="0" w:line="284" w:lineRule="auto"/>
        <w:rPr>
          <w:sz w:val="20"/>
          <w:szCs w:val="20"/>
          <w:color w:val="auto"/>
        </w:rPr>
      </w:pPr>
      <w:r>
        <w:rPr>
          <w:rFonts w:ascii="Arial" w:cs="Arial" w:eastAsia="Arial" w:hAnsi="Arial"/>
          <w:sz w:val="16"/>
          <w:szCs w:val="16"/>
          <w:color w:val="auto"/>
        </w:rPr>
        <w:t>If we seek stockholder approval, we will complete our initial business combination only if a majority of the then outstanding shares of common stock present and entitled to vote at the meeting to approve the initial business combination are voted in favor of the initial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 Our initial stockholders will count towards this quorum and, pursuant to the letter agreement, our sponsor, officers and directors have agreed to vote any founder shares and placement shares held by them and any public shares acquired by them during or after this offering (including in open market and privately negotiated transactions) in favor of our initial business combination. For purposes of seeking approval of the majority of our outstanding shares of common stock voted, non-votes will have no effect on the approval of our initial business combination once a quorum is obtained. As a result, in addition to our initial stockholders’ founder shares, representative shares and placement shares, we would need no additional public shares of the 25,000,000 public shares sold in this offering to be voted in favor of an initial business combination (assuming only the minimum number of shares representing a quorum are voted and excluding the representative’s shares) in order to have our initial business combination approved (assuming the over-allotment option is not exercised, that the initial stockholders do not purchase any units in this offering or units or shares in the after-market). In the event that all shares of our outstanding common stock are voted, we would need 8,160,251 or 32.64%, of the 25,000,000 public shares sold in this offering to be voted in favor of an initial business combination in order to have our initial business combination approved (assuming the over-allotment option is not exercised, that the initial stockholders do not purchase any units in this offering or units or shares in the after-market and excluding the representative’s shares)</w:t>
      </w:r>
    </w:p>
    <w:p>
      <w:pPr>
        <w:spacing w:after="0" w:line="38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80"/>
          </w:cols>
          <w:pgMar w:left="1440" w:top="908" w:right="379" w:bottom="1440" w:gutter="0" w:footer="0" w:header="0"/>
        </w:sectPr>
      </w:pPr>
    </w:p>
    <w:bookmarkStart w:id="31" w:name="page32"/>
    <w:bookmarkEnd w:id="31"/>
    <w:p>
      <w:pPr>
        <w:ind w:left="3280" w:right="60"/>
        <w:spacing w:after="0" w:line="293" w:lineRule="auto"/>
        <w:rPr>
          <w:sz w:val="20"/>
          <w:szCs w:val="20"/>
          <w:color w:val="auto"/>
        </w:rPr>
      </w:pPr>
      <w:r>
        <w:rPr>
          <w:rFonts w:ascii="Arial" w:cs="Arial" w:eastAsia="Arial" w:hAnsi="Arial"/>
          <w:sz w:val="16"/>
          <w:szCs w:val="16"/>
          <w:color w:val="auto"/>
        </w:rPr>
        <w:t>We intend to give approximately 30 days (but not less than 10 days nor more than 60 days) prior written notice of any such meeting, if required, at which a vote shall be taken to approve our initial business combination. These quorum and voting thresholds, and the voting agreements of our initial stockholders, may make it more likely that we will consummate our initial business combination. Each public stockholder may elect to redeem its public shares irrespective of whether they vote for or against the proposed transaction.</w:t>
      </w:r>
    </w:p>
    <w:p>
      <w:pPr>
        <w:spacing w:after="0" w:line="164" w:lineRule="exact"/>
        <w:rPr>
          <w:sz w:val="20"/>
          <w:szCs w:val="20"/>
          <w:color w:val="auto"/>
        </w:rPr>
      </w:pPr>
    </w:p>
    <w:p>
      <w:pPr>
        <w:ind w:left="3280" w:right="240"/>
        <w:spacing w:after="0" w:line="263" w:lineRule="auto"/>
        <w:rPr>
          <w:sz w:val="20"/>
          <w:szCs w:val="20"/>
          <w:color w:val="auto"/>
        </w:rPr>
      </w:pPr>
      <w:r>
        <w:rPr>
          <w:rFonts w:ascii="Arial" w:cs="Arial" w:eastAsia="Arial" w:hAnsi="Arial"/>
          <w:sz w:val="18"/>
          <w:szCs w:val="18"/>
          <w:color w:val="auto"/>
        </w:rPr>
        <w:t>If a stockholder vote is not required and we do not decide to hold a stockholder vote for business or other legal reasons, we will, pursuant to our amended and restated certificate of incorporation:</w:t>
      </w:r>
    </w:p>
    <w:p>
      <w:pPr>
        <w:spacing w:after="0" w:line="184" w:lineRule="exact"/>
        <w:rPr>
          <w:sz w:val="20"/>
          <w:szCs w:val="20"/>
          <w:color w:val="auto"/>
        </w:rPr>
      </w:pPr>
    </w:p>
    <w:p>
      <w:pPr>
        <w:ind w:left="3620" w:hanging="331"/>
        <w:spacing w:after="0" w:line="277" w:lineRule="auto"/>
        <w:tabs>
          <w:tab w:leader="none" w:pos="3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170" w:lineRule="exact"/>
        <w:rPr>
          <w:rFonts w:ascii="Arial" w:cs="Arial" w:eastAsia="Arial" w:hAnsi="Arial"/>
          <w:sz w:val="18"/>
          <w:szCs w:val="18"/>
          <w:color w:val="auto"/>
        </w:rPr>
      </w:pPr>
    </w:p>
    <w:p>
      <w:pPr>
        <w:ind w:left="3620" w:right="20" w:hanging="331"/>
        <w:spacing w:after="0" w:line="279" w:lineRule="auto"/>
        <w:tabs>
          <w:tab w:leader="none" w:pos="3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71" w:lineRule="exact"/>
        <w:rPr>
          <w:sz w:val="20"/>
          <w:szCs w:val="20"/>
          <w:color w:val="auto"/>
        </w:rPr>
      </w:pPr>
    </w:p>
    <w:p>
      <w:pPr>
        <w:ind w:left="3280" w:right="20"/>
        <w:spacing w:after="0" w:line="277" w:lineRule="auto"/>
        <w:rPr>
          <w:sz w:val="20"/>
          <w:szCs w:val="20"/>
          <w:color w:val="auto"/>
        </w:rPr>
      </w:pPr>
      <w:r>
        <w:rPr>
          <w:rFonts w:ascii="Arial" w:cs="Arial" w:eastAsia="Arial" w:hAnsi="Arial"/>
          <w:sz w:val="18"/>
          <w:szCs w:val="18"/>
          <w:color w:val="auto"/>
        </w:rPr>
        <w:t>Such provisions may be amended if approved by holders of at least 65% of our common stock entitled to vote thereon.</w:t>
      </w:r>
    </w:p>
    <w:p>
      <w:pPr>
        <w:spacing w:after="0" w:line="170" w:lineRule="exact"/>
        <w:rPr>
          <w:sz w:val="20"/>
          <w:szCs w:val="20"/>
          <w:color w:val="auto"/>
        </w:rPr>
      </w:pPr>
    </w:p>
    <w:p>
      <w:pPr>
        <w:ind w:left="3380" w:right="80"/>
        <w:spacing w:after="0" w:line="272" w:lineRule="auto"/>
        <w:rPr>
          <w:sz w:val="20"/>
          <w:szCs w:val="20"/>
          <w:color w:val="auto"/>
        </w:rPr>
      </w:pPr>
      <w:r>
        <w:rPr>
          <w:rFonts w:ascii="Arial" w:cs="Arial" w:eastAsia="Arial" w:hAnsi="Arial"/>
          <w:sz w:val="17"/>
          <w:szCs w:val="17"/>
          <w:color w:val="auto"/>
        </w:rPr>
        <w:t>Whether or not we maintain our registration under the Exchange Act or our listing on Nasdaq, we will provide our public stockholders with the opportunity to redeem their public shares by one of the two methods listed above. Upon the public announcement of our initial business combination, if we elect to conduct redemptions pursuant to the tender offer rules, we or our sponsor will terminate any plan established in accordance with Rule 10b5-1 to purchase shares of our Class A common stock in the open market, in order to comply with Rule 14e-5 under the Exchange Act.</w:t>
      </w:r>
    </w:p>
    <w:p>
      <w:pPr>
        <w:spacing w:after="0" w:line="204" w:lineRule="exact"/>
        <w:rPr>
          <w:sz w:val="20"/>
          <w:szCs w:val="20"/>
          <w:color w:val="auto"/>
        </w:rPr>
      </w:pPr>
    </w:p>
    <w:p>
      <w:pPr>
        <w:ind w:left="3380" w:right="60"/>
        <w:spacing w:after="0" w:line="269" w:lineRule="auto"/>
        <w:rPr>
          <w:sz w:val="20"/>
          <w:szCs w:val="20"/>
          <w:color w:val="auto"/>
        </w:rPr>
      </w:pPr>
      <w:r>
        <w:rPr>
          <w:rFonts w:ascii="Arial" w:cs="Arial" w:eastAsia="Arial" w:hAnsi="Arial"/>
          <w:sz w:val="17"/>
          <w:szCs w:val="17"/>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we will not redeem any public shares unless our net tangible assets will be at least $5,000,001 either immediately prior to or upon consummation of our initial business combination and after payment of underwriters’ fees and commissions (so that we are not subject to the SEC’s “penny stock” rules) or any greater net tangible asset or cash requirement which may be contained in the agreement relating to our initial business combination. If public stockholders tender more shares than we have offered to purchase, we will withdraw the tender offer and not complete the initial business combination.</w:t>
      </w:r>
    </w:p>
    <w:p>
      <w:pPr>
        <w:spacing w:after="0" w:line="39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32" w:name="page33"/>
    <w:bookmarkEnd w:id="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hanging="161"/>
        <w:spacing w:after="0" w:line="263" w:lineRule="auto"/>
        <w:rPr>
          <w:sz w:val="20"/>
          <w:szCs w:val="20"/>
          <w:color w:val="auto"/>
        </w:rPr>
      </w:pPr>
      <w:r>
        <w:rPr>
          <w:rFonts w:ascii="Arial" w:cs="Arial" w:eastAsia="Arial" w:hAnsi="Arial"/>
          <w:sz w:val="18"/>
          <w:szCs w:val="18"/>
          <w:color w:val="auto"/>
        </w:rPr>
        <w:t>Limitation on redemption rights of stockholders holding 15% or more of the shares sold in this offering if we hold stockholder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520" w:hanging="179"/>
        <w:spacing w:after="0" w:line="342" w:lineRule="auto"/>
        <w:rPr>
          <w:sz w:val="20"/>
          <w:szCs w:val="20"/>
          <w:color w:val="auto"/>
        </w:rPr>
      </w:pPr>
      <w:r>
        <w:rPr>
          <w:rFonts w:ascii="Arial" w:cs="Arial" w:eastAsia="Arial" w:hAnsi="Arial"/>
          <w:sz w:val="16"/>
          <w:szCs w:val="16"/>
          <w:color w:val="auto"/>
        </w:rPr>
        <w:t>Redemption rights in connection with proposed amendments to our certificate of incorporation</w:t>
      </w:r>
    </w:p>
    <w:p>
      <w:pPr>
        <w:spacing w:after="0" w:line="20" w:lineRule="exact"/>
        <w:rPr>
          <w:sz w:val="20"/>
          <w:szCs w:val="20"/>
          <w:color w:val="auto"/>
        </w:rPr>
      </w:pPr>
      <w:r>
        <w:rPr>
          <w:sz w:val="20"/>
          <w:szCs w:val="20"/>
          <w:color w:val="auto"/>
        </w:rPr>
        <w:br w:type="column"/>
      </w:r>
    </w:p>
    <w:p>
      <w:pPr>
        <w:spacing w:after="0" w:line="269" w:lineRule="auto"/>
        <w:rPr>
          <w:sz w:val="20"/>
          <w:szCs w:val="20"/>
          <w:color w:val="auto"/>
        </w:rPr>
      </w:pPr>
      <w:r>
        <w:rPr>
          <w:rFonts w:ascii="Arial" w:cs="Arial" w:eastAsia="Arial" w:hAnsi="Arial"/>
          <w:sz w:val="17"/>
          <w:szCs w:val="17"/>
          <w:color w:val="auto"/>
        </w:rPr>
        <w:t>We may require our public stockholders seeking to exercise their redemption rights, whether they are record holders or hold their shares in “street name,” to either tender their certificates to our transfer agent prior to the date set forth in the tender offer documents mailed to such holders, or up to two business days prior to the vote on the proposal to approve the initial business combination in the event we distribute proxy materials, or to deliver their shares to the transfer agent electronically. We believe that this will allow our transfer agent to efficiently process any redemptions without the need for further communication or action from the redeeming public stockholders, which could delay redemptions and result in additional administrative cost. If the proposed initial business combination is not approved and we continue to search for a target company, we will promptly return any certificates delivered, or shares tendered electronically, by public stockholders who elected to redeem their shares.</w:t>
      </w:r>
    </w:p>
    <w:p>
      <w:pPr>
        <w:spacing w:after="0" w:line="179"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Our amended and restated certificate of incorporation will provide that in no event will we redeem our public shares unless our net tangible assets are at least $5,000,001 either immediately prior to or upon consummation of our initial business combination and after payment of underwriters’ fees and commissions (so that we are not subject to the SEC’s “penny stock” rules) or any greater net tangible asset or cash requirement which may be contained in the agreement relating to our initial business combination. For example, the proposed initial business combination may require: (i) cash consideration to be paid to the target or its owners, (ii) cash to be transferred to the target for working capital or other general corporate purposes or (iii) the retention of cash to satisfy other conditions in accordance with the terms of the proposed initial business combination. In the event the aggregate cash consideration we would be required to pay for all shares of 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and all shares of Class A common stock submitted for redemption will be returned to the holders thereof.</w:t>
      </w:r>
    </w:p>
    <w:p>
      <w:pPr>
        <w:spacing w:after="0" w:line="20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Notwithstanding the foregoing redemption rights, 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redeeming its shares with respect to more than an aggregate of 15% of the shares sold in this offering, without our prior consent. We believe the restriction described above will discourage stockholders from accumulating large blocks of shares, and subsequent attempts by such holders to use their ability to redeem their shares as a means to force us or our management to purchase their shares at a significant premium to the then-current market price or on other undesirable terms. By limiting our stockholders’ ability to redeem to no more than 15% of the shares sold in this offering, we believe we will limit the ability of a small group of stockholders to unreasonably attempt to block our ability to complete our initial business combination, particularly in connection with an initial business combination with a target that requires as a closing condition that we have a minimum net worth or a certain amount of cash. However, we would not be restricting our stockholders’ ability to vote all of their shares (including all shares held by those stockholders that hold more than 15% of the shares sold in this offering) for or against our initial business combination.</w:t>
      </w:r>
    </w:p>
    <w:p>
      <w:pPr>
        <w:spacing w:after="0" w:line="16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amended and restated certificate of incorporation will provide that any of its provisions related to pre-initial business combination activity (including the requirement to deposit proceeds of this offering and the private placement of units into the trust account and not release such amounts except in specified circumstances, and to provide redemption rights to public stockholders as described herein) may be amended if approved by holders of at least 65% of our common stock entitled to vote thereon, and corresponding provisions of the trust agreement governing the release of funds from our trust account may be amended if approved by holders of at least 65% of our common stock entitled to vote thereon. In all other instances, our amended and restated certificate of incorporation may be amended by holders of a majority of our outstanding common stock entitled to vote thereon, subject to applicable provisions of the Delaware General Corporation Law, or DGCL, or applicable stock exchange rules.</w:t>
      </w:r>
    </w:p>
    <w:p>
      <w:pPr>
        <w:spacing w:after="0" w:line="206"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Under our amended and restated certificate of incorporation, we may not issue additional securities that can vote on amendments to our amended and restated certificate of incorporation or on our initial business combination or that would entitle holders thereof to receive funds from the trust account. Our initial stockholders, who will collectively beneficially own approximately 26.6% of our common stock upon the closing of this offering (including the placement shares to be issued to the sponsor, excluding representative shares and assuming they do not purchase any units in this offering), will participate in any vote to amend our amended and restated certificate of incorporation and/or trust agreement and will have the discretion to vote in any manner they choose. Our</w:t>
      </w:r>
    </w:p>
    <w:p>
      <w:pPr>
        <w:sectPr>
          <w:pgSz w:w="11900" w:h="16838" w:orient="portrait"/>
          <w:cols w:equalWidth="0" w:num="2">
            <w:col w:w="3880" w:space="440"/>
            <w:col w:w="6680"/>
          </w:cols>
          <w:pgMar w:left="500" w:top="908" w:right="399" w:bottom="0" w:gutter="0" w:footer="0" w:header="0"/>
        </w:sectPr>
      </w:pPr>
    </w:p>
    <w:bookmarkStart w:id="33" w:name="page34"/>
    <w:bookmarkEnd w:id="33"/>
    <w:p>
      <w:pPr>
        <w:ind w:left="3380"/>
        <w:spacing w:after="0" w:line="268" w:lineRule="auto"/>
        <w:rPr>
          <w:sz w:val="20"/>
          <w:szCs w:val="20"/>
          <w:color w:val="auto"/>
        </w:rPr>
      </w:pPr>
      <w:r>
        <w:rPr>
          <w:rFonts w:ascii="Arial" w:cs="Arial" w:eastAsia="Arial" w:hAnsi="Arial"/>
          <w:sz w:val="17"/>
          <w:szCs w:val="17"/>
          <w:color w:val="auto"/>
        </w:rPr>
        <w:t>sponsor, executive officers, and directors have agreed, pursuant to a written agreement with us, that they will not propose any amendment to our amended and restated certificate of incorporation (i) to modify the substance or timing of our obligation to allow holders to redeem their shares in connection with an initial business combination or to redeem 100% of our public shares if we do not complete our initial business combination within 15 months from the closing of this offering or (ii) with respect to any other provision relating to stockholders’ rights or pre-business combination activity, unless we provide our public stockholders with the opportunity to redeem their shares of Class A common stock upon approval of any such amendment at a per-share price, payable in cash, equal to the aggregate amount then on deposit in the trust account, including interest (which interest shall be net of taxes payable) divided by the number of then outstanding public shares. Our sponsor, officers and directors have entered into a letter agreement with us pursuant to which they have agreed to waive their redemption rights with respect to any founder shares and placement shares and any public shares held by them in connection with the completion of our initial business combination.</w:t>
      </w:r>
    </w:p>
    <w:p>
      <w:pPr>
        <w:spacing w:after="0" w:line="39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40"/>
          </w:cols>
          <w:pgMar w:left="1440" w:top="125" w:right="419" w:bottom="1440" w:gutter="0" w:footer="0" w:header="0"/>
        </w:sectPr>
      </w:pPr>
    </w:p>
    <w:bookmarkStart w:id="34" w:name="page35"/>
    <w:bookmarkEnd w:id="34"/>
    <w:p>
      <w:pPr>
        <w:ind w:left="180" w:hanging="161"/>
        <w:spacing w:after="0" w:line="277" w:lineRule="auto"/>
        <w:rPr>
          <w:sz w:val="20"/>
          <w:szCs w:val="20"/>
          <w:color w:val="auto"/>
        </w:rPr>
      </w:pPr>
      <w:r>
        <w:rPr>
          <w:rFonts w:ascii="Arial" w:cs="Arial" w:eastAsia="Arial" w:hAnsi="Arial"/>
          <w:sz w:val="18"/>
          <w:szCs w:val="18"/>
          <w:color w:val="auto"/>
        </w:rPr>
        <w:t>Release of funds in trust account on closing of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Redemption of public shares and distribution and</w:t>
      </w:r>
    </w:p>
    <w:p>
      <w:pPr>
        <w:spacing w:after="0" w:line="4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liquidation if no initial business combination</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7"/>
          <w:szCs w:val="17"/>
          <w:color w:val="auto"/>
        </w:rPr>
        <w:t>On the completion of our initial business combination, the funds held in the trust account will be used to pay amounts due to any public stockholders who exercise their redemption rights as described above under “Redemption rights for public stockholders upon completion of our initial business combination.” We will use the remaining funds to pay the underwriters their deferred underwriting commissions, to pay all or a portion of the consideration payable to the target or owners of the target of our initial business combination and to pay other expenses associated with our initial business combination. If our initial business combination is paid for using equity or debt securities, or not all of the funds released from the trust account are used for payment of the consideration in connection with our initial business combination,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18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Our amended and restated certificate of incorporation will provide that we will have only 15 months from the closing of this offering to complete our initial business combination. If we are unable to complete our initial business combination within such allotted time period (and our stockholders have not approved an amendment to our charter extending this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the case of clauses (ii) and (iii) above to our obligations under Delaware law to provide for claims of creditors and the requirements of other applicable law. There will be no redemption rights or liquidating distributions with respect to our warrants, which will expire worthless if we fail to complete our initial business combination within the allotted time period.</w:t>
      </w:r>
    </w:p>
    <w:p>
      <w:pPr>
        <w:spacing w:after="0" w:line="38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4100" w:space="400"/>
            <w:col w:w="6740"/>
          </w:cols>
          <w:pgMar w:left="320" w:top="908"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2"/>
              </w:rPr>
              <w:t>Our sponsor, officers and directors have entered into a letter agreement with us pursuant to</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2"/>
              </w:rPr>
              <w:t>which they have agreed to waive their redemption rights with respect to any founder shares</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3"/>
              </w:rPr>
              <w:t>and placement shares if we are forced to liquidate. The underwriters have agreed to waive</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4"/>
              </w:rPr>
              <w:t>their rights to their deferred underwriting commission in the event we do not complete our</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1"/>
              </w:rPr>
              <w:t>initial business combination and subsequently liquidate and, in such event, the deferred fees</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7"/>
              </w:rPr>
              <w:t>will be included with the funds held in the trust account that will be available to fund the</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3"/>
              </w:rPr>
              <w:t>redemption of our public shares. The holders of representative shares will not participate in</w:t>
            </w:r>
          </w:p>
        </w:tc>
      </w:tr>
      <w:tr>
        <w:trPr>
          <w:trHeight w:val="230"/>
        </w:trPr>
        <w:tc>
          <w:tcPr>
            <w:tcW w:w="3300" w:type="dxa"/>
            <w:vAlign w:val="bottom"/>
          </w:tcPr>
          <w:p>
            <w:pPr>
              <w:spacing w:after="0"/>
              <w:rPr>
                <w:sz w:val="20"/>
                <w:szCs w:val="20"/>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rPr>
              <w:t>any distribution from our trust account with respect to such shares.</w:t>
            </w:r>
          </w:p>
        </w:tc>
      </w:tr>
      <w:tr>
        <w:trPr>
          <w:trHeight w:val="418"/>
        </w:trPr>
        <w:tc>
          <w:tcPr>
            <w:tcW w:w="3300" w:type="dxa"/>
            <w:vAlign w:val="bottom"/>
          </w:tcPr>
          <w:p>
            <w:pPr>
              <w:spacing w:after="0"/>
              <w:rPr>
                <w:sz w:val="20"/>
                <w:szCs w:val="20"/>
                <w:color w:val="auto"/>
              </w:rPr>
            </w:pPr>
            <w:r>
              <w:rPr>
                <w:rFonts w:ascii="Arial" w:cs="Arial" w:eastAsia="Arial" w:hAnsi="Arial"/>
                <w:sz w:val="18"/>
                <w:szCs w:val="18"/>
                <w:color w:val="auto"/>
              </w:rPr>
              <w:t>Limited payments to insiders</w:t>
            </w:r>
          </w:p>
        </w:tc>
        <w:tc>
          <w:tcPr>
            <w:tcW w:w="7940" w:type="dxa"/>
            <w:vAlign w:val="bottom"/>
          </w:tcPr>
          <w:p>
            <w:pPr>
              <w:ind w:left="1200"/>
              <w:spacing w:after="0"/>
              <w:rPr>
                <w:sz w:val="20"/>
                <w:szCs w:val="20"/>
                <w:color w:val="auto"/>
              </w:rPr>
            </w:pPr>
            <w:r>
              <w:rPr>
                <w:rFonts w:ascii="Arial" w:cs="Arial" w:eastAsia="Arial" w:hAnsi="Arial"/>
                <w:sz w:val="18"/>
                <w:szCs w:val="18"/>
                <w:color w:val="auto"/>
                <w:w w:val="91"/>
              </w:rPr>
              <w:t>There will be no finder’s fees, reimbursement, consulting fee, non-cash payments, monies in</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0"/>
              </w:rPr>
              <w:t>respect of any payment of a loan or other compensation paid by us to our sponsor, officers or</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5"/>
              </w:rPr>
              <w:t>directors or any affiliate of our sponsor, officers or directors prior to, or in connection with</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9"/>
              </w:rPr>
              <w:t>any services rendered in order to effectuate, the consummation of our initial business</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rPr>
              <w:t>combination (regardless of the type of transaction that it is). However, the following</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2"/>
              </w:rPr>
              <w:t>payments will be made to our sponsor, officers or directors, or our or their affiliates, none of</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5"/>
              </w:rPr>
              <w:t>which will be made from the proceeds of this offering and the sale of the placement units</w:t>
            </w:r>
          </w:p>
        </w:tc>
      </w:tr>
      <w:tr>
        <w:trPr>
          <w:trHeight w:val="230"/>
        </w:trPr>
        <w:tc>
          <w:tcPr>
            <w:tcW w:w="3300" w:type="dxa"/>
            <w:vAlign w:val="bottom"/>
          </w:tcPr>
          <w:p>
            <w:pPr>
              <w:spacing w:after="0"/>
              <w:rPr>
                <w:sz w:val="20"/>
                <w:szCs w:val="20"/>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rPr>
              <w:t>held in the trust account prior to the completion of our initial business combination:</w:t>
            </w:r>
          </w:p>
        </w:tc>
      </w:tr>
      <w:tr>
        <w:trPr>
          <w:trHeight w:val="418"/>
        </w:trPr>
        <w:tc>
          <w:tcPr>
            <w:tcW w:w="3300" w:type="dxa"/>
            <w:vAlign w:val="bottom"/>
          </w:tcPr>
          <w:p>
            <w:pPr>
              <w:spacing w:after="0"/>
              <w:rPr>
                <w:sz w:val="24"/>
                <w:szCs w:val="24"/>
                <w:color w:val="auto"/>
              </w:rPr>
            </w:pPr>
          </w:p>
        </w:tc>
        <w:tc>
          <w:tcPr>
            <w:tcW w:w="7940" w:type="dxa"/>
            <w:vAlign w:val="bottom"/>
          </w:tcPr>
          <w:p>
            <w:pPr>
              <w:ind w:left="1360"/>
              <w:spacing w:after="0"/>
              <w:rPr>
                <w:sz w:val="20"/>
                <w:szCs w:val="20"/>
                <w:color w:val="auto"/>
              </w:rPr>
            </w:pPr>
            <w:r>
              <w:rPr>
                <w:rFonts w:ascii="Arial" w:cs="Arial" w:eastAsia="Arial" w:hAnsi="Arial"/>
                <w:sz w:val="18"/>
                <w:szCs w:val="18"/>
                <w:color w:val="auto"/>
                <w:w w:val="95"/>
              </w:rPr>
              <w:t>• Repayment of up to an aggregate of $300,000 in loans made to us by our sponsor to</w:t>
            </w:r>
          </w:p>
        </w:tc>
      </w:tr>
      <w:tr>
        <w:trPr>
          <w:trHeight w:val="230"/>
        </w:trPr>
        <w:tc>
          <w:tcPr>
            <w:tcW w:w="3300" w:type="dxa"/>
            <w:vAlign w:val="bottom"/>
          </w:tcPr>
          <w:p>
            <w:pPr>
              <w:spacing w:after="0"/>
              <w:rPr>
                <w:sz w:val="20"/>
                <w:szCs w:val="20"/>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rPr>
              <w:t>cover offering-related and organizational expenses;</w:t>
            </w:r>
          </w:p>
        </w:tc>
      </w:tr>
      <w:tr>
        <w:trPr>
          <w:trHeight w:val="418"/>
        </w:trPr>
        <w:tc>
          <w:tcPr>
            <w:tcW w:w="3300" w:type="dxa"/>
            <w:vAlign w:val="bottom"/>
          </w:tcPr>
          <w:p>
            <w:pPr>
              <w:spacing w:after="0"/>
              <w:rPr>
                <w:sz w:val="24"/>
                <w:szCs w:val="24"/>
                <w:color w:val="auto"/>
              </w:rPr>
            </w:pPr>
          </w:p>
        </w:tc>
        <w:tc>
          <w:tcPr>
            <w:tcW w:w="7940" w:type="dxa"/>
            <w:vAlign w:val="bottom"/>
          </w:tcPr>
          <w:p>
            <w:pPr>
              <w:ind w:left="1300"/>
              <w:spacing w:after="0"/>
              <w:rPr>
                <w:sz w:val="20"/>
                <w:szCs w:val="20"/>
                <w:color w:val="auto"/>
              </w:rPr>
            </w:pPr>
            <w:r>
              <w:rPr>
                <w:rFonts w:ascii="Arial" w:cs="Arial" w:eastAsia="Arial" w:hAnsi="Arial"/>
                <w:sz w:val="18"/>
                <w:szCs w:val="18"/>
                <w:color w:val="auto"/>
                <w:w w:val="94"/>
              </w:rPr>
              <w:t>• Reimbursement for any out-of-pocket expenses related to identifying, investigating and</w:t>
            </w:r>
          </w:p>
        </w:tc>
      </w:tr>
      <w:tr>
        <w:trPr>
          <w:trHeight w:val="230"/>
        </w:trPr>
        <w:tc>
          <w:tcPr>
            <w:tcW w:w="3300" w:type="dxa"/>
            <w:vAlign w:val="bottom"/>
          </w:tcPr>
          <w:p>
            <w:pPr>
              <w:spacing w:after="0"/>
              <w:rPr>
                <w:sz w:val="20"/>
                <w:szCs w:val="20"/>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rPr>
              <w:t>completing an initial business combination;</w:t>
            </w:r>
          </w:p>
        </w:tc>
      </w:tr>
      <w:tr>
        <w:trPr>
          <w:trHeight w:val="418"/>
        </w:trPr>
        <w:tc>
          <w:tcPr>
            <w:tcW w:w="3300" w:type="dxa"/>
            <w:vAlign w:val="bottom"/>
          </w:tcPr>
          <w:p>
            <w:pPr>
              <w:spacing w:after="0"/>
              <w:rPr>
                <w:sz w:val="24"/>
                <w:szCs w:val="24"/>
                <w:color w:val="auto"/>
              </w:rPr>
            </w:pPr>
          </w:p>
        </w:tc>
        <w:tc>
          <w:tcPr>
            <w:tcW w:w="7940" w:type="dxa"/>
            <w:vAlign w:val="bottom"/>
          </w:tcPr>
          <w:p>
            <w:pPr>
              <w:ind w:left="1360"/>
              <w:spacing w:after="0"/>
              <w:rPr>
                <w:sz w:val="20"/>
                <w:szCs w:val="20"/>
                <w:color w:val="auto"/>
              </w:rPr>
            </w:pPr>
            <w:r>
              <w:rPr>
                <w:rFonts w:ascii="Arial" w:cs="Arial" w:eastAsia="Arial" w:hAnsi="Arial"/>
                <w:sz w:val="18"/>
                <w:szCs w:val="18"/>
                <w:color w:val="auto"/>
              </w:rPr>
              <w:t>• Payment to our sponsor of a total of $10,000 per month (up to $150,000 in the</w:t>
            </w:r>
          </w:p>
        </w:tc>
      </w:tr>
      <w:tr>
        <w:trPr>
          <w:trHeight w:val="216"/>
        </w:trPr>
        <w:tc>
          <w:tcPr>
            <w:tcW w:w="3300" w:type="dxa"/>
            <w:vAlign w:val="bottom"/>
          </w:tcPr>
          <w:p>
            <w:pPr>
              <w:spacing w:after="0"/>
              <w:rPr>
                <w:sz w:val="18"/>
                <w:szCs w:val="18"/>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rPr>
              <w:t>aggregate) for office space, utilities and secretarial and administrative services</w:t>
            </w:r>
          </w:p>
        </w:tc>
      </w:tr>
      <w:tr>
        <w:trPr>
          <w:trHeight w:val="230"/>
        </w:trPr>
        <w:tc>
          <w:tcPr>
            <w:tcW w:w="3300" w:type="dxa"/>
            <w:vAlign w:val="bottom"/>
          </w:tcPr>
          <w:p>
            <w:pPr>
              <w:spacing w:after="0"/>
              <w:rPr>
                <w:sz w:val="20"/>
                <w:szCs w:val="20"/>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rPr>
              <w:t>commencing on the date that our securities are first listed on Nasdaq; and</w:t>
            </w:r>
          </w:p>
        </w:tc>
      </w:tr>
      <w:tr>
        <w:trPr>
          <w:trHeight w:val="418"/>
        </w:trPr>
        <w:tc>
          <w:tcPr>
            <w:tcW w:w="3300" w:type="dxa"/>
            <w:vAlign w:val="bottom"/>
          </w:tcPr>
          <w:p>
            <w:pPr>
              <w:spacing w:after="0"/>
              <w:rPr>
                <w:sz w:val="24"/>
                <w:szCs w:val="24"/>
                <w:color w:val="auto"/>
              </w:rPr>
            </w:pPr>
          </w:p>
        </w:tc>
        <w:tc>
          <w:tcPr>
            <w:tcW w:w="7940" w:type="dxa"/>
            <w:vAlign w:val="bottom"/>
          </w:tcPr>
          <w:p>
            <w:pPr>
              <w:ind w:left="1360"/>
              <w:spacing w:after="0"/>
              <w:rPr>
                <w:sz w:val="20"/>
                <w:szCs w:val="20"/>
                <w:color w:val="auto"/>
              </w:rPr>
            </w:pPr>
            <w:r>
              <w:rPr>
                <w:rFonts w:ascii="Arial" w:cs="Arial" w:eastAsia="Arial" w:hAnsi="Arial"/>
                <w:sz w:val="18"/>
                <w:szCs w:val="18"/>
                <w:color w:val="auto"/>
                <w:w w:val="97"/>
              </w:rPr>
              <w:t>• Repayment of non-interest bearing loans which may be made by our sponsor or an</w:t>
            </w:r>
          </w:p>
        </w:tc>
      </w:tr>
      <w:tr>
        <w:trPr>
          <w:trHeight w:val="216"/>
        </w:trPr>
        <w:tc>
          <w:tcPr>
            <w:tcW w:w="3300" w:type="dxa"/>
            <w:vAlign w:val="bottom"/>
          </w:tcPr>
          <w:p>
            <w:pPr>
              <w:spacing w:after="0"/>
              <w:rPr>
                <w:sz w:val="18"/>
                <w:szCs w:val="18"/>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w w:val="97"/>
              </w:rPr>
              <w:t>affiliate of our sponsor or certain of our officers and directors to finance transaction</w:t>
            </w:r>
          </w:p>
        </w:tc>
      </w:tr>
      <w:tr>
        <w:trPr>
          <w:trHeight w:val="216"/>
        </w:trPr>
        <w:tc>
          <w:tcPr>
            <w:tcW w:w="3300" w:type="dxa"/>
            <w:vAlign w:val="bottom"/>
          </w:tcPr>
          <w:p>
            <w:pPr>
              <w:spacing w:after="0"/>
              <w:rPr>
                <w:sz w:val="18"/>
                <w:szCs w:val="18"/>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w w:val="98"/>
              </w:rPr>
              <w:t>costs in connection with an intended initial business combination and non-interest</w:t>
            </w:r>
          </w:p>
        </w:tc>
      </w:tr>
      <w:tr>
        <w:trPr>
          <w:trHeight w:val="216"/>
        </w:trPr>
        <w:tc>
          <w:tcPr>
            <w:tcW w:w="3300" w:type="dxa"/>
            <w:vAlign w:val="bottom"/>
          </w:tcPr>
          <w:p>
            <w:pPr>
              <w:spacing w:after="0"/>
              <w:rPr>
                <w:sz w:val="18"/>
                <w:szCs w:val="18"/>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rPr>
              <w:t>bearing loans which may be made by our sponsor to extend the time period for</w:t>
            </w:r>
          </w:p>
        </w:tc>
      </w:tr>
      <w:tr>
        <w:trPr>
          <w:trHeight w:val="216"/>
        </w:trPr>
        <w:tc>
          <w:tcPr>
            <w:tcW w:w="3300" w:type="dxa"/>
            <w:vAlign w:val="bottom"/>
          </w:tcPr>
          <w:p>
            <w:pPr>
              <w:spacing w:after="0"/>
              <w:rPr>
                <w:sz w:val="18"/>
                <w:szCs w:val="18"/>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w w:val="99"/>
              </w:rPr>
              <w:t>consummating our initial business combination, the terms of which (other than as</w:t>
            </w:r>
          </w:p>
        </w:tc>
      </w:tr>
      <w:tr>
        <w:trPr>
          <w:trHeight w:val="216"/>
        </w:trPr>
        <w:tc>
          <w:tcPr>
            <w:tcW w:w="3300" w:type="dxa"/>
            <w:vAlign w:val="bottom"/>
          </w:tcPr>
          <w:p>
            <w:pPr>
              <w:spacing w:after="0"/>
              <w:rPr>
                <w:sz w:val="18"/>
                <w:szCs w:val="18"/>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w w:val="96"/>
              </w:rPr>
              <w:t>described above) have not been determined nor have any written agreements been</w:t>
            </w:r>
          </w:p>
        </w:tc>
      </w:tr>
      <w:tr>
        <w:trPr>
          <w:trHeight w:val="216"/>
        </w:trPr>
        <w:tc>
          <w:tcPr>
            <w:tcW w:w="3300" w:type="dxa"/>
            <w:vAlign w:val="bottom"/>
          </w:tcPr>
          <w:p>
            <w:pPr>
              <w:spacing w:after="0"/>
              <w:rPr>
                <w:sz w:val="18"/>
                <w:szCs w:val="18"/>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w w:val="92"/>
              </w:rPr>
              <w:t>executed with respect thereto. Up to $1,500,000 of the loans made by our sponsor, our</w:t>
            </w:r>
          </w:p>
        </w:tc>
      </w:tr>
      <w:tr>
        <w:trPr>
          <w:trHeight w:val="216"/>
        </w:trPr>
        <w:tc>
          <w:tcPr>
            <w:tcW w:w="3300" w:type="dxa"/>
            <w:vAlign w:val="bottom"/>
          </w:tcPr>
          <w:p>
            <w:pPr>
              <w:spacing w:after="0"/>
              <w:rPr>
                <w:sz w:val="18"/>
                <w:szCs w:val="18"/>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w w:val="96"/>
              </w:rPr>
              <w:t>officers and directors, or our or their affiliates to us prior to or in connection with our</w:t>
            </w:r>
          </w:p>
        </w:tc>
      </w:tr>
      <w:tr>
        <w:trPr>
          <w:trHeight w:val="216"/>
        </w:trPr>
        <w:tc>
          <w:tcPr>
            <w:tcW w:w="3300" w:type="dxa"/>
            <w:vAlign w:val="bottom"/>
          </w:tcPr>
          <w:p>
            <w:pPr>
              <w:spacing w:after="0"/>
              <w:rPr>
                <w:sz w:val="18"/>
                <w:szCs w:val="18"/>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w w:val="93"/>
              </w:rPr>
              <w:t>initial business combination may be convertible into units, at a price of $10.00 per unit</w:t>
            </w:r>
          </w:p>
        </w:tc>
      </w:tr>
      <w:tr>
        <w:trPr>
          <w:trHeight w:val="216"/>
        </w:trPr>
        <w:tc>
          <w:tcPr>
            <w:tcW w:w="3300" w:type="dxa"/>
            <w:vAlign w:val="bottom"/>
          </w:tcPr>
          <w:p>
            <w:pPr>
              <w:spacing w:after="0"/>
              <w:rPr>
                <w:sz w:val="18"/>
                <w:szCs w:val="18"/>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w w:val="92"/>
              </w:rPr>
              <w:t>at the option of the lender, upon consummation of our initial business combination. The</w:t>
            </w:r>
          </w:p>
        </w:tc>
      </w:tr>
      <w:tr>
        <w:trPr>
          <w:trHeight w:val="230"/>
        </w:trPr>
        <w:tc>
          <w:tcPr>
            <w:tcW w:w="3300" w:type="dxa"/>
            <w:vAlign w:val="bottom"/>
          </w:tcPr>
          <w:p>
            <w:pPr>
              <w:spacing w:after="0"/>
              <w:rPr>
                <w:sz w:val="20"/>
                <w:szCs w:val="20"/>
                <w:color w:val="auto"/>
              </w:rPr>
            </w:pPr>
          </w:p>
        </w:tc>
        <w:tc>
          <w:tcPr>
            <w:tcW w:w="7940" w:type="dxa"/>
            <w:vAlign w:val="bottom"/>
          </w:tcPr>
          <w:p>
            <w:pPr>
              <w:ind w:left="1520"/>
              <w:spacing w:after="0"/>
              <w:rPr>
                <w:sz w:val="20"/>
                <w:szCs w:val="20"/>
                <w:color w:val="auto"/>
              </w:rPr>
            </w:pPr>
            <w:r>
              <w:rPr>
                <w:rFonts w:ascii="Arial" w:cs="Arial" w:eastAsia="Arial" w:hAnsi="Arial"/>
                <w:sz w:val="18"/>
                <w:szCs w:val="18"/>
                <w:color w:val="auto"/>
              </w:rPr>
              <w:t>units would be identical to the placement units.</w:t>
            </w:r>
          </w:p>
        </w:tc>
      </w:tr>
      <w:tr>
        <w:trPr>
          <w:trHeight w:val="418"/>
        </w:trPr>
        <w:tc>
          <w:tcPr>
            <w:tcW w:w="3300" w:type="dxa"/>
            <w:vAlign w:val="bottom"/>
          </w:tcPr>
          <w:p>
            <w:pPr>
              <w:spacing w:after="0"/>
              <w:rPr>
                <w:sz w:val="24"/>
                <w:szCs w:val="24"/>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6"/>
              </w:rPr>
              <w:t>Our audit committee will review on a quarterly basis all payments that were made to our</w:t>
            </w:r>
          </w:p>
        </w:tc>
      </w:tr>
      <w:tr>
        <w:trPr>
          <w:trHeight w:val="230"/>
        </w:trPr>
        <w:tc>
          <w:tcPr>
            <w:tcW w:w="3300" w:type="dxa"/>
            <w:vAlign w:val="bottom"/>
          </w:tcPr>
          <w:p>
            <w:pPr>
              <w:spacing w:after="0"/>
              <w:rPr>
                <w:sz w:val="20"/>
                <w:szCs w:val="20"/>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rPr>
              <w:t>sponsor, officers or directors or our or their affiliates.</w:t>
            </w:r>
          </w:p>
        </w:tc>
      </w:tr>
      <w:tr>
        <w:trPr>
          <w:trHeight w:val="418"/>
        </w:trPr>
        <w:tc>
          <w:tcPr>
            <w:tcW w:w="3300" w:type="dxa"/>
            <w:vAlign w:val="bottom"/>
          </w:tcPr>
          <w:p>
            <w:pPr>
              <w:spacing w:after="0"/>
              <w:rPr>
                <w:sz w:val="20"/>
                <w:szCs w:val="20"/>
                <w:color w:val="auto"/>
              </w:rPr>
            </w:pPr>
            <w:r>
              <w:rPr>
                <w:rFonts w:ascii="Arial" w:cs="Arial" w:eastAsia="Arial" w:hAnsi="Arial"/>
                <w:sz w:val="18"/>
                <w:szCs w:val="18"/>
                <w:color w:val="auto"/>
              </w:rPr>
              <w:t>Audit Committee</w:t>
            </w:r>
          </w:p>
        </w:tc>
        <w:tc>
          <w:tcPr>
            <w:tcW w:w="7940" w:type="dxa"/>
            <w:vAlign w:val="bottom"/>
          </w:tcPr>
          <w:p>
            <w:pPr>
              <w:ind w:left="1200"/>
              <w:spacing w:after="0"/>
              <w:rPr>
                <w:sz w:val="20"/>
                <w:szCs w:val="20"/>
                <w:color w:val="auto"/>
              </w:rPr>
            </w:pPr>
            <w:r>
              <w:rPr>
                <w:rFonts w:ascii="Arial" w:cs="Arial" w:eastAsia="Arial" w:hAnsi="Arial"/>
                <w:sz w:val="18"/>
                <w:szCs w:val="18"/>
                <w:color w:val="auto"/>
                <w:w w:val="98"/>
              </w:rPr>
              <w:t>We will establish and maintain an audit committee, which will be composed entirely of</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2"/>
              </w:rPr>
              <w:t>independent directors to, among other things, monitor compliance with the terms described</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4"/>
              </w:rPr>
              <w:t>above and the other terms relating to this offering. If any noncompliance is identified, then</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6"/>
              </w:rPr>
              <w:t>the audit committee will be charged with the responsibility to immediately take all action</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w w:val="91"/>
              </w:rPr>
              <w:t>necessary to rectify such noncompliance or otherwise to cause compliance with the terms of</w:t>
            </w:r>
          </w:p>
        </w:tc>
      </w:tr>
      <w:tr>
        <w:trPr>
          <w:trHeight w:val="216"/>
        </w:trPr>
        <w:tc>
          <w:tcPr>
            <w:tcW w:w="3300" w:type="dxa"/>
            <w:vAlign w:val="bottom"/>
          </w:tcPr>
          <w:p>
            <w:pPr>
              <w:spacing w:after="0"/>
              <w:rPr>
                <w:sz w:val="18"/>
                <w:szCs w:val="18"/>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rPr>
              <w:t>this offering. For more information, see the section of this prospectus entitled</w:t>
            </w:r>
          </w:p>
        </w:tc>
      </w:tr>
      <w:tr>
        <w:trPr>
          <w:trHeight w:val="230"/>
        </w:trPr>
        <w:tc>
          <w:tcPr>
            <w:tcW w:w="3300" w:type="dxa"/>
            <w:vAlign w:val="bottom"/>
          </w:tcPr>
          <w:p>
            <w:pPr>
              <w:spacing w:after="0"/>
              <w:rPr>
                <w:sz w:val="20"/>
                <w:szCs w:val="20"/>
                <w:color w:val="auto"/>
              </w:rPr>
            </w:pPr>
          </w:p>
        </w:tc>
        <w:tc>
          <w:tcPr>
            <w:tcW w:w="7940" w:type="dxa"/>
            <w:vAlign w:val="bottom"/>
          </w:tcPr>
          <w:p>
            <w:pPr>
              <w:ind w:left="1200"/>
              <w:spacing w:after="0"/>
              <w:rPr>
                <w:sz w:val="20"/>
                <w:szCs w:val="20"/>
                <w:color w:val="auto"/>
              </w:rPr>
            </w:pPr>
            <w:r>
              <w:rPr>
                <w:rFonts w:ascii="Arial" w:cs="Arial" w:eastAsia="Arial" w:hAnsi="Arial"/>
                <w:sz w:val="18"/>
                <w:szCs w:val="18"/>
                <w:color w:val="auto"/>
              </w:rPr>
              <w:t>“Management — Committees of the Board of Directors — Audit Committee.”</w:t>
            </w:r>
          </w:p>
        </w:tc>
      </w:tr>
      <w:tr>
        <w:trPr>
          <w:trHeight w:val="648"/>
        </w:trPr>
        <w:tc>
          <w:tcPr>
            <w:tcW w:w="330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tcPr>
          <w:p>
            <w:pPr>
              <w:ind w:left="2240"/>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240"/>
          </w:cols>
          <w:pgMar w:left="320" w:top="908"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color w:val="auto"/>
        </w:rPr>
        <w:t>Indemnity</w:t>
      </w:r>
    </w:p>
    <w:p>
      <w:pPr>
        <w:spacing w:after="0" w:line="20" w:lineRule="exact"/>
        <w:rPr>
          <w:sz w:val="20"/>
          <w:szCs w:val="20"/>
          <w:color w:val="auto"/>
        </w:rPr>
      </w:pPr>
      <w:r>
        <w:rPr>
          <w:sz w:val="20"/>
          <w:szCs w:val="20"/>
          <w:color w:val="auto"/>
        </w:rPr>
        <w:br w:type="column"/>
      </w:r>
    </w:p>
    <w:p>
      <w:pPr>
        <w:spacing w:after="0" w:line="285" w:lineRule="auto"/>
        <w:rPr>
          <w:sz w:val="20"/>
          <w:szCs w:val="20"/>
          <w:color w:val="auto"/>
        </w:rPr>
      </w:pPr>
      <w:r>
        <w:rPr>
          <w:rFonts w:ascii="Arial" w:cs="Arial" w:eastAsia="Arial" w:hAnsi="Arial"/>
          <w:sz w:val="16"/>
          <w:szCs w:val="16"/>
          <w:color w:val="auto"/>
        </w:rPr>
        <w:t>Our sponsor has agreed that it will be liable to us if and to the extent any claims by a third party for services rendered or products sold to us, or a prospective target business with which we have entered into a written letter of intent, confidentiality or similar agreement or business combination agreement, reduce the amount of funds in the trust account to below the lesser of (i) $10.15 per public share and (ii) the actual amount per public share held in the trust account as of the date of the liquidation of the trust account, if less than $10.15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believe that our sponsor’s only assets are securities of our company. Therefore, we cannot assure you that our sponsor would be able to satisfy those obligations. None of our officers or directors will indemnify us for claims by third parties including, without limitation, claims by vendors and prospective target businesses.</w:t>
      </w:r>
    </w:p>
    <w:p>
      <w:pPr>
        <w:spacing w:after="0" w:line="170" w:lineRule="exact"/>
        <w:rPr>
          <w:sz w:val="20"/>
          <w:szCs w:val="20"/>
          <w:color w:val="auto"/>
        </w:rPr>
      </w:pPr>
    </w:p>
    <w:p>
      <w:pPr>
        <w:sectPr>
          <w:pgSz w:w="11900" w:h="16838" w:orient="portrait"/>
          <w:cols w:equalWidth="0" w:num="2">
            <w:col w:w="3780" w:space="720"/>
            <w:col w:w="6720"/>
          </w:cols>
          <w:pgMar w:left="320" w:top="908" w:right="359" w:bottom="1440" w:gutter="0" w:footer="0" w:header="0"/>
        </w:sectPr>
      </w:pPr>
    </w:p>
    <w:p>
      <w:pPr>
        <w:jc w:val="center"/>
        <w:ind w:right="-39"/>
        <w:spacing w:after="0"/>
        <w:rPr>
          <w:sz w:val="20"/>
          <w:szCs w:val="20"/>
          <w:color w:val="auto"/>
        </w:rPr>
      </w:pPr>
      <w:r>
        <w:rPr>
          <w:rFonts w:ascii="Arial" w:cs="Arial" w:eastAsia="Arial" w:hAnsi="Arial"/>
          <w:sz w:val="17"/>
          <w:szCs w:val="17"/>
          <w:b w:val="1"/>
          <w:bCs w:val="1"/>
          <w:color w:val="auto"/>
        </w:rPr>
        <w:t>RISKS</w:t>
      </w:r>
    </w:p>
    <w:p>
      <w:pPr>
        <w:sectPr>
          <w:pgSz w:w="11900" w:h="16838" w:orient="portrait"/>
          <w:cols w:equalWidth="0" w:num="1">
            <w:col w:w="11220"/>
          </w:cols>
          <w:pgMar w:left="320" w:top="908" w:right="359" w:bottom="1440" w:gutter="0" w:footer="0" w:header="0"/>
          <w:type w:val="continuous"/>
        </w:sectPr>
      </w:pPr>
    </w:p>
    <w:p>
      <w:pPr>
        <w:spacing w:after="0" w:line="24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are a newly formed company that has conducted no operations and has generated no revenues.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None of our officers or directors has experience with blank check companies or special purpose acquisition companies. This offering is not being conducted in compliance with Rule 419 promulgated under the Securities Act. Accordingly, you will not be entitled to protections normally afforded to investors in Rule 419 blank check offerings. For additional information concerning how Rule 419 blank check offerings differ from this offering, please see the section of this prospectus entitled “Proposed Business — Comparison of This Offering to Those of Blank Check Companies Subject to Rule 419.” You should carefully consider these and the other risks set forth in the section of this prospectus entitled “Risk Factors” beginning on page 30 of this prospectus.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Our business is subject to numerous risks and uncertainties, including those highlighted in the section title “Risk Factors,” that represent challenges that we face in connection with the successful implementation of our strategy. The occurrence of one or more of the events or circumstances described in the section titled “Risk Factors,” alone or in combination with other events or circumstances, may adversely affect our ability to effect a business combination, and may have an adverse effect on our business, cash flows, financial condition and results of operations. Such risks include, but are not limited to:</w:t>
      </w:r>
    </w:p>
    <w:p>
      <w:pPr>
        <w:spacing w:after="0" w:line="188" w:lineRule="exact"/>
        <w:rPr>
          <w:sz w:val="20"/>
          <w:szCs w:val="20"/>
          <w:color w:val="auto"/>
        </w:rPr>
      </w:pPr>
    </w:p>
    <w:p>
      <w:pPr>
        <w:ind w:left="720" w:hanging="388"/>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newly formed company without an operating history;</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type w:val="continuous"/>
        </w:sectPr>
      </w:pPr>
    </w:p>
    <w:bookmarkStart w:id="37" w:name="page38"/>
    <w:bookmarkEnd w:id="37"/>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opportunity to vote on our proposed business combination;</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protections afforded to investors of blank check companies;</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issuance of equity and/or debt securities to complete a business combination;</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working capital;</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third-party claims reducing the per-share redemption price;</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negative interest rate for securities in which we invest the funds held in the trust account;</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stockholders being held liable for claims by third parties against us;</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enforce our sponsor’s indemnification obligations;</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warrant holders to obtain a favorable judicial forum for disputes with our company;</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dependence on key personnel;</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conflicts of interest of our sponsor, officers and directors and the representative;</w:t>
      </w:r>
    </w:p>
    <w:p>
      <w:pPr>
        <w:spacing w:after="0" w:line="225" w:lineRule="exact"/>
        <w:rPr>
          <w:rFonts w:ascii="Arial" w:cs="Arial" w:eastAsia="Arial" w:hAnsi="Arial"/>
          <w:sz w:val="18"/>
          <w:szCs w:val="18"/>
          <w:color w:val="auto"/>
        </w:rPr>
      </w:pPr>
    </w:p>
    <w:p>
      <w:pPr>
        <w:ind w:left="388" w:hanging="388"/>
        <w:spacing w:after="0" w:line="263" w:lineRule="auto"/>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Certain of our officers and directors are now, and any of them may in the future become, affiliated with entities engaged in business activities similar to those intended to be conducted by us and, accordingly, may have conflicts of interest in allocating their time and determining to which entity a particular business opportunity should be presented;</w:t>
      </w:r>
    </w:p>
    <w:p>
      <w:pPr>
        <w:spacing w:after="0" w:line="183" w:lineRule="exact"/>
        <w:rPr>
          <w:rFonts w:ascii="Arial" w:cs="Arial" w:eastAsia="Arial" w:hAnsi="Arial"/>
          <w:sz w:val="18"/>
          <w:szCs w:val="18"/>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delisting of our securities by Nasdaq;</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dependence on a single target business with a limited number of products or services;</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shares being redeemed and warrants becoming worthless;</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competitors with advantages over us in seeking business combinations;</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ability to obtain additional financing;</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initial stockholders controlling a substantial interest in us;</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adverse effect of warrants and founder shares on the market price of our common stock;</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disadvantageous timing for redeeming warrants;</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registration rights’ adverse effect on the market price of our common stock;</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impact of COVID-19 and related risks;</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business combination with a company located in a foreign jurisdiction;</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laws or regulations; tax consequences to business combinations; and</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exclusive forum provisions in our amended and restated certificate of incorporation.</w:t>
      </w:r>
    </w:p>
    <w:p>
      <w:pPr>
        <w:spacing w:after="0" w:line="200" w:lineRule="exact"/>
        <w:rPr>
          <w:sz w:val="20"/>
          <w:szCs w:val="20"/>
          <w:color w:val="auto"/>
        </w:rPr>
      </w:pPr>
    </w:p>
    <w:p>
      <w:pPr>
        <w:spacing w:after="0" w:line="241" w:lineRule="exact"/>
        <w:rPr>
          <w:sz w:val="20"/>
          <w:szCs w:val="20"/>
          <w:color w:val="auto"/>
        </w:rPr>
      </w:pPr>
    </w:p>
    <w:p>
      <w:pPr>
        <w:jc w:val="center"/>
        <w:ind w:right="192"/>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88"/>
          </w:cols>
          <w:pgMar w:left="652" w:top="908" w:right="45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is presented.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September 30, 2021</w:t>
            </w:r>
          </w:p>
        </w:tc>
      </w:tr>
      <w:tr>
        <w:trPr>
          <w:trHeight w:val="250"/>
        </w:trPr>
        <w:tc>
          <w:tcPr>
            <w:tcW w:w="69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Actual</w:t>
            </w:r>
          </w:p>
        </w:tc>
        <w:tc>
          <w:tcPr>
            <w:tcW w:w="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gridSpan w:val="2"/>
          </w:tcPr>
          <w:p>
            <w:pPr>
              <w:jc w:val="right"/>
              <w:spacing w:after="0" w:line="250" w:lineRule="exact"/>
              <w:rPr>
                <w:sz w:val="20"/>
                <w:szCs w:val="20"/>
                <w:color w:val="auto"/>
              </w:rPr>
            </w:pPr>
            <w:r>
              <w:rPr>
                <w:rFonts w:ascii="Arial" w:cs="Arial" w:eastAsia="Arial" w:hAnsi="Arial"/>
                <w:sz w:val="17"/>
                <w:szCs w:val="17"/>
                <w:b w:val="1"/>
                <w:bCs w:val="1"/>
                <w:color w:val="auto"/>
                <w:w w:val="95"/>
              </w:rPr>
              <w:t>As Adjusted</w:t>
            </w:r>
            <w:r>
              <w:rPr>
                <w:rFonts w:ascii="Arial" w:cs="Arial" w:eastAsia="Arial" w:hAnsi="Arial"/>
                <w:sz w:val="28"/>
                <w:szCs w:val="28"/>
                <w:b w:val="1"/>
                <w:bCs w:val="1"/>
                <w:color w:val="auto"/>
                <w:w w:val="95"/>
                <w:vertAlign w:val="superscript"/>
              </w:rPr>
              <w:t>(1)</w:t>
            </w:r>
          </w:p>
        </w:tc>
        <w:tc>
          <w:tcPr>
            <w:tcW w:w="100" w:type="dxa"/>
            <w:vAlign w:val="bottom"/>
          </w:tcPr>
          <w:p>
            <w:pPr>
              <w:spacing w:after="0"/>
              <w:rPr>
                <w:sz w:val="21"/>
                <w:szCs w:val="21"/>
                <w:color w:val="auto"/>
              </w:rPr>
            </w:pPr>
          </w:p>
        </w:tc>
      </w:tr>
      <w:tr>
        <w:trPr>
          <w:trHeight w:val="209"/>
        </w:trPr>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6940" w:type="dxa"/>
            <w:vAlign w:val="bottom"/>
          </w:tcPr>
          <w:p>
            <w:pPr>
              <w:ind w:left="180"/>
              <w:spacing w:after="0" w:line="256" w:lineRule="exact"/>
              <w:rPr>
                <w:sz w:val="20"/>
                <w:szCs w:val="20"/>
                <w:color w:val="auto"/>
              </w:rPr>
            </w:pPr>
            <w:r>
              <w:rPr>
                <w:rFonts w:ascii="Arial" w:cs="Arial" w:eastAsia="Arial" w:hAnsi="Arial"/>
                <w:sz w:val="18"/>
                <w:szCs w:val="18"/>
                <w:color w:val="auto"/>
              </w:rPr>
              <w:t xml:space="preserve">Working capital </w:t>
            </w:r>
            <w:r>
              <w:rPr>
                <w:rFonts w:ascii="Arial" w:cs="Arial" w:eastAsia="Arial" w:hAnsi="Arial"/>
                <w:sz w:val="29"/>
                <w:szCs w:val="29"/>
                <w:color w:val="auto"/>
                <w:vertAlign w:val="superscript"/>
              </w:rPr>
              <w:t>(1)</w:t>
            </w: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(141,501)</w:t>
            </w:r>
          </w:p>
        </w:tc>
        <w:tc>
          <w:tcPr>
            <w:tcW w:w="300" w:type="dxa"/>
            <w:vAlign w:val="bottom"/>
            <w:gridSpan w:val="2"/>
          </w:tcPr>
          <w:p>
            <w:pPr>
              <w:jc w:val="right"/>
              <w:ind w:right="33"/>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1,174,500</w:t>
            </w:r>
          </w:p>
        </w:tc>
      </w:tr>
      <w:tr>
        <w:trPr>
          <w:trHeight w:val="257"/>
        </w:trPr>
        <w:tc>
          <w:tcPr>
            <w:tcW w:w="694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Total assets </w:t>
            </w:r>
            <w:r>
              <w:rPr>
                <w:rFonts w:ascii="Arial" w:cs="Arial" w:eastAsia="Arial" w:hAnsi="Arial"/>
                <w:sz w:val="29"/>
                <w:szCs w:val="29"/>
                <w:color w:val="auto"/>
                <w:vertAlign w:val="superscript"/>
              </w:rPr>
              <w:t>(2)</w:t>
            </w:r>
          </w:p>
        </w:tc>
        <w:tc>
          <w:tcPr>
            <w:tcW w:w="15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191,101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254,924,500</w:t>
            </w:r>
          </w:p>
        </w:tc>
      </w:tr>
      <w:tr>
        <w:trPr>
          <w:trHeight w:val="257"/>
        </w:trPr>
        <w:tc>
          <w:tcPr>
            <w:tcW w:w="6940" w:type="dxa"/>
            <w:vAlign w:val="bottom"/>
          </w:tcPr>
          <w:p>
            <w:pPr>
              <w:ind w:left="180"/>
              <w:spacing w:after="0" w:line="256" w:lineRule="exact"/>
              <w:rPr>
                <w:sz w:val="20"/>
                <w:szCs w:val="20"/>
                <w:color w:val="auto"/>
              </w:rPr>
            </w:pPr>
            <w:r>
              <w:rPr>
                <w:rFonts w:ascii="Arial" w:cs="Arial" w:eastAsia="Arial" w:hAnsi="Arial"/>
                <w:sz w:val="18"/>
                <w:szCs w:val="18"/>
                <w:color w:val="auto"/>
              </w:rPr>
              <w:t xml:space="preserve">Total liabilities </w:t>
            </w:r>
            <w:r>
              <w:rPr>
                <w:rFonts w:ascii="Arial" w:cs="Arial" w:eastAsia="Arial" w:hAnsi="Arial"/>
                <w:sz w:val="29"/>
                <w:szCs w:val="29"/>
                <w:color w:val="auto"/>
                <w:vertAlign w:val="superscript"/>
              </w:rPr>
              <w:t>(3)</w:t>
            </w:r>
          </w:p>
        </w:tc>
        <w:tc>
          <w:tcPr>
            <w:tcW w:w="1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166,601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8,750,000</w:t>
            </w:r>
          </w:p>
        </w:tc>
      </w:tr>
      <w:tr>
        <w:trPr>
          <w:trHeight w:val="257"/>
        </w:trPr>
        <w:tc>
          <w:tcPr>
            <w:tcW w:w="694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Value of Class A common stock subject to possible redemption/tender </w:t>
            </w:r>
            <w:r>
              <w:rPr>
                <w:rFonts w:ascii="Arial" w:cs="Arial" w:eastAsia="Arial" w:hAnsi="Arial"/>
                <w:sz w:val="29"/>
                <w:szCs w:val="29"/>
                <w:color w:val="auto"/>
                <w:vertAlign w:val="superscript"/>
              </w:rPr>
              <w:t>(4)</w:t>
            </w:r>
          </w:p>
        </w:tc>
        <w:tc>
          <w:tcPr>
            <w:tcW w:w="15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253,750,000</w:t>
            </w:r>
          </w:p>
        </w:tc>
      </w:tr>
      <w:tr>
        <w:trPr>
          <w:trHeight w:val="390"/>
        </w:trPr>
        <w:tc>
          <w:tcPr>
            <w:tcW w:w="6940" w:type="dxa"/>
            <w:vAlign w:val="bottom"/>
          </w:tcPr>
          <w:p>
            <w:pPr>
              <w:ind w:left="180"/>
              <w:spacing w:after="0"/>
              <w:rPr>
                <w:sz w:val="20"/>
                <w:szCs w:val="20"/>
                <w:color w:val="auto"/>
              </w:rPr>
            </w:pPr>
            <w:r>
              <w:rPr>
                <w:rFonts w:ascii="Arial" w:cs="Arial" w:eastAsia="Arial" w:hAnsi="Arial"/>
                <w:sz w:val="18"/>
                <w:szCs w:val="18"/>
                <w:color w:val="auto"/>
              </w:rPr>
              <w:t xml:space="preserve">Shareholder’s equity </w:t>
            </w:r>
            <w:r>
              <w:rPr>
                <w:rFonts w:ascii="Arial" w:cs="Arial" w:eastAsia="Arial" w:hAnsi="Arial"/>
                <w:sz w:val="29"/>
                <w:szCs w:val="29"/>
                <w:color w:val="auto"/>
                <w:vertAlign w:val="superscript"/>
              </w:rPr>
              <w:t>(5)</w:t>
            </w: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24,500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(7,575,500)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17830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75" w:lineRule="exact"/>
        <w:rPr>
          <w:sz w:val="20"/>
          <w:szCs w:val="20"/>
          <w:color w:val="auto"/>
        </w:rPr>
      </w:pPr>
    </w:p>
    <w:p>
      <w:pPr>
        <w:ind w:left="340" w:right="60" w:hanging="332"/>
        <w:spacing w:after="0" w:line="258"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“as adjusted” calculation $1,150,000 in cash held outside the trust account (assuming no exercise of the underwriters’ over-allotment option), plus $24,500 of actual shareholder’s equity on September 30, 2021.</w:t>
      </w:r>
    </w:p>
    <w:p>
      <w:pPr>
        <w:spacing w:after="0" w:line="1" w:lineRule="exact"/>
        <w:rPr>
          <w:rFonts w:ascii="Arial" w:cs="Arial" w:eastAsia="Arial" w:hAnsi="Arial"/>
          <w:sz w:val="18"/>
          <w:szCs w:val="18"/>
          <w:color w:val="auto"/>
        </w:rPr>
      </w:pPr>
    </w:p>
    <w:p>
      <w:pPr>
        <w:ind w:left="340" w:right="60" w:hanging="332"/>
        <w:spacing w:after="0" w:line="250"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“as adjusted” calculation includes $253,750,000 of cash held in trust from the proceeds of this offering and the sale of the private placement units, plus $1,150,000 of cash held outside the trust account (assuming no exercise of the underwriters’ over-allotment option), plus $24,500 of actual shareholder’s equity on September 30, 2021.</w:t>
      </w:r>
    </w:p>
    <w:p>
      <w:pPr>
        <w:spacing w:after="0" w:line="1" w:lineRule="exact"/>
        <w:rPr>
          <w:rFonts w:ascii="Arial" w:cs="Arial" w:eastAsia="Arial" w:hAnsi="Arial"/>
          <w:sz w:val="18"/>
          <w:szCs w:val="18"/>
          <w:color w:val="auto"/>
        </w:rPr>
      </w:pPr>
    </w:p>
    <w:p>
      <w:pPr>
        <w:ind w:left="340" w:right="540" w:hanging="332"/>
        <w:spacing w:after="0" w:line="250"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“as adjusted” calculation equals $8,750,000 of deferred underwriting commissions, assuming the underwriters’ over-allotment option is not exercised.</w:t>
      </w: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“as adjusted” amount includes all public shares included in the units sold in this offering, assuming the over-allotment option is not exercised.</w:t>
      </w:r>
    </w:p>
    <w:p>
      <w:pPr>
        <w:spacing w:after="0" w:line="32" w:lineRule="exact"/>
        <w:rPr>
          <w:rFonts w:ascii="Arial" w:cs="Arial" w:eastAsia="Arial" w:hAnsi="Arial"/>
          <w:sz w:val="16"/>
          <w:szCs w:val="16"/>
          <w:color w:val="auto"/>
        </w:rPr>
      </w:pPr>
    </w:p>
    <w:p>
      <w:pPr>
        <w:ind w:left="340" w:right="440" w:hanging="332"/>
        <w:spacing w:after="0" w:line="277"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Excludes 25,000,000 shares of Class A common stock sold in the offering which are subject to redemption in connection with our initial business combination. The “as adjusted” calculation equals the “as adjusted” total assets, less the “as adjusted” total liabilities, less the value of Class A common stock that may be redeemed in connection with our initial business combination ($10.15 per share).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8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Risks Relating to our Search for, Consummation of, or Inability to Consummate, a Business Combination and Post-Business Combination Risks</w:t>
      </w:r>
    </w:p>
    <w:p>
      <w:pPr>
        <w:spacing w:after="0" w:line="248"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Our search for a business combination, and any target business with which we ultimately consummate a business combination, may be materially adversely affected by the recent coronavirus (COVID-19) pandemic.</w:t>
      </w:r>
    </w:p>
    <w:p>
      <w:pPr>
        <w:spacing w:after="0" w:line="166"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COVID-19 pandemic has resulted in a widespread health crisis that has adversely affected the economies and financial markets worldwide, and the business of any potential target business with which we consummate a business combination could be materially and adversely affected. Furthermore, we may be unable to complete a business combination if continued concerns relating to COVID-19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w:t>
      </w:r>
    </w:p>
    <w:p>
      <w:pPr>
        <w:spacing w:after="0" w:line="192" w:lineRule="exact"/>
        <w:rPr>
          <w:sz w:val="20"/>
          <w:szCs w:val="20"/>
          <w:color w:val="auto"/>
        </w:rPr>
      </w:pPr>
    </w:p>
    <w:p>
      <w:pPr>
        <w:ind w:right="60"/>
        <w:spacing w:after="0" w:line="312" w:lineRule="auto"/>
        <w:rPr>
          <w:sz w:val="20"/>
          <w:szCs w:val="20"/>
          <w:color w:val="auto"/>
        </w:rPr>
      </w:pPr>
      <w:r>
        <w:rPr>
          <w:rFonts w:ascii="Arial" w:cs="Arial" w:eastAsia="Arial" w:hAnsi="Arial"/>
          <w:sz w:val="17"/>
          <w:szCs w:val="17"/>
          <w:b w:val="1"/>
          <w:bCs w:val="1"/>
          <w:color w:val="auto"/>
        </w:rPr>
        <w:t>Our public stockholders may not be afforded an opportunity to vote on our proposed initial business combination, which means we may complete our initial business combination even though a majority of our public stockholders do not support such a combination.</w:t>
      </w:r>
    </w:p>
    <w:p>
      <w:pPr>
        <w:spacing w:after="0" w:line="144"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We may choose not to hold a stockholder vote to approve our initial business combination unless the initial business combination would require stockholder approval under applicable law or stock exchange listing requirements or if we decide to hold a stockholder vote for business or other legal reasons. Except as required by applicable law or stock exchange requirements, the decision as to whether we will seek stockholder approval of a proposed initial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Accordingly, we may complete our initial business combination even if holders of a majority of our public shares do not approve of the initial business combination we complete. Please see the section of this prospectus entitled “Proposed Business — Stockholders May Not Have the Ability to Approve Our Initial Business Combination” for additional information.</w:t>
      </w:r>
    </w:p>
    <w:p>
      <w:pPr>
        <w:spacing w:after="0" w:line="174"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If we seek stockholder approval of our initial business combination, our initial stockholders have agreed to vote in favor of such initial business combination, regardless of how our public stockholders vote.</w:t>
      </w:r>
    </w:p>
    <w:p>
      <w:pPr>
        <w:spacing w:after="0" w:line="166" w:lineRule="exact"/>
        <w:rPr>
          <w:sz w:val="20"/>
          <w:szCs w:val="20"/>
          <w:color w:val="auto"/>
        </w:rPr>
      </w:pPr>
    </w:p>
    <w:p>
      <w:pPr>
        <w:ind w:right="80" w:firstLine="324"/>
        <w:spacing w:after="0" w:line="284" w:lineRule="auto"/>
        <w:rPr>
          <w:sz w:val="20"/>
          <w:szCs w:val="20"/>
          <w:color w:val="auto"/>
        </w:rPr>
      </w:pPr>
      <w:r>
        <w:rPr>
          <w:rFonts w:ascii="Arial" w:cs="Arial" w:eastAsia="Arial" w:hAnsi="Arial"/>
          <w:sz w:val="16"/>
          <w:szCs w:val="16"/>
          <w:color w:val="auto"/>
        </w:rPr>
        <w:t>Pursuant to the letter agreement, our initial stockholders, the representative, our sponsor, officers and directors have agreed to vote any founder shares and placement shares held by them, as well as any public shares they may acquire during or after this offering (including in open market and privately negotiated transactions), in favor of our initial business combination. As a result, in addition to our initial stockholders’ founder shares, and placement shares, we would need no additional public shares of the 25,000,000 public shares sold in this offering to be voted in favor of an initial business combination (assuming only the minimum number of shares representing a quorum are voted, that the initial stockholders do not purchase any units in this offering or units or shares in the after-market and excluding the representative’s shares) in order to have our initial business combination approved (assuming the over-allotment option is not exercised). In the event that all shares of outstanding common stock are voted, we would need 8,160,251 or</w:t>
      </w:r>
    </w:p>
    <w:p>
      <w:pPr>
        <w:spacing w:after="0" w:line="2"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32.64%, of the 25,000,000 public shares sold in this offering to be voted in favor of an initial business combination in order to have our initial business combination approved (assuming the over-allotment option is not exercised, that the initial stockholders do not purchase any units in this offering or units or shares in the after-market and excluding the representative’s shares). Our initial stockholders, including our sponsor, will own shares representing approximately 26.6% of our outstanding shares of common stock immediately following the completion of this offering and the private placement (including the placement shares to be issued to the sponsor, excluding representative shares and assuming they do not purchase any units in this offering). Accordingly, if we seek stockholder approval of our initial business combination, the agreement by our initial stockholders to vote in favor of our initial business combination will increase the likelihood that we will receive the requisite stockholder approval for such initial business combination.</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0" w:name="page41"/>
    <w:bookmarkEnd w:id="40"/>
    <w:p>
      <w:pPr>
        <w:ind w:right="160"/>
        <w:spacing w:after="0" w:line="282" w:lineRule="auto"/>
        <w:rPr>
          <w:sz w:val="20"/>
          <w:szCs w:val="20"/>
          <w:color w:val="auto"/>
        </w:rPr>
      </w:pPr>
      <w:r>
        <w:rPr>
          <w:rFonts w:ascii="Arial" w:cs="Arial" w:eastAsia="Arial" w:hAnsi="Arial"/>
          <w:sz w:val="18"/>
          <w:szCs w:val="18"/>
          <w:b w:val="1"/>
          <w:bCs w:val="1"/>
          <w:color w:val="auto"/>
        </w:rPr>
        <w:t>Your only opportunity to affect the investment decision regarding a potential business combination will be limited to the exercise of your right to redeem your shares from us for cash, unless we seek stockholder approval of the initial business combination.</w:t>
      </w:r>
    </w:p>
    <w:p>
      <w:pPr>
        <w:spacing w:after="0" w:line="16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At the time of your investment in us, you will not be provided with an opportunity to evaluate the specific merits or risks of our initial business combination. Since our board of directors may complete an initial business combination without seeking stockholder approval, public stockholders may not have the right or opportunity to vote on the initial business combination, unless we seek such stockholder vote. Accordingly, if we do not seek stockholder approval,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stockholders in which we describe our initial business combination.</w:t>
      </w:r>
    </w:p>
    <w:p>
      <w:pPr>
        <w:spacing w:after="0" w:line="188" w:lineRule="exact"/>
        <w:rPr>
          <w:sz w:val="20"/>
          <w:szCs w:val="20"/>
          <w:color w:val="auto"/>
        </w:rPr>
      </w:pPr>
    </w:p>
    <w:p>
      <w:pPr>
        <w:ind w:right="700"/>
        <w:spacing w:after="0" w:line="312" w:lineRule="auto"/>
        <w:rPr>
          <w:sz w:val="20"/>
          <w:szCs w:val="20"/>
          <w:color w:val="auto"/>
        </w:rPr>
      </w:pPr>
      <w:r>
        <w:rPr>
          <w:rFonts w:ascii="Arial" w:cs="Arial" w:eastAsia="Arial" w:hAnsi="Arial"/>
          <w:sz w:val="17"/>
          <w:szCs w:val="17"/>
          <w:b w:val="1"/>
          <w:bCs w:val="1"/>
          <w:color w:val="auto"/>
        </w:rPr>
        <w:t>The ability of our public stockholders to redeem their shares for cash may make our financial condition unattractive to potential business combination targets, which may make it difficult for us to enter into an initial business combination with a target.</w:t>
      </w:r>
    </w:p>
    <w:p>
      <w:pPr>
        <w:spacing w:after="0" w:line="144"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We may seek to enter into an initial business combination agreement with a prospective target that requires as a closing condition that we have a minimum net worth or a certain amount of cash. If too many public stockholders exercise their redemption rights, we would not be able to meet such closing condition and, as a result, would not be able to proceed with the initial business combination. Furthermore, in no event will we redeem our public shares unless our net tangible assets are at least $5,000,001 either immediately prior to or upon consummation of our initial business combination and after payment of underwriters’ fees and commissions (so that we are not subject to the SEC’s “penny stock” rules) or any greater net tangible asset or cash requirement which may be contained in the agreement relating to our initial business combination. Consequently, if accepting all properly submitted redemption requests would cause our net tangible assets to be less than $5,000,001 upon consummation of our initial business combination and after payment of underwriters’ fees and commissions or such greater amount necessary to satisfy a closing condition, each as described above, we would not proceed with such redemption and the related business combination and may instead search for an alternate business combination. Prospective targets will be aware of these risks and, thus, may be reluctant to enter into an initial business combination with us.</w:t>
      </w:r>
    </w:p>
    <w:p>
      <w:pPr>
        <w:spacing w:after="0" w:line="164"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The ability of our public stockholders to exercise redemption rights with respect to a large number of our shares may not allow us to complete the most desirable business combination or optimize our capital structure.</w:t>
      </w:r>
    </w:p>
    <w:p>
      <w:pPr>
        <w:spacing w:after="0" w:line="16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At the time we enter into an agreement for our initial business combination, we will not know how many stockholders may exercise their redemption rights, and therefore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 party financing. In addition, if a larger number of shares are submitted for redemption than we initially expected, we may need to restructure the transaction to reserve a greater portion of the cash in the trust account or arrange for third party financing. Raising additional third-party financing may involve dilutive equity issuances or the incurrence of indebtedness at higher than desirable levels. Furthermore, this dilution would increase to the extent that the anti-dilution provision of the Class B common stock result in the issuance of Class A shares on a greater than one-to-one basis upon conversion of the Class B common stock at the time of the consummation of our business combination. The above considerations may limit our ability to complete the most desirable business combination available to us or optimize our capital structure. The amount of the deferred underwriting commissions payable to the underwriters will not be adjusted for any shares that are redeemed in connection with an initial business combination. The per-share amount we will distribute to stockholders who properly exercise their redemption rights will not be reduced by the deferred underwriting commission and after such redemptions, the per-share value of shares held by non-redeeming stockholders will reflect our obligation to pay the deferred underwriting commissions.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1" w:name="page42"/>
    <w:bookmarkEnd w:id="41"/>
    <w:p>
      <w:pPr>
        <w:ind w:right="300"/>
        <w:spacing w:after="0" w:line="347" w:lineRule="auto"/>
        <w:rPr>
          <w:sz w:val="20"/>
          <w:szCs w:val="20"/>
          <w:color w:val="auto"/>
        </w:rPr>
      </w:pPr>
      <w:r>
        <w:rPr>
          <w:rFonts w:ascii="Arial" w:cs="Arial" w:eastAsia="Arial" w:hAnsi="Arial"/>
          <w:sz w:val="16"/>
          <w:szCs w:val="16"/>
          <w:b w:val="1"/>
          <w:bCs w:val="1"/>
          <w:color w:val="auto"/>
        </w:rPr>
        <w:t>The ability of our public stockholders to exercise redemption rights with respect to a large number of our shares could increase the probability that our initial business combination would be unsuccessful and that you would have to wait for liquidation in order to redeem your stock.</w:t>
      </w:r>
    </w:p>
    <w:p>
      <w:pPr>
        <w:spacing w:after="0" w:line="12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pro rata portion of the trust account until we liquidate the trust account. If you are in need of immediate liquidity, you could attempt to sell your stock in the open market; however, at such time our stock may trade at a discount to the pro rata amount per share in the trust account. In either situation, you may suffer a material loss on your investment or lose the benefit of funds expected in connection with our redemption until we liquidate or you are able to sell your stock in the open market.</w:t>
      </w:r>
    </w:p>
    <w:p>
      <w:pPr>
        <w:spacing w:after="0" w:line="17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The requirement that we complete our initial business combination within the prescribed time frame may give potential target businesses leverage over us in negotiating an initial business combination and may decrease our ability to conduct due diligence on potential business combination targets as we approach our dissolution deadline, which could undermine our ability to complete our initial business combination on terms that would produce value for our stockholders.</w:t>
      </w:r>
    </w:p>
    <w:p>
      <w:pPr>
        <w:spacing w:after="0" w:line="184" w:lineRule="exact"/>
        <w:rPr>
          <w:sz w:val="20"/>
          <w:szCs w:val="20"/>
          <w:color w:val="auto"/>
        </w:rPr>
      </w:pPr>
    </w:p>
    <w:p>
      <w:pPr>
        <w:ind w:right="240" w:firstLine="324"/>
        <w:spacing w:after="0" w:line="255" w:lineRule="auto"/>
        <w:rPr>
          <w:sz w:val="20"/>
          <w:szCs w:val="20"/>
          <w:color w:val="auto"/>
        </w:rPr>
      </w:pPr>
      <w:r>
        <w:rPr>
          <w:rFonts w:ascii="Arial" w:cs="Arial" w:eastAsia="Arial" w:hAnsi="Arial"/>
          <w:sz w:val="18"/>
          <w:szCs w:val="18"/>
          <w:color w:val="auto"/>
        </w:rPr>
        <w:t>Any potential target business with which we enter into negotiations concerning an initial business combination will be aware that we must complete our initial business combination within 15 months from the closing of this offering. Consequently, such target business may obtain leverage over us in negotiating an initial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188" w:lineRule="exact"/>
        <w:rPr>
          <w:sz w:val="20"/>
          <w:szCs w:val="20"/>
          <w:color w:val="auto"/>
        </w:rPr>
      </w:pPr>
    </w:p>
    <w:p>
      <w:pPr>
        <w:ind w:right="280"/>
        <w:spacing w:after="0" w:line="314" w:lineRule="auto"/>
        <w:rPr>
          <w:sz w:val="20"/>
          <w:szCs w:val="20"/>
          <w:color w:val="auto"/>
        </w:rPr>
      </w:pPr>
      <w:r>
        <w:rPr>
          <w:rFonts w:ascii="Arial" w:cs="Arial" w:eastAsia="Arial" w:hAnsi="Arial"/>
          <w:sz w:val="16"/>
          <w:szCs w:val="16"/>
          <w:b w:val="1"/>
          <w:bCs w:val="1"/>
          <w:color w:val="auto"/>
        </w:rPr>
        <w:t>We may not be able to complete our initial business combination within the prescribed time frame, in which case we would cease all operations except for the purpose of winding up and we would redeem our public shares and liquidate, in which case our public stockholders may only receive $10.15 per share, or less than such amount in certain circumstances, and our warrants will expire worthless.</w:t>
      </w:r>
    </w:p>
    <w:p>
      <w:pPr>
        <w:spacing w:after="0" w:line="14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Our amended and restated certificate of incorporation will provide that we must complete our initial business combination within 15 months from the closing of this offering. We may not be able to find a suitable target business and complete our initial business combination within such time period. Our ability to complete our initial business combination may be negatively impacted by general market conditions, volatility in the capital and debt markets and the other risks described herein. For example, if the outbreak of COVID-19 continues to grow both in the U.S. and globally and, while the extent of the impact of the outbreak on us will depend on future developments, it could limit our ability to complete our initial business combination, including as a result of increased market volatility, decreased market liquidity and third-party financing being unavailable on terms acceptable to us or at all. Additionally, the outbreak of COVID-19 may negatively impact businesses we may seek to acquire.</w:t>
      </w:r>
    </w:p>
    <w:p>
      <w:pPr>
        <w:spacing w:after="0" w:line="17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If we have not completed our initial business combination within such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the case of clauses (ii) and (iii) above to our obligations under Delaware law to provide for claims of creditors and the requirements of other applicable law. In such case, our public stockholders may only receive $10.15 per share, and our warrants will expire worthless. In certain circumstances, our public stockholders may receive less than $10.15 per share on the redemption of their shares. See “— If third parties bring claims against us, the proceeds held in the trust account could be reduced and the per-share redemption amount received by stockholders may be less than $10.15 per share” and other risk factors below.</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2" w:name="page43"/>
    <w:bookmarkEnd w:id="42"/>
    <w:p>
      <w:pPr>
        <w:ind w:right="60"/>
        <w:spacing w:after="0" w:line="266" w:lineRule="auto"/>
        <w:rPr>
          <w:sz w:val="20"/>
          <w:szCs w:val="20"/>
          <w:color w:val="auto"/>
        </w:rPr>
      </w:pPr>
      <w:r>
        <w:rPr>
          <w:rFonts w:ascii="Arial" w:cs="Arial" w:eastAsia="Arial" w:hAnsi="Arial"/>
          <w:sz w:val="18"/>
          <w:szCs w:val="18"/>
          <w:b w:val="1"/>
          <w:bCs w:val="1"/>
          <w:color w:val="auto"/>
        </w:rPr>
        <w:t>If we seek stockholder approval of our initial business combination, our sponsor, directors, officers and their affiliates may elect to purchase shares or warrants from public stockholders, which may influence a vote on a proposed initial business combination and reduce the public “float” of our Class A common stock.</w:t>
      </w:r>
    </w:p>
    <w:p>
      <w:pPr>
        <w:spacing w:after="0" w:line="180" w:lineRule="exact"/>
        <w:rPr>
          <w:sz w:val="20"/>
          <w:szCs w:val="20"/>
          <w:color w:val="auto"/>
        </w:rPr>
      </w:pPr>
    </w:p>
    <w:p>
      <w:pPr>
        <w:ind w:right="400" w:firstLine="324"/>
        <w:spacing w:after="0" w:line="25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sponsor, directors, officers or their affiliates may purchase public shares or public warrants or a combination thereof in privately negotiated transactions or in the open market either prior to or following the completion of our initial business combination, although they are under no obligation to do so. However, they have no current commitments, plans or intentions to engage in such transactions and have not formulated any terms or conditions for any such transactions. None of the funds in the trust account will be used to purchase shares or public warrants in such transactions.</w:t>
      </w:r>
    </w:p>
    <w:p>
      <w:pPr>
        <w:spacing w:after="0" w:line="19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Such a purchase may include a contractual acknowledgement that such stockholder, although still the record holder of our shares is no longer the beneficial owner thereof and therefore agrees not to exercise its redemption rights. In the event that our sponsor, directors, officers or their affiliates purchase shares in privately negotiated transactions from public stockholders who have already elected to exercise their redemption rights or submitted a proxy to vote against our initial business combination, such selling stockholders would be required to revoke their prior elections to redeem their shares and any proxy to vote against our initial business combination. The price per share paid in any such transaction may be different than the amount per share a public stockholder would receive if it elected to redeem its shares in connection with our initial business combination. The purpose of such purchases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w:t>
      </w:r>
    </w:p>
    <w:p>
      <w:pPr>
        <w:spacing w:after="0" w:line="182"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Any such purchases of our securities may result in the completion of our initial business combination that may not otherwise have been possible. We expect that any such purchases will be reported pursuant to Section 13 and Section 16 of the Exchange Act to the extent such purchasers are subject to such reporting requirements.</w:t>
      </w:r>
    </w:p>
    <w:p>
      <w:pPr>
        <w:spacing w:after="0" w:line="184"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In addition, if such purchases are made, the public “float” of our Class A common stock or public warrants and the number of beneficial holders of our securities may be reduced, possibly making it difficult to obtain or maintain the quotation, listing or trading of our securities on a national securities exchange.</w:t>
      </w:r>
    </w:p>
    <w:p>
      <w:pPr>
        <w:spacing w:after="0" w:line="180"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If a stockholder fails to receive notice of our offer to redeem our public shares in connection with our initial business combination, or fails to comply with the procedures for tendering its shares, such shares may not be redeemed.</w:t>
      </w:r>
    </w:p>
    <w:p>
      <w:pPr>
        <w:spacing w:after="0" w:line="166"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will comply with the tender offer rules or proxy rules, as applicable, when conducting redemptions in connection with our initial business combination. Despite our compliance with these rules, if a stockholder fails to receive our tender offer or proxy materials, as applicable, such stockholder may not become aware of the opportunity to redeem its shares. In addition, proxy materials or tender offer documents, as applicable, that we will furnish to holders of our public shares in connection with our initial business combination will describe the various procedures that must be complied with in order to validly tender or redeem public shares. For example, we may require our public stockholders seeking to exercise their redemption rights, whether they are record holders or hold their shares in “street name,” to either deliver their stock certificates to our transfer agent prior to the date set forth in the tender offer documents mailed to such holders, or up to two business days prior to the vote on the proposal to approve the initial business combination in the event we distribute proxy materials, or to deliver their shares to the transfer agent electronically. In the event that a stockholder fails to comply with these or any other procedures disclosed in the proxy or tender offer materials, as applicable, its shares may not be redeemed. See the section of this prospectus entitled “Proposed Business — Redemption Rights for Public Stockholders upon Completion of our Initial Business Combination — Tendering Stock Certificates in Connection with a Tender Offer or Redemption Rights.”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spacing w:after="0" w:line="282" w:lineRule="auto"/>
        <w:rPr>
          <w:sz w:val="20"/>
          <w:szCs w:val="20"/>
          <w:color w:val="auto"/>
        </w:rPr>
      </w:pPr>
      <w:r>
        <w:rPr>
          <w:rFonts w:ascii="Arial" w:cs="Arial" w:eastAsia="Arial" w:hAnsi="Arial"/>
          <w:sz w:val="18"/>
          <w:szCs w:val="18"/>
          <w:b w:val="1"/>
          <w:bCs w:val="1"/>
          <w:color w:val="auto"/>
        </w:rPr>
        <w:t>You will not have any rights or interests in funds from the trust account, except under certain limited circumstances. To liquidate your investment, therefore, you may be forced to sell your public shares or warrants, potentially at a loss.</w:t>
      </w:r>
    </w:p>
    <w:p>
      <w:pPr>
        <w:spacing w:after="0" w:line="166"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Our public stockholders will be entitled to receive funds from the trust account only upon the earliest to occur of: (i) our completion of an initial business combination, and then only in connection with those shares of Class A common stock that such stockholder properly elected to redeem, subject to the limitations described herein, (ii) the redemption of any public shares properly submitted in connection with a stockholder vote to amend our amended and restated certificate of incorporation (A) to modify the substance or timing of our obligation to allow redemption in connection with our initial business combination or certain amendments to our charter prior thereto or to redeem 100% of our public shares if we do not complete our initial business combination within 15 months from the closing of this offering or (B) with respect to any other provision relating to stockholders’ rights or pre-initial business combination activity and (iii) the redemption of our public shares if we are unable to complete an initial business combination within 15 months from the closing of this offering, subject to applicable law and as further described herein. In no other circumstances will a public stockholder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representative may have a conflict of interest if they render services to us in connection with our initial business combination.</w:t>
      </w:r>
    </w:p>
    <w:p>
      <w:pPr>
        <w:spacing w:after="0" w:line="229"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We may elect to engage EF Hutton, division of Benchmark Investments, LLC (the representative of the underwriters of this offering) to assist us in connection with our initial business combination. The representative shares held by the representative and its designees will also be worthless if we do not consummate an initial business combination. Therefore, if the representative provides services to us in connection with our initial business combination, these financial interests may result in the representative having a conflict of interest when providing such services to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will not be entitled to protections normally afforded to investors of many other blank check companies.</w:t>
      </w:r>
    </w:p>
    <w:p>
      <w:pPr>
        <w:spacing w:after="0" w:line="229"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Since the net proceeds of this offering and the sale of the placement units are intended to be used to complete an initial business combination with a target business that has not been identified, we may be deemed to be a “blank check” company under the United States securities laws. However, because we will have net tangible assets in excess of $5,000,000 upon the successful completion of this offering and the sale of the placement units and will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business combination than do companies subject to Rule 419. Moreover, if this offering were subject to 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the section of this prospectus entitled “Proposed Business — Comparison of This Offering to Those of Blank Check Companies Subject to Rule 419.”</w:t>
      </w:r>
    </w:p>
    <w:p>
      <w:pPr>
        <w:spacing w:after="0" w:line="16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Because of our limited resources and the significant competition for business combination opportunities, it may be more difficult for us to complete our initial business combination. If we are unable to complete our initial business combination, our public stockholders may receive only approximately $10.15 per share on our redemption of our public shares, or less than such amount in certain circumstances, and our warrants will expire worthless.</w:t>
      </w:r>
    </w:p>
    <w:p>
      <w:pPr>
        <w:spacing w:after="0" w:line="184"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expect to encounter intense competition from other entities having a business objective similar to ours, including private investors (which may be individuals or investment partnerships), other blank check companies and other entities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greater technical, human and other resources or more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placement units,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because we are obligated to pay cash for the shares of Class A common stock which our public stockholders redeem in connection with our initial business combination, target companies will be aware that this may reduce the resources available to us for our initial business combination. This may place us at a competitive disadvantage in successfully negotiating and completing an initial business combination. If we are unable to complete our initial business combination, our public stockholders may receive only approximately $10.15 per share on the liquidation of our trust account and our warrants will expire worthless. In certain circumstances, our public stockholders may receive less than $10.15 per share upon our liquidation. See “— If third parties bring claims against us, the proceeds held in the trust account could be reduced and the per-share redemption amount received by stockholders may be less than $10.15 per share” and other risk factors herein.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4" w:name="page45"/>
    <w:bookmarkEnd w:id="44"/>
    <w:p>
      <w:pPr>
        <w:ind w:right="80"/>
        <w:spacing w:after="0" w:line="314" w:lineRule="auto"/>
        <w:rPr>
          <w:sz w:val="20"/>
          <w:szCs w:val="20"/>
          <w:color w:val="auto"/>
        </w:rPr>
      </w:pPr>
      <w:r>
        <w:rPr>
          <w:rFonts w:ascii="Arial" w:cs="Arial" w:eastAsia="Arial" w:hAnsi="Arial"/>
          <w:sz w:val="16"/>
          <w:szCs w:val="16"/>
          <w:b w:val="1"/>
          <w:bCs w:val="1"/>
          <w:color w:val="auto"/>
        </w:rPr>
        <w:t>If the net proceeds of this offering and the sale of the placement units not being held in the trust account are insufficient to allow us to operate for at least the 15 months following the closing of this offering, we may be unable to complete our initial business combination, in which case our public stockholders may only receive $10.15 per share, or less than such amount in certain circumstances, and our warrants will expire worthless.</w:t>
      </w:r>
    </w:p>
    <w:p>
      <w:pPr>
        <w:spacing w:after="0" w:line="146"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funds available to us outside of the trust account to fund our working capital requirements may not be sufficient to allow us to operate for at least the 15 months following the closing of this offering, assuming that our initial business combination is not completed during that time. We believe that, upon the closing of this offering, the funds available to us outside of the trust account will be sufficient to allow us to operate for at least the 15 months following such closing;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or merger agreements designed to keep target businesses from “shopping” around for transactions with other companies or investors on terms more favorable to such target businesses) with respect to a particular proposed initial business combination, although we do not have any current intention to do so. If we entered into a letter of intent or merger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 initial business combination, our public stockholders may receive only approximately $10.15 per share on the liquidation of our trust account and our warrants will expire worthless. In certain circumstances, our public stockholders may receive less than $10.15 per share upon our liquidation. See “— If third parties bring claims against us, the proceeds held in the trust account could be reduced and the per-share redemption amount received by stockholders may be less than $10.15 per share” and other risk factors herein.</w:t>
      </w:r>
    </w:p>
    <w:p>
      <w:pPr>
        <w:spacing w:after="0" w:line="180"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b w:val="1"/>
          <w:bCs w:val="1"/>
          <w:color w:val="auto"/>
        </w:rPr>
        <w:t>If the net proceeds of this offering and the sale of the placement units not being held in the trust account are insufficient, it could limit the amount available to fund our search for a target business or businesses and complete our initial business combination and we will depend on loans from our sponsor or management team to fund our search for an initial business combination, to pay our taxes and to complete our initial business combination. If we are unable to obtain these loans, we may be unable to complete our initial business combination.</w:t>
      </w:r>
    </w:p>
    <w:p>
      <w:pPr>
        <w:spacing w:after="0" w:line="155"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Of the net proceeds of this offering and the sale of the placement units, only approximately $1,150,000 will be available to us initially outside the trust account to fund our working capital requirements. In the event that our offering expenses exceed our estimate of $645,000, we may fund such excess with funds not to be held in the trust account. In such case, the amount of funds we intend to be held outside the trust account would decrease by a corresponding amount. The amount held in the trust account will not be impacted as a result of such increase or decrease. Conversely, in the event that the offering expenses are less than our estimate of $645,000, the amount of funds we intend to be held outside the trust account would increase by a corresponding amount. If we are required to seek additional capital, we would need to borrow funds from our sponsor, management team or other third parties to operate or may be forced to liquidate. None of our sponsor, members of our management team nor any of their affiliates is under any obligation to advance funds to us in such circumstances. Any such advances would be repaid only from funds held outside the trust account or from funds released to us upon completion of our initial business combination. Up to $1,500,000 of the loans made by our sponsor, our officers and directors, or our or their affiliates to us prior to or in connection with our initial business combination may be convertible into units, at a price of $10.00 per unit at the option of the lender, upon consummation of our initial business combination. The units would be identical to the placement units. Prior to the completion of our initial business combination, we do not expect to seek loans from parties other than our sponsor, our officers and directors or an affiliate of theirs as we do not believe third parties will be willing to loan such funds and provide a waiver against any and all rights to seek access to funds in our trust account. If we are unable to obtain these loans, we may be unable to complete our initial business combination. If we are unable to complete our initial business combination because we do not have sufficient funds available to us, we will be forced to cease operations and liquidate the trust account. Consequently, our public stockholders may only receive approximately $10.15 per share on our redemption of our public shares, and our warrants will expire worthless. In certain circumstances, our public stockholders may receive less than $10.15 per share on the redemption of their shares. See “— If third parties bring claims against us, the proceeds held in the trust account could be reduced and the per-share redemption amount received by stockholders may be less than $10.15 per share” and other risk factors below.</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issue our shares to investors in connection with our initial business combination at a price that is less than the prevailing market price of our shares at that time.</w:t>
      </w:r>
    </w:p>
    <w:p>
      <w:pPr>
        <w:spacing w:after="0" w:line="1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connection with our initial business combination, we may issue shares to investors in private placement transactions (so-called PIPE transactions) at a price of $10.00 per share or which approximates the per-share amounts in our trust account at such time. The purpose of such issuances will be to enable us to provide sufficient liquidity to the post-business combination entity. The price of the shares we issue may therefore be less, and potentially significantly less, than the market price for our shares at such time.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ind w:right="420"/>
        <w:spacing w:after="0" w:line="266" w:lineRule="auto"/>
        <w:rPr>
          <w:sz w:val="20"/>
          <w:szCs w:val="20"/>
          <w:color w:val="auto"/>
        </w:rPr>
      </w:pPr>
      <w:r>
        <w:rPr>
          <w:rFonts w:ascii="Arial" w:cs="Arial" w:eastAsia="Arial" w:hAnsi="Arial"/>
          <w:sz w:val="18"/>
          <w:szCs w:val="18"/>
          <w:b w:val="1"/>
          <w:bCs w:val="1"/>
          <w:color w:val="auto"/>
        </w:rPr>
        <w:t>Subsequent to the completion of our initial business combination, we may be required to take write-downs or write-offs, restructuring and impairment or other charges that could have a significant negative effect on our financial condition, results of operations and our stock price, which could cause you to lose some or all of your investment.</w:t>
      </w:r>
    </w:p>
    <w:p>
      <w:pPr>
        <w:spacing w:after="0" w:line="180"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Even if we conduct extensive due diligence on a target business with which we combine, we cannot assure you that this diligence will surface all material issues that may be present inside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debt financing to partially finance the initial business combination. Accordingly, any stockholders who choose to remain stockholders following the initial business combination could suffer a reduction in the value of their shares. Such stockholders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initial business combination constituted an actionable material misstatement or omission.</w:t>
      </w:r>
    </w:p>
    <w:p>
      <w:pPr>
        <w:spacing w:after="0" w:line="170"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If third parties bring claims against us, the proceeds held in the trust account could be reduced and the per-share redemption amount received by stockholders may be less than $10.15 per share.</w:t>
      </w:r>
    </w:p>
    <w:p>
      <w:pPr>
        <w:spacing w:after="0" w:line="166"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Our placing of funds in the trust account may not protect those funds from third-party claims against us. 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stockholders,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Marcum LLP, our independent registered public accounting firm, and the underwriters of this offering, will not execute agreements with us waiving such claims to the monies held in the trust account.</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ind w:firstLine="324"/>
        <w:spacing w:after="0" w:line="267" w:lineRule="auto"/>
        <w:rPr>
          <w:sz w:val="20"/>
          <w:szCs w:val="20"/>
          <w:color w:val="auto"/>
        </w:rPr>
      </w:pPr>
      <w:r>
        <w:rPr>
          <w:rFonts w:ascii="Arial" w:cs="Arial" w:eastAsia="Arial" w:hAnsi="Arial"/>
          <w:sz w:val="17"/>
          <w:szCs w:val="17"/>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prescribed timeframe,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stockholders could be less than the $10.15 per share initially held in the trust account, due to claims of such creditors. Pursuant to the letter agreement, the form of which is filed as Exhibit 10.1 to the registration statement of which this prospectus forms a part, our sponsor has agreed that it will be liable to us if and to the extent any claims by a third party for services rendered or products sold to us, or a prospective target business with which we have entered into a written letter of intent, confidentiality or similar agreement or business combination agreement, reduce the amount of funds in the trust account to below the lesser of (i) $10.15 per public share and (ii) the actual amount per public share held in the trust account as of the date of the liquidation of the trust account, if less than $10.15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believe that our sponsor’s only assets are securities of our company. Therefore, we cannot assure you that our sponsor would be able to satisfy those obligations. None of our officers or directors will indemnify us for claims by third parties including, without limitation, claims by vendors and prospective target businesses.</w:t>
      </w:r>
    </w:p>
    <w:p>
      <w:pPr>
        <w:spacing w:after="0" w:line="18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Our directors may decide not to enforce the indemnification obligations of our sponsor, resulting in a reduction in the amount of funds in the trust account available for distribution to our public stockholders.</w:t>
      </w:r>
    </w:p>
    <w:p>
      <w:pPr>
        <w:spacing w:after="0" w:line="16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the event that the proceeds in the trust account are reduced below the lesser of (i) $10.15 per share and (ii) the actual amount per share held in the trust account as of the date of the liquidation of the trust account if less than $10.15 per share due to reductions in the value of the trust assets, in each case net of the interest which may be withdrawn to pay taxes,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w:t>
      </w:r>
    </w:p>
    <w:p>
      <w:pPr>
        <w:spacing w:after="0" w:line="18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for example, the cost of such legal action is deemed by the independent directors to be too high relative to the amount recoverable or if the independent directors determine that a favorable outcome is not likely. If our independent directors choose not to enforce these indemnification obligations, the amount of funds in the trust account available for distribution to our public stockholders may be reduced below $10.15 per share.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have sufficient funds to satisfy indemnification claims of our directors and executive officers.</w:t>
      </w:r>
    </w:p>
    <w:p>
      <w:pPr>
        <w:spacing w:after="0" w:line="22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 (i) we have sufficient funds outside of the trust account or</w:t>
      </w:r>
    </w:p>
    <w:p>
      <w:pPr>
        <w:spacing w:after="0" w:line="2" w:lineRule="exact"/>
        <w:rPr>
          <w:sz w:val="20"/>
          <w:szCs w:val="20"/>
          <w:color w:val="auto"/>
        </w:rPr>
      </w:pPr>
    </w:p>
    <w:p>
      <w:pPr>
        <w:ind w:firstLine="8"/>
        <w:spacing w:after="0" w:line="253" w:lineRule="auto"/>
        <w:tabs>
          <w:tab w:leader="none" w:pos="26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consummate an initial business combination. Our obligation to indemnify our officers and directors may discourage stockholders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stockholders. Furthermore, a stockholder’s investment may be adversely affected to the extent we pay the costs of settlement and damage awards against our officers and directors pursuant to these indemnification provisions.</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47" w:name="page48"/>
    <w:bookmarkEnd w:id="47"/>
    <w:p>
      <w:pPr>
        <w:ind w:right="160"/>
        <w:spacing w:after="0" w:line="266" w:lineRule="auto"/>
        <w:rPr>
          <w:sz w:val="20"/>
          <w:szCs w:val="20"/>
          <w:color w:val="auto"/>
        </w:rPr>
      </w:pPr>
      <w:r>
        <w:rPr>
          <w:rFonts w:ascii="Arial" w:cs="Arial" w:eastAsia="Arial" w:hAnsi="Arial"/>
          <w:sz w:val="18"/>
          <w:szCs w:val="18"/>
          <w:b w:val="1"/>
          <w:b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we and our board may be exposed to claims of punitive damages.</w:t>
      </w:r>
    </w:p>
    <w:p>
      <w:pPr>
        <w:spacing w:after="0" w:line="18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w:t>
      </w:r>
    </w:p>
    <w:p>
      <w:pPr>
        <w:spacing w:after="0" w:line="188" w:lineRule="exact"/>
        <w:rPr>
          <w:sz w:val="20"/>
          <w:szCs w:val="20"/>
          <w:color w:val="auto"/>
        </w:rPr>
      </w:pPr>
    </w:p>
    <w:p>
      <w:pPr>
        <w:jc w:val="both"/>
        <w:ind w:right="240"/>
        <w:spacing w:after="0" w:line="343" w:lineRule="auto"/>
        <w:rPr>
          <w:sz w:val="20"/>
          <w:szCs w:val="20"/>
          <w:color w:val="auto"/>
        </w:rPr>
      </w:pPr>
      <w:r>
        <w:rPr>
          <w:rFonts w:ascii="Arial" w:cs="Arial" w:eastAsia="Arial" w:hAnsi="Arial"/>
          <w:sz w:val="15"/>
          <w:szCs w:val="15"/>
          <w:b w:val="1"/>
          <w:b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per-share amount that would otherwise be received by our stockholders in connection with our liquidation may be reduced.</w:t>
      </w:r>
    </w:p>
    <w:p>
      <w:pPr>
        <w:spacing w:after="0" w:line="128"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per-share amount that would otherwise be received by our stockholders in connection with our liquidation may be reduced.</w:t>
      </w:r>
    </w:p>
    <w:p>
      <w:pPr>
        <w:spacing w:after="0" w:line="153" w:lineRule="exact"/>
        <w:rPr>
          <w:sz w:val="20"/>
          <w:szCs w:val="20"/>
          <w:color w:val="auto"/>
        </w:rPr>
      </w:pPr>
    </w:p>
    <w:p>
      <w:pPr>
        <w:ind w:right="420"/>
        <w:spacing w:after="0" w:line="347" w:lineRule="auto"/>
        <w:rPr>
          <w:sz w:val="20"/>
          <w:szCs w:val="20"/>
          <w:color w:val="auto"/>
        </w:rPr>
      </w:pPr>
      <w:r>
        <w:rPr>
          <w:rFonts w:ascii="Arial" w:cs="Arial" w:eastAsia="Arial" w:hAnsi="Arial"/>
          <w:sz w:val="16"/>
          <w:szCs w:val="16"/>
          <w:b w:val="1"/>
          <w:b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225" w:lineRule="exact"/>
        <w:rPr>
          <w:rFonts w:ascii="Arial" w:cs="Arial" w:eastAsia="Arial" w:hAnsi="Arial"/>
          <w:sz w:val="18"/>
          <w:szCs w:val="18"/>
          <w:color w:val="auto"/>
        </w:rPr>
      </w:pPr>
    </w:p>
    <w:p>
      <w:pPr>
        <w:ind w:left="340" w:right="1300" w:hanging="8"/>
        <w:spacing w:after="0" w:line="500" w:lineRule="auto"/>
        <w:tabs>
          <w:tab w:leader="none" w:pos="664"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the issuance of securities, each of which may make it difficult for us to complete our initial business combination. In addition, we may have imposed upon us burdensome requirements, including:</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registration as an investment company with the SEC;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reporting, record keeping, voting, proxy and disclosure requirements and other rules and regulations that we are currently not subject to.</w:t>
      </w:r>
    </w:p>
    <w:p>
      <w:pPr>
        <w:spacing w:after="0" w:line="23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order not to be regulated as an investment company under the Investment Company Act, unless we can qualify for an exclusion, we must ensure that we are engaged primarily in a business other than investing, reinvesting or trading in securities and that our activities do not include investing, reinvesting, owning, holding or trading “investment securities” constituting more than 40% of our total assets (exclusive of U.S. government securities and cash items) on an unconsolidated basis. Our business will be to identify and complete an initial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8" w:name="page49"/>
    <w:bookmarkEnd w:id="48"/>
    <w:p>
      <w:pPr>
        <w:ind w:right="20" w:firstLine="324"/>
        <w:spacing w:after="0" w:line="284" w:lineRule="auto"/>
        <w:rPr>
          <w:sz w:val="20"/>
          <w:szCs w:val="20"/>
          <w:color w:val="auto"/>
        </w:rPr>
      </w:pPr>
      <w:r>
        <w:rPr>
          <w:rFonts w:ascii="Arial" w:cs="Arial" w:eastAsia="Arial" w:hAnsi="Arial"/>
          <w:sz w:val="16"/>
          <w:szCs w:val="16"/>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earliest to occur of:</w:t>
      </w:r>
    </w:p>
    <w:p>
      <w:pPr>
        <w:spacing w:after="0" w:line="1" w:lineRule="exact"/>
        <w:rPr>
          <w:sz w:val="20"/>
          <w:szCs w:val="20"/>
          <w:color w:val="auto"/>
        </w:rPr>
      </w:pPr>
    </w:p>
    <w:p>
      <w:pPr>
        <w:ind w:right="60" w:firstLine="8"/>
        <w:spacing w:after="0" w:line="286" w:lineRule="auto"/>
        <w:tabs>
          <w:tab w:leader="none" w:pos="21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completion of our initial business combination; (ii) the redemption of any public shares properly submitted in connection with a stockholder vote to amend our amended and restated certificate of incorporation (A) to modify the substance or timing of our obligation to allow redemption in connection with our initial business combination or certain amendments to our charter prior thereto or to redeem 100% of our public shares if we do not complete our initial business combination within 15 months from the closing of this offering or (B) with respect to any other provision relating to stockholders’ rights or pre-initial business combination activity; or (iii) absent an initial business combination within 15 months from the closing of this offering, our return of the funds held in the trust account to our public stockholders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an initial business combination or may result in our liquidation. If we are unable to complete our initial business combination, our public stockholders may receive only approximately $10.15 per share on the liquidation of our trust account and our warrants will expire worthless.</w:t>
      </w:r>
    </w:p>
    <w:p>
      <w:pPr>
        <w:spacing w:after="0" w:line="165"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Our stockholders may be held liable for claims by third parties against us to the extent of distributions received by them upon redemption of their shares.</w:t>
      </w:r>
    </w:p>
    <w:p>
      <w:pPr>
        <w:spacing w:after="0" w:line="166" w:lineRule="exact"/>
        <w:rPr>
          <w:sz w:val="20"/>
          <w:szCs w:val="20"/>
          <w:color w:val="auto"/>
        </w:rPr>
      </w:pPr>
    </w:p>
    <w:p>
      <w:pPr>
        <w:ind w:right="60" w:firstLine="324"/>
        <w:spacing w:after="0" w:line="284" w:lineRule="auto"/>
        <w:rPr>
          <w:sz w:val="20"/>
          <w:szCs w:val="20"/>
          <w:color w:val="auto"/>
        </w:rPr>
      </w:pPr>
      <w:r>
        <w:rPr>
          <w:rFonts w:ascii="Arial" w:cs="Arial" w:eastAsia="Arial" w:hAnsi="Arial"/>
          <w:sz w:val="16"/>
          <w:szCs w:val="16"/>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15 months from the closing of this offering may be considered a liquidating distribution under Delaware law. If a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However, it</w:t>
      </w:r>
    </w:p>
    <w:p>
      <w:pPr>
        <w:spacing w:after="0" w:line="1" w:lineRule="exact"/>
        <w:rPr>
          <w:sz w:val="20"/>
          <w:szCs w:val="20"/>
          <w:color w:val="auto"/>
        </w:rPr>
      </w:pPr>
    </w:p>
    <w:p>
      <w:pPr>
        <w:ind w:right="20"/>
        <w:spacing w:after="0" w:line="209" w:lineRule="auto"/>
        <w:rPr>
          <w:sz w:val="20"/>
          <w:szCs w:val="20"/>
          <w:color w:val="auto"/>
        </w:rPr>
      </w:pPr>
      <w:r>
        <w:rPr>
          <w:rFonts w:ascii="Arial" w:cs="Arial" w:eastAsia="Arial" w:hAnsi="Arial"/>
          <w:sz w:val="18"/>
          <w:szCs w:val="18"/>
          <w:color w:val="auto"/>
        </w:rPr>
        <w:t>is our intention to redeem our public shares as soon as reasonably possible following the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month from the closing of this offering in the event we do not complete our initial business combination and, therefore, we do not intend to comply with the foregoing procedures.</w:t>
      </w:r>
    </w:p>
    <w:p>
      <w:pPr>
        <w:spacing w:after="0" w:line="204"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10 years following our dissolution.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If our plan of distribution complies with Section 281(b) of the DGCL, any liability of stockholders with respect to a liquidating distribution is limited to the lesser of such stockholder’s pro rata share of the claim or the amount distributed to the stockholder, and any liability of the stockholder would likely be barred after the third anniversary of the dissolution.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beyond the third anniversary of such date. Furthermore, if the pro rata portion of our trust account distributed to our public stockholders upon the redemption of our public shares in the event we do not complete our initial business combination within 15 months from the closing of this offering is not considered a liquidating distribution under Delaware law and such redemption distribution is deemed to be unlawful (potentially due to the imposition of legal proceedings that a party may bring or due to other circumstances that are currently unknown), then pursuant to Section 174 of the DGCL, the statute of limitations for claims of creditors could then be six years after the unlawful redemption distribution, instead of three years, as in the case of a liquidating distribution.</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9" w:name="page50"/>
    <w:bookmarkEnd w:id="49"/>
    <w:p>
      <w:pPr>
        <w:ind w:right="520"/>
        <w:spacing w:after="0" w:line="282" w:lineRule="auto"/>
        <w:rPr>
          <w:sz w:val="20"/>
          <w:szCs w:val="20"/>
          <w:color w:val="auto"/>
        </w:rPr>
      </w:pPr>
      <w:r>
        <w:rPr>
          <w:rFonts w:ascii="Arial" w:cs="Arial" w:eastAsia="Arial" w:hAnsi="Arial"/>
          <w:sz w:val="18"/>
          <w:szCs w:val="18"/>
          <w:b w:val="1"/>
          <w:bCs w:val="1"/>
          <w:color w:val="auto"/>
        </w:rPr>
        <w:t>We may not hold an annual meeting of stockholders until after the consummation of our initial business combination, which could delay the opportunity for our stockholders to elect directors.</w:t>
      </w:r>
    </w:p>
    <w:p>
      <w:pPr>
        <w:spacing w:after="0" w:line="16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accordance with Nasdaq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173"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b w:val="1"/>
          <w:bCs w:val="1"/>
          <w:color w:val="auto"/>
        </w:rPr>
        <w:t>The grant of registration rights to our initial stockholders (including the holders the representative shares) may make it more difficult to complete our initial business combination, and the future exercise of such rights may adversely affect the market price of our Class A common stock.</w:t>
      </w:r>
    </w:p>
    <w:p>
      <w:pPr>
        <w:spacing w:after="0" w:line="120"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Pursuant to an agreement to be entered into concurrently with the issuance and sale of the securities in this offering, our initial stockholders, their permitted transferees can demand that we register the resale of the placement units, the placement shares, the placement warrants, the shares of Class A common stock issuable upon exercise of the placement warrants, the shares of Class A common stock issuable upon conversion of the founder shares and the shares of Class A common stock included in the placement units and holders of units that may be issued upon conversion of working capital loans may demand that we register the resale of such shares of Class A common stock, warrants or the Class A common stock issuable upon exercise of such units and warrants. In addition, the representative may demand that we register the resale of the representative shares. We will bear the cost of registering these securities. The registration and availability of such a significant number of securities for trading in the public market may have an adverse effect on the market price of our Class A common stock. In addition, the existence of the registration rights may make our initial business combination more costly or difficult to complete. This is because the stockholders of the target business may increase the equity stake they seek in the combined entity or ask for more cash consideration to offset the negative impact on the market price of our Class A common stock that is expected when the securities owned by our initial stockholders or holders of working capital loans or their respective permitted transferees are registered.</w:t>
      </w:r>
    </w:p>
    <w:p>
      <w:pPr>
        <w:spacing w:after="0" w:line="168"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Because we are neither limited to evaluating a target business in a particular industry sector nor have we selected any specific target businesses with which to pursue our initial business combination, you will be unable to ascertain the merits or risks of any particular target business’s operations.</w:t>
      </w:r>
    </w:p>
    <w:p>
      <w:pPr>
        <w:spacing w:after="0" w:line="180"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We will seek to complete an initial business combination with companies in the retail, lifestyle, hospitality, technology or real estate markets, but may also pursue other business combination opportunities, except that we will not, under our amended and restated certificate of incorporation, be permitted to effectuate our initial business combination with another blank check company or similar company with nominal operations. Because we have not yet selected or approached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you that an investment in our units will ultimately prove to be more favorable to investors than a direct investment, if such opportunity were available, in a business combination target. Accordingly, any stockholders who choose to remain stockholders following our initial business combination could suffer a reduction in the value of their securities. Such stockholders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color w:val="auto"/>
        </w:rPr>
        <w:t>We may seek business combination opportunities in industries or sectors which may or may not be outside of our management’s area of expertise.</w:t>
      </w:r>
    </w:p>
    <w:p>
      <w:pPr>
        <w:spacing w:after="0" w:line="252"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Although we intend to focus on identifying technology companies, we will consider an initial business combination outside of our management’s area of expertise if an initial business combination candidate is presented to us and we determine that such candidate offers an attractive business combination opportunity for our company or we are unable to identify a suitable candidate in this sector after having expanded a reasonable amount of time and effort in an attempt to do so. Although our management will endeavor to evaluate the risks inherent in any particular business combination candidate, we cannot assure you that we will adequately ascertain or assess all of the significant risk factors. We also cannot assure you that an investment in our units will not ultimately prove to be less favorable to investors in this offering than a direct investment, if an opportunity were available, in an initial business combination candidate. In the event we elect to pursue a business combination outside of the areas of our management’s expertise, our management’s expertise may not be directly applicable to its evaluation or operation, and the information contained in this prospectus regarding the areas of our management’s expertise would not be relevant to an understanding of the business that we elect to acquire. As a result, our management may not be able to adequately ascertain or assess all of the significant risk factors. Accordingly, any stockholders who choose to remain stockholders following our initial business combination could suffer a reduction in the value of their shares. Such stockholders are unlikely to have a remedy for such reduction in value.</w:t>
      </w:r>
    </w:p>
    <w:p>
      <w:pPr>
        <w:spacing w:after="0" w:line="168" w:lineRule="exact"/>
        <w:rPr>
          <w:sz w:val="20"/>
          <w:szCs w:val="20"/>
          <w:color w:val="auto"/>
        </w:rPr>
      </w:pPr>
    </w:p>
    <w:p>
      <w:pPr>
        <w:ind w:right="220"/>
        <w:spacing w:after="0" w:line="314" w:lineRule="auto"/>
        <w:rPr>
          <w:sz w:val="20"/>
          <w:szCs w:val="20"/>
          <w:color w:val="auto"/>
        </w:rPr>
      </w:pPr>
      <w:r>
        <w:rPr>
          <w:rFonts w:ascii="Arial" w:cs="Arial" w:eastAsia="Arial" w:hAnsi="Arial"/>
          <w:sz w:val="16"/>
          <w:szCs w:val="16"/>
          <w:b w:val="1"/>
          <w:b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46"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stockholders may exercise their redemption rights, which may make it difficult for us to meet any closing condition with a target business that requires us to have a minimum net worth or a certain amount of cash. In addition, if stockholder approval of the transaction is required by applicable law or stock exchange requirements, or we decide to obtain stockholder approval for business or other legal reasons, it may be more difficult for us to attain stockholder approval of our initial business combination if the target business does not meet our general criteria and guidelines. If we are unable to complete our initial business combination, our public stockholders may receive only approximately $10.15 per share on the liquidation of our trust account and our warrants will expire worthless. In certain circumstances, our public stockholders may receive less than $10.15 per share on the redemption of their shares. See “— If third parties bring claims against us, the proceeds held in the trust account could be reduced and the per-share redemption amount received by stockholders may be less than $10.15 per share” and other risk factors herein.</w:t>
      </w:r>
    </w:p>
    <w:p>
      <w:pPr>
        <w:spacing w:after="0" w:line="164"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We may seek business combination opportunities with a financially unstable business or an entity lacking an established record of revenue, cash flow or earnings, which could subject us to volatile revenues, cash flows or earnings or difficulty in retaining key personnel.</w:t>
      </w:r>
    </w:p>
    <w:p>
      <w:pPr>
        <w:spacing w:after="0" w:line="12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To the extent we complete our initial business combination with a financially unstable business or an entity lacking an established record of revenues or earnings, we may be affected by numerous risks inherent in the operations of the business with which we combine. These risks include volatile revenues or earnings and difficulties in obtaining and retaining key personnel. Although our officers and directors will endeavor to evaluate the risks inherent in a particular target business, we may not be able to properly ascertain or assess all of the significant risk factors and we may not have adequate time to complete due diligence. Furthermore, some of these risks may be outside of our control and leave us with no ability to control or reduce the chances that those risks will adversely impact a target business.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1" w:name="page52"/>
    <w:bookmarkEnd w:id="51"/>
    <w:p>
      <w:pPr>
        <w:ind w:right="120"/>
        <w:spacing w:after="0" w:line="282" w:lineRule="auto"/>
        <w:rPr>
          <w:sz w:val="20"/>
          <w:szCs w:val="20"/>
          <w:color w:val="auto"/>
        </w:rPr>
      </w:pPr>
      <w:r>
        <w:rPr>
          <w:rFonts w:ascii="Arial" w:cs="Arial" w:eastAsia="Arial" w:hAnsi="Arial"/>
          <w:sz w:val="18"/>
          <w:szCs w:val="18"/>
          <w:b w:val="1"/>
          <w:bCs w:val="1"/>
          <w:color w:val="auto"/>
        </w:rPr>
        <w:t>We are not required to obtain a fairness opinion and consequently, you may have no assurance from an independent source that the price we are paying for the business is fair to our company from a financial point of view.</w:t>
      </w:r>
    </w:p>
    <w:p>
      <w:pPr>
        <w:spacing w:after="0" w:line="16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Unless we complete our initial business combination with an affiliated entity or our board cannot independently determine the fair market value of the target business or businesses, we are not required to obtain an opinion from an independent investment banking firm or another independent entity that commonly renders valuation opinions that the price we are paying is fair to our company from a financial point of view. If no opinion is obtained, our stockholders will be relying on the judgment of our board of directors, who will determine fair market value based on standards generally accepted by the financial community. Such standards used will be disclosed in our proxy materials or tender offer documents, as applicable, related to our initial business combination.</w:t>
      </w:r>
    </w:p>
    <w:p>
      <w:pPr>
        <w:spacing w:after="0" w:line="18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Resources could be wasted in researching business combinations that are not completed, which could materially adversely affect subsequent attempts to locate and acquire or merge with another business. If we are unable to complete our initial business combination, our public stockholders may receive only approximately $10.15 per share, or less than such amount in certain circumstances, on the liquidation of our trust account and our warrants will expire worthless.</w:t>
      </w:r>
    </w:p>
    <w:p>
      <w:pPr>
        <w:spacing w:after="0" w:line="184"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consultants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stockholders may receive only approximately $10.15 per share on the liquidation of our trust account and our warrants will expire worthless. In certain circumstances, our public stockholders may receive less than $10.15 per share on the redemption of their shares. See “— If third parties bring claims against us, the proceeds held in the trust account could be reduced and the per-share redemption amount received by stockholders may be less than $10.15 per share” and other risk factors herein.</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7"/>
          <w:szCs w:val="17"/>
          <w:b w:val="1"/>
          <w:bCs w:val="1"/>
          <w:color w:val="auto"/>
        </w:rPr>
        <w:t>We may issue notes or other debt securities, or otherwise incur substantial debt, to complete an initial business combination, which may adversely affect our leverage and financial condition and thus negatively impact the value of our stockholders’ investment in us.</w:t>
      </w:r>
    </w:p>
    <w:p>
      <w:pPr>
        <w:spacing w:after="0" w:line="14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Although we have no commitments as of the date of this prospectus to issue any notes or other debt securities, or to otherwise incur outstanding debt following this offering, we may choose to incur substantial debt to complete our initial business combination. We have agreed that we will not incur any indebtedness unless we have obtained from the lender a waiver of any right, title, interest or claim of any kind in or to the monies held in the trust account. As such, no issuance of debt will affect the per-share amount available for redemption from the trust account. Nevertheless, the incurrence of debt could have a variety of negative effects, including:</w:t>
      </w:r>
    </w:p>
    <w:p>
      <w:pPr>
        <w:spacing w:after="0" w:line="188"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default and foreclosure on our assets if our operating revenues after an initial business combination are insufficient to repay our debt obligations;</w:t>
      </w:r>
    </w:p>
    <w:p>
      <w:pPr>
        <w:spacing w:after="0" w:line="248" w:lineRule="exact"/>
        <w:rPr>
          <w:rFonts w:ascii="Arial" w:cs="Arial" w:eastAsia="Arial" w:hAnsi="Arial"/>
          <w:sz w:val="16"/>
          <w:szCs w:val="16"/>
          <w:color w:val="auto"/>
        </w:rPr>
      </w:pPr>
    </w:p>
    <w:p>
      <w:pPr>
        <w:ind w:left="660" w:right="500" w:hanging="328"/>
        <w:spacing w:after="0" w:line="34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52" w:name="page53"/>
    <w:bookmarkEnd w:id="52"/>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security contains covenants restricting our ability to obtain such financing while the debt security is outstanding;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225" w:lineRule="exact"/>
        <w:rPr>
          <w:rFonts w:ascii="Arial" w:cs="Arial" w:eastAsia="Arial" w:hAnsi="Arial"/>
          <w:sz w:val="18"/>
          <w:szCs w:val="18"/>
          <w:color w:val="auto"/>
        </w:rPr>
      </w:pPr>
    </w:p>
    <w:p>
      <w:pPr>
        <w:ind w:left="660" w:right="220" w:hanging="328"/>
        <w:spacing w:after="0" w:line="34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using a substantial portion of our cash flow to pay principal and interest on our debt, which will reduce the funds available for dividends on our common stock if declared, our ability to pay expenses, make capital expenditures and acquisitions, and fund other general corporate purposes;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25" w:lineRule="exact"/>
        <w:rPr>
          <w:rFonts w:ascii="Arial" w:cs="Arial" w:eastAsia="Arial" w:hAnsi="Arial"/>
          <w:sz w:val="18"/>
          <w:szCs w:val="18"/>
          <w:color w:val="auto"/>
        </w:rPr>
      </w:pPr>
    </w:p>
    <w:p>
      <w:pPr>
        <w:ind w:left="660" w:right="70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and execution of our strategy;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disadvantages compared to our competitors who have less debt.</w:t>
      </w:r>
    </w:p>
    <w:p>
      <w:pPr>
        <w:spacing w:after="0" w:line="221"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We may only be able to complete one business combination with the proceeds of this offering, the sale of the placement units, which will cause us to be solely dependent on a single business which may have a limited number of services and limited operating activities. This lack of diversification may negatively impact our operating results and profitability.</w:t>
      </w:r>
    </w:p>
    <w:p>
      <w:pPr>
        <w:spacing w:after="0" w:line="180"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Of the net proceeds from this offering and the sale of the placement units, $253,750,000 (or $291,812,500 if the underwriters’ over-allotment option is exercised in full) will be available to complete our initial business combination and pay related fees and expenses (which includes up to $8,750,000, or up to $10,062,500 if the over-allotment option is exercised in full, for the payment of deferred underwriting commissions).</w:t>
      </w:r>
    </w:p>
    <w:p>
      <w:pPr>
        <w:spacing w:after="0" w:line="16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In addition, we intend to focus our search for an initial business combination in a single industry. Accordingly, the prospects for our success may be:</w:t>
      </w:r>
    </w:p>
    <w:p>
      <w:pPr>
        <w:spacing w:after="0" w:line="16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53" w:name="page54"/>
    <w:bookmarkEnd w:id="53"/>
    <w:p>
      <w:pPr>
        <w:ind w:right="260"/>
        <w:spacing w:after="0" w:line="347" w:lineRule="auto"/>
        <w:rPr>
          <w:sz w:val="20"/>
          <w:szCs w:val="20"/>
          <w:color w:val="auto"/>
        </w:rPr>
      </w:pPr>
      <w:r>
        <w:rPr>
          <w:rFonts w:ascii="Arial" w:cs="Arial" w:eastAsia="Arial" w:hAnsi="Arial"/>
          <w:sz w:val="16"/>
          <w:szCs w:val="16"/>
          <w:b w:val="1"/>
          <w:b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120"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We do not, however, intend to purchase multiple businesses in unrelated industries in conjunction with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7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We may attempt to complete our initial business combination with a private company about which little information is available, which may result in an initial business combination with a company that is not as profitable as we suspected, if at all.</w:t>
      </w:r>
    </w:p>
    <w:p>
      <w:pPr>
        <w:spacing w:after="0" w:line="16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pursuing our initial business combination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an initial business combination with a company that is not as profitable as we suspected, if at all.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may not be able to maintain control of a target business after our initial business combination.</w:t>
      </w:r>
    </w:p>
    <w:p>
      <w:pPr>
        <w:spacing w:after="0" w:line="229"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may structure an initial business combination so that the post-transaction company in which our public stockholders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sufficient for us not to be required to register as an investment company under the Investment Company Act. We will not consider any transaction that does not meet such criteria. Even if the post-transaction company owns 50% or more of the voting securities of the target, our stockholders prior to the initial business combination may collectively own a minority interest in the post business combination company, depending on valuations ascribed to the target and us in the initial business combination. For example, we could pursue a transaction in which we issue a substantial number of new shares of Class A common stock in exchange for all of the outstanding capital stock of a target. In this case, we would acquire a 100% interest in the target. However, as a result of the issuance of a substantial number of new shares of common stock, our stockholders immediately prior to such transaction could own less than a majority of our outstanding shares of common stock subsequent to such transaction. In addition, other minority stockholders may subsequently combine their holdings resulting in a single person or group obtaining a larger share of the company’s stock than we initially acquired. Accordingly, this may make it more likely that our management will not be able to maintain our control of the target business. We cannot provide assurance that, upon loss of control of a target business, new management will possess the skills, qualifications or abilities necessary to profitably operate such business.</w:t>
      </w:r>
    </w:p>
    <w:p>
      <w:pPr>
        <w:spacing w:after="0" w:line="170"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We do not have a specified maximum redemption threshold. The absence of such a redemption threshold may make it possible for us to complete an initial business combination with which a substantial majority of our stockholders do not agree.</w:t>
      </w:r>
    </w:p>
    <w:p>
      <w:pPr>
        <w:spacing w:after="0" w:line="166"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Our amended and restated certificate of incorporation will not provide a specified maximum redemption threshold, except that in no event will we redeem our public shares unless our net tangible assets are at least $5,000,001 either immediately prior to or upon consummation of our initial business combination and after payment of underwriters’ fees and commissions (such that we are not subject to the SEC’s “penny stock” rules) or any greater net tangible asset or cash requirement which may be contained in the agreement relating to our initial business combination. As a result, we may be able to complete our initial business combination even though a substantial majority of our public stockholders do not agree with the transaction and have redeemed their shares or, if we seek stockholder approval of our initial business combination and do not conduct redemptions in connection with our initial business combination pursuant to the tender offer rules, have entered into privately negotiated agreements to sell their shares to our sponsor, officers, directors or their affiliates. In the event the aggregate cash consideration we would be required to pay for all shares of 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all shares of Class A common stock submitted for redemption will be returned to the holders thereof, and we instead may search for an alternate business combination.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ind w:right="20"/>
        <w:spacing w:after="0" w:line="261" w:lineRule="auto"/>
        <w:rPr>
          <w:sz w:val="20"/>
          <w:szCs w:val="20"/>
          <w:color w:val="auto"/>
        </w:rPr>
      </w:pPr>
      <w:r>
        <w:rPr>
          <w:rFonts w:ascii="Arial" w:cs="Arial" w:eastAsia="Arial" w:hAnsi="Arial"/>
          <w:sz w:val="18"/>
          <w:szCs w:val="18"/>
          <w:b w:val="1"/>
          <w:bCs w:val="1"/>
          <w:color w:val="auto"/>
        </w:rPr>
        <w:t>In order to effectuate an initial business combination, blank check companies have, in the recent past, amended various provisions of their charters and other governing instruments, including their warrant agreements. We cannot assure you that we will not seek to amend our amended and restated certificate of incorporation or governing instruments in a manner that will make it easier for us to complete our initial business combination that our stockholders may not support.</w:t>
      </w:r>
    </w:p>
    <w:p>
      <w:pPr>
        <w:spacing w:after="0" w:line="184"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In order to effectuate an initial business combination, blank check companies have, in the recent past, amended various provisions of their charters and modified governing instruments, including their warrant agreements. For example, blank check companies have amended the definition of business combination, increased redemption thresholds and extended the time to consummate an initial business combination and, with respect to their warrants, amended their warrant agreements to require the warrants to be exchanged for cash and/or other securities. Amending our amended and restated certificate of incorporation will require the approval of holders of 65% of our common stock, and amending our warrant agreement will require a vote of holders of at least a majority of the public warrants (which may include public warrants acquired by our sponsor or its affiliates in this offering or thereafter in the open market). In addition, our amended and restated certificate of incorporation requires us to provide our public stockholders with the opportunity to redeem their public shares for cash if we propose an amendment to our amended and restated certificate of incorporation (A) to modify the substance or timing of our obligation to allow redemption in connection with our initial business combination or certain amendments to our charter prior thereto or to redeem 100% of our public shares if we do not complete our initial business combination within 15 months from the closing of this offering or (B) with respect to any other provision relating to stockholders’ rights or pre-initial business combination activity.</w:t>
      </w:r>
    </w:p>
    <w:p>
      <w:pPr>
        <w:spacing w:after="0" w:line="172"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To the extent any such amendments would be deemed to fundamentally change the nature of any securities offered through this registration statement, we would register, or seek an exemption from registration for, the affected securities. We cannot assure you that we will not seek to amend our charter or governing instruments or extend the time to consummate an initial business combination in order to effectuate our initial business combination.</w:t>
      </w:r>
    </w:p>
    <w:p>
      <w:pPr>
        <w:spacing w:after="0" w:line="14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b w:val="1"/>
          <w:bCs w:val="1"/>
          <w:color w:val="auto"/>
        </w:rPr>
        <w:t>The provisions of our amended and restated certificate of incorporation that relate to our pre-business combination activity (and corresponding provisions of the agreement governing the release of funds from our trust account), including an amendment to permit us to withdraw funds from the trust account such that the per share amount investors will receive upon any redemption or liquidation is substantially reduced or eliminated, may be amended with the approval of holders of at least 65% of our common stock, which is a lower amendment threshold than that of some other blank check companies. It may be easier for us, therefore, to amend our amended and restated certificate of incorporation and the trust agreement to facilitate the completion of an initial business combination that some of our stockholders may not support.</w:t>
      </w:r>
    </w:p>
    <w:p>
      <w:pPr>
        <w:spacing w:after="0" w:line="164"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amended and restated certificate of incorporation will provide that any of its provisions related to pre-initial business combination activity (including the requirement to deposit proceeds of this offering and the sale of the placement units into the trust account and not release such amounts except in specified circumstances, and to provide redemption rights to public stockholders as described herein and including to permit us to withdraw funds from the trust account such that the per share amount investors will receive upon any redemption or liquidation is substantially reduced or eliminated) may be amended if approved by holders of at least 65% of our common stock entitled to vote thereon, and corresponding provisions of the trust agreement governing the release of funds from our trust account may be amended if approved by holders of at least 65% of our common stock entitled to vote thereon. In all other instances, our amended and restated certificate of incorporation may be amended by holders of a majority of our outstanding common stock entitled to vote thereon, subject to applicable provisions of the DGCL or applicable stock exchange rules. We may not issue additional securities that can vote on amendments to our amended and restated certificate of incorporation. Our initial stockholders, who will collectively beneficially own approximately 24.81% of our common stock upon the closing of this offering (including the placement shares to be issued to the sponsor, excluding representative shares and assuming they do not purchase any units in this offering), will participate in any vote to amend our amended and restated certificate of incorporation and/or trust agreement and will have the discretion to vote in any manner they choose. As a result, we may be able to amend the provisions of our amended and restated certificate of incorporation which govern our pre-initial business combination behavior more easily than some other blank check companies, and this may increase our ability to complete an initial business combination with which you do not agree. Our stockholders may pursue remedies against us for any breach of our amended and restated certificate of incorporation.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ind w:right="140" w:firstLine="324"/>
        <w:spacing w:after="0" w:line="269" w:lineRule="auto"/>
        <w:rPr>
          <w:sz w:val="20"/>
          <w:szCs w:val="20"/>
          <w:color w:val="auto"/>
        </w:rPr>
      </w:pPr>
      <w:r>
        <w:rPr>
          <w:rFonts w:ascii="Arial" w:cs="Arial" w:eastAsia="Arial" w:hAnsi="Arial"/>
          <w:sz w:val="17"/>
          <w:szCs w:val="17"/>
          <w:color w:val="auto"/>
        </w:rPr>
        <w:t>Our sponsor, officers and directors have agreed, pursuant to a written agreement with us, that they will not propose any amendment to our amended and restated certificate of incorporation (i) to modify the substance or timing of our obligation to allow redemption in connection with our initial business combination or certain amendments to our charter prior thereto or to redeem 100% of our public shares if we do not complete our initial business combination within 15 months from the closing of this offering or (ii) with respect to any other provision relating to stockholders’ rights or pre-initial business combination activity, unless we provide our public stockholders with the opportunity to redeem their shares of Class A common stock upon approval of any such amendment at a per-share price, payable in cash, equal to the aggregate amount then on deposit in the trust account, divided by the number of then outstanding public shares. These agreements are contained in a letter agreement that we have entered into with our sponsor, officers and directors. Our stockholders are not parties to, or third-party beneficiaries of, these agreements and, as a result, will not have the ability to pursue remedies against our sponsor, officers or directors for any breach of these agreements. As a result, in the event of a breach, our stockholders would need to pursue a stockholder derivative action, subject to applicable law.</w:t>
      </w:r>
    </w:p>
    <w:p>
      <w:pPr>
        <w:spacing w:after="0" w:line="181"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166"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We have not selected any specific business combination target, but intend to target businesses larger than we could acquire with the net proceeds of this offering and the sale of the placement units. As a result, we may be required to seek additional financing to complete such proposed initial business combination. We cannot assure you that such financing will be available on acceptable terms, if at all.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Further, the amount of additional financing we may be required to obtain could increase as a result of future growth capital needs for any particular transaction, the depletion of the available net proceeds in search of a target business, the obligation to repurchase for cash a significant number of shares from stockholders who elect redemption in connection with our initial business combination and/or the terms of negotiated transactions to purchase shares in connection with our initial business combination. If we are unable to complete our initial business combination, our public stockholders may receive only approximately $10.15 per share plus any pro rata interest earned on the funds held in the trust account and not previously released to us to pay our taxes on the liquidation of our trust account and our warrants will expire worthless.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 If we are unable to complete our initial business combination, our public stockholders may only receive approximately $10.15 per share on the liquidation of our trust account, and our warrants will expire worthless. Furthermore, as described in the risk factor entitled “If third parties bring claims against us, the proceeds held in the trust account could be reduced and the per-share redemption amount received by stockholders may be less than $10.15 per share,” under certain circumstances our public stockholders may receive less than $10.15 per share upon the liquidation of the trust account.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color w:val="auto"/>
        </w:rPr>
        <w:t>Our initial stockholders may exert a substantial influence on actions requiring a stockholder vote, potentially in a manner that you do not support.</w:t>
      </w:r>
    </w:p>
    <w:p>
      <w:pPr>
        <w:spacing w:after="0" w:line="252"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Upon the closing of this offering, our initial stockholders will own shares representing approximately 24.81% of our issued and outstanding shares of common stock (including the placement shares to be issued to the sponsor, excluding representative shares and assuming they do not purchase any units in this offering). Accordingly, they may exert a substantial influence on actions requiring a stockholder vote, potentially in a manner that you do not support, including amendments to our amended and restated certificate of incorporation and approval of major corporate transactions. If our initial stockholders purchase any units in this offering or if our initial stockholders purchase any additional shares of common stock in the aftermarket or in privately negotiated transactions, this would increase their control. Factors that would be considered in making such additional purchases would include consideration of the current trading price of our Class A common stock. In addition, our board of directors, whose members were elected by our initial stockholders, is and will be divided into two classes, each of which will generally serve for a term of two years with only one class of directors being elected in each year. We may not hold an annual meeting of stockholders to elect new directors prior to the completion of our initial business combination, in which case all of the current directors will continue in office until at least the completion of the initial business combination. If there is an annual meeting, as a consequence of our “staggered” board of directors, only a minority of the board of directors will be considered for election and our initial stockholders, because of their ownership position, will have considerable influence regarding the outcome. Accordingly, our initial stockholders will continue to exert control at least until the completion of our initial business combination.</w:t>
      </w:r>
    </w:p>
    <w:p>
      <w:pPr>
        <w:spacing w:after="0" w:line="182"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Our sponsor paid an aggregate of $25,000 for the founder shares, or approximately $0.003 per founder share. As a result of this low initial price, our sponsor, its affiliates and our management team stand to make a substantial profit even if an initial business combination subsequently declines in value or is unprofitable for our public stockholders.</w:t>
      </w:r>
    </w:p>
    <w:p>
      <w:pPr>
        <w:spacing w:after="0" w:line="18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a result of the low acquisition cost of our founder shares, our sponsor, its affiliates and our management team could make a substantial profit even if we select and consummate an initial business combination with an acquisition target that subsequently declines in value or is unprofitable for our public stockholders. Thus, such parties may have more of an economic incentive for us to enter into an initial business combination with a riskier, weaker-performing or financially unstable business, or an entity lacking an established record of revenues or earnings, than would be the case if such parties had paid the full offering price for their founder shares.</w:t>
      </w:r>
    </w:p>
    <w:p>
      <w:pPr>
        <w:spacing w:after="0" w:line="184" w:lineRule="exact"/>
        <w:rPr>
          <w:sz w:val="20"/>
          <w:szCs w:val="20"/>
          <w:color w:val="auto"/>
        </w:rPr>
      </w:pPr>
    </w:p>
    <w:p>
      <w:pPr>
        <w:ind w:right="1060"/>
        <w:spacing w:after="0" w:line="282" w:lineRule="auto"/>
        <w:rPr>
          <w:sz w:val="20"/>
          <w:szCs w:val="20"/>
          <w:color w:val="auto"/>
        </w:rPr>
      </w:pPr>
      <w:r>
        <w:rPr>
          <w:rFonts w:ascii="Arial" w:cs="Arial" w:eastAsia="Arial" w:hAnsi="Arial"/>
          <w:sz w:val="18"/>
          <w:szCs w:val="18"/>
          <w:b w:val="1"/>
          <w:bCs w:val="1"/>
          <w:color w:val="auto"/>
        </w:rPr>
        <w:t>Because we must furnish our stockholders with target business financial statements, we may lose the ability to complete an otherwise advantageous initial business combination with some prospective target businesses.</w:t>
      </w:r>
    </w:p>
    <w:p>
      <w:pPr>
        <w:spacing w:after="0" w:line="166"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federal proxy rules require that a proxy statement with respect to a vote on an initial business combination meeting certain financial significance tests include historical and/or pro forma financial statement disclosure in periodic reports.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or GAAP, or international financial reporting standards as issued by the International Accounting Standards Board, or IFRS, depending on the circumstances and the historical financial statements may be required to be audited in accordance with the standards of the Public Company Accounting Oversight Board (United States), or PCAOB. These financial statement requirements may limit the pool of potential target businesses we may acquire because some targets may be unable to provide such financial statements in time for us to disclose such statements in accordance with federal proxy rules and complete our initial business combination within the prescribed time frame.</w:t>
      </w:r>
    </w:p>
    <w:p>
      <w:pPr>
        <w:spacing w:after="0" w:line="177" w:lineRule="exact"/>
        <w:rPr>
          <w:sz w:val="20"/>
          <w:szCs w:val="20"/>
          <w:color w:val="auto"/>
        </w:rPr>
      </w:pPr>
    </w:p>
    <w:p>
      <w:pPr>
        <w:ind w:right="340"/>
        <w:spacing w:after="0" w:line="347" w:lineRule="auto"/>
        <w:rPr>
          <w:sz w:val="20"/>
          <w:szCs w:val="20"/>
          <w:color w:val="auto"/>
        </w:rPr>
      </w:pPr>
      <w:r>
        <w:rPr>
          <w:rFonts w:ascii="Arial" w:cs="Arial" w:eastAsia="Arial" w:hAnsi="Arial"/>
          <w:sz w:val="16"/>
          <w:szCs w:val="16"/>
          <w:b w:val="1"/>
          <w:bCs w:val="1"/>
          <w:color w:val="auto"/>
        </w:rPr>
        <w:t>Compliance obligations under the Sarbanes-Oxley Act may make it more difficult for us to effectuate our initial business combination, require substantial financial and management resources, and increase the time and costs of completing an initial business combination.</w:t>
      </w:r>
    </w:p>
    <w:p>
      <w:pPr>
        <w:spacing w:after="0" w:line="120"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Section 404 of the Sarbanes-Oxley Act requires that we evaluate and report on our system of internal controls beginning with our Annual Report on Form 10-K for the year ending December 31, 2022.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company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business combination.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ind w:right="160"/>
        <w:spacing w:after="0" w:line="282" w:lineRule="auto"/>
        <w:rPr>
          <w:sz w:val="20"/>
          <w:szCs w:val="20"/>
          <w:color w:val="auto"/>
        </w:rPr>
      </w:pPr>
      <w:r>
        <w:rPr>
          <w:rFonts w:ascii="Arial" w:cs="Arial" w:eastAsia="Arial" w:hAnsi="Arial"/>
          <w:sz w:val="18"/>
          <w:szCs w:val="18"/>
          <w:b w:val="1"/>
          <w:bCs w:val="1"/>
          <w:color w:val="auto"/>
        </w:rPr>
        <w:t>Your only opportunity to affect the investment decision regarding a potential business combination will be limited to the exercise of your right to redeem your shares from us for cash, unless we seek stockholder approval of the initial business combination.</w:t>
      </w:r>
    </w:p>
    <w:p>
      <w:pPr>
        <w:spacing w:after="0" w:line="16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At the time of your investment in us, you will not be provided with an opportunity to evaluate the specific merits or risks of our initial business combination. Since our board of directors may complete an initial business combination without seeking stockholder approval, public stockholders may not have the right or opportunity to vote on the initial business combination, unless we seek such stockholder vote. Accordingly, if we do not seek stockholder approval,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stockholders in which we describe our initial business combination.</w:t>
      </w:r>
    </w:p>
    <w:p>
      <w:pPr>
        <w:spacing w:after="0" w:line="188" w:lineRule="exact"/>
        <w:rPr>
          <w:sz w:val="20"/>
          <w:szCs w:val="20"/>
          <w:color w:val="auto"/>
        </w:rPr>
      </w:pPr>
    </w:p>
    <w:p>
      <w:pPr>
        <w:ind w:right="280"/>
        <w:spacing w:after="0" w:line="314" w:lineRule="auto"/>
        <w:rPr>
          <w:sz w:val="20"/>
          <w:szCs w:val="20"/>
          <w:color w:val="auto"/>
        </w:rPr>
      </w:pPr>
      <w:r>
        <w:rPr>
          <w:rFonts w:ascii="Arial" w:cs="Arial" w:eastAsia="Arial" w:hAnsi="Arial"/>
          <w:sz w:val="16"/>
          <w:szCs w:val="16"/>
          <w:b w:val="1"/>
          <w:bCs w:val="1"/>
          <w:color w:val="auto"/>
        </w:rPr>
        <w:t>We may not be able to complete our initial business combination within the prescribed time frame, in which case we would cease all operations except for the purpose of winding up and we would redeem our public shares and liquidate, in which case our public stockholders may only receive $10.15 per share, or less than such amount in certain circumstances, and our warrants will expire worthless.</w:t>
      </w:r>
    </w:p>
    <w:p>
      <w:pPr>
        <w:spacing w:after="0" w:line="14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Our amended and restated certificate of incorporation will provide that we must complete our initial business combination within 15 months from the closing of this offering. We may not be able to find a suitable target business and complete our initial business combination within such time period. Our ability to complete our initial business combination may be negatively impacted by general market conditions, volatility in the capital and debt markets and the other risks described herein. For example, if the outbreak of COVID-19 continues to grow both in the U.S. and globally and, while the extent of the impact of the outbreak on us will depend on future developments, it could limit our ability to complete our initial business combination, including as a result of increased market volatility, decreased market liquidity and third-party financing being unavailable on terms acceptable to us or at all. Additionally, the outbreak of COVID-19 may negatively impact businesses we may seek to acquire.</w:t>
      </w:r>
    </w:p>
    <w:p>
      <w:pPr>
        <w:spacing w:after="0" w:line="17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If we have not completed our initial business combination within such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the case of clauses (ii) and (iii) above to our obligations under Delaware law to provide for claims of creditors and the requirements of other applicable law. In such case, our public stockholders may only receive $10.15 per share, and our warrants will expire worthless. In certain circumstances, our public stockholders may receive less than $10.15 per share on the redemption of their shares. See “— If third parties bring claims against us, the proceeds held in the trust account could be reduced and the per-share redemption amount received by stockholders may be less than $10.15 per share” and other risk factors below.</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8" w:name="page59"/>
    <w:bookmarkEnd w:id="58"/>
    <w:p>
      <w:pPr>
        <w:jc w:val="both"/>
        <w:ind w:right="300"/>
        <w:spacing w:after="0" w:line="266" w:lineRule="auto"/>
        <w:rPr>
          <w:sz w:val="20"/>
          <w:szCs w:val="20"/>
          <w:color w:val="auto"/>
        </w:rPr>
      </w:pPr>
      <w:r>
        <w:rPr>
          <w:rFonts w:ascii="Arial" w:cs="Arial" w:eastAsia="Arial" w:hAnsi="Arial"/>
          <w:sz w:val="18"/>
          <w:szCs w:val="18"/>
          <w:b w:val="1"/>
          <w:bCs w:val="1"/>
          <w:color w:val="auto"/>
        </w:rPr>
        <w:t>As the number of special purpose acquisition companies evaluating targets increases, attractive targets may become scarcer and there may be more competition for attractive targets. This could increase the cost of our initial business combination and could even result in our inability to find a target or to consummate an initial business combination.</w:t>
      </w:r>
    </w:p>
    <w:p>
      <w:pPr>
        <w:spacing w:after="0" w:line="180"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In recent years, the number of special purpose acquisition companies that have been formed has increased substantially. Many potential targets for special purpose acquisition companies have already entered into an initial business combination, and there are still many special purpose acquisition companies seeking targets for their initial business combination, as well as many such companies currently in registration. As a result, at times, fewer attractive targets may be available, and it may require more time, more effort and more resources to identify a suitable target and to consummate an initial business combination.</w:t>
      </w:r>
    </w:p>
    <w:p>
      <w:pPr>
        <w:spacing w:after="0" w:line="188"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In addition, because there are more special purpose acquisition companies seeking to enter into an initial business combination with available targets, the competition for available targets with attractive fundamentals or business models may increase, which could cause target companies to demand improved financial terms. Attractive deals could also become scarcer for other reasons, such as economic or industry sector downturns, geopolitical tensions, or increases in the cost of additional capital needed to close business combinations or operate targets post-business combination. This could increase the cost of, delay or otherwise complicate or frustrate our ability to find and consummate an initial business combination, and may result in our inability to consummate an initial business combination on terms favorable to our investors altogether.</w:t>
      </w:r>
    </w:p>
    <w:p>
      <w:pPr>
        <w:spacing w:after="0" w:line="174"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If we seek stockholder approval of our initial business combination, our sponsor, directors, officers and their affiliates may elect to purchase shares or warrants from public stockholders, which may influence a vote on a proposed initial business combination and reduce the public “float” of our Class A common stock.</w:t>
      </w:r>
    </w:p>
    <w:p>
      <w:pPr>
        <w:spacing w:after="0" w:line="180" w:lineRule="exact"/>
        <w:rPr>
          <w:sz w:val="20"/>
          <w:szCs w:val="20"/>
          <w:color w:val="auto"/>
        </w:rPr>
      </w:pPr>
    </w:p>
    <w:p>
      <w:pPr>
        <w:ind w:right="400" w:firstLine="324"/>
        <w:spacing w:after="0" w:line="25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sponsor, directors, officers or their affiliates may purchase public shares or public warrants or a combination thereof in privately negotiated transactions or in the open market either prior to or following the completion of our initial business combination, although they are under no obligation to do so. However, they have no current commitments, plans or intentions to engage in such transactions and have not formulated any terms or conditions for any such transactions. None of the funds in the trust account will be used to purchase shares or public warrants in such transactions.</w:t>
      </w:r>
    </w:p>
    <w:p>
      <w:pPr>
        <w:spacing w:after="0" w:line="192"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Such a purchase may include a contractual acknowledgement that such stockholder, although still the record holder of our shares is no longer the beneficial owner thereof and therefore agrees not to exercise its redemption rights. In the event that our sponsor, directors, officers or their affiliates purchase shares in privately negotiated transactions from public stockholders who have already elected to exercise their redemption rights or submitted a proxy to vote against our initial business combination, such selling stockholders would be required to revoke their prior elections to redeem their shares and any proxy to vote against our initial business combination. The price per share paid in any such transaction may be different than the amount per share a public stockholder would receive if it elected to redeem its shares in connection with our initial business combination. The purpose of such purchases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We expect that any such purchases will be reported pursuant to Section 13 and Section 16 of the Exchange Act to the extent such purchasers are subject to such reporting requirements.</w:t>
      </w:r>
    </w:p>
    <w:p>
      <w:pPr>
        <w:spacing w:after="0" w:line="174"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In addition, if such purchases are made, the public “float” of our Class A common stock or public warrants and the number of beneficial holders of our securities may be reduced, possibly making it difficult to obtain or maintain the quotation, listing or trading of our securities on a national securities exchange.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ind w:right="480"/>
        <w:spacing w:after="0" w:line="282" w:lineRule="auto"/>
        <w:rPr>
          <w:sz w:val="20"/>
          <w:szCs w:val="20"/>
          <w:color w:val="auto"/>
        </w:rPr>
      </w:pPr>
      <w:r>
        <w:rPr>
          <w:rFonts w:ascii="Arial" w:cs="Arial" w:eastAsia="Arial" w:hAnsi="Arial"/>
          <w:sz w:val="18"/>
          <w:szCs w:val="18"/>
          <w:b w:val="1"/>
          <w:bCs w:val="1"/>
          <w:color w:val="auto"/>
        </w:rPr>
        <w:t>If a stockholder fails to receive notice of our offer to redeem our public shares in connection with our initial business combination, or fails to comply with the procedures for tendering its shares, such shares may not be redeemed.</w:t>
      </w:r>
    </w:p>
    <w:p>
      <w:pPr>
        <w:spacing w:after="0" w:line="16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will comply with the tender offer rules or proxy rules, as applicable, when conducting redemptions in connection with our initial business combination. Despite our compliance with these rules, if a stockholder fails to receive our tender offer or proxy materials, as applicable, such stockholder may not become aware of the opportunity to redeem its shares. In addition, proxy materials or tender offer documents, as applicable, that we will furnish to holders of our public shares in connection with our initial business combination will describe the various procedures that must be complied with in order to validly tender or redeem public shares. For example, we may require our public stockholders seeking to exercise their redemption rights, whether they are record holders or hold their shares in “street name,” to either deliver their stock certificates to our transfer agent prior to the date set forth in the tender offer documents mailed to such holders, or up to two business days prior to the vote on the proposal to approve the initial business combination in the event we distribute proxy materials, or to deliver their shares to the transfer agent electronically. In the event that a stockholder fails to comply with these or any other procedures disclosed in the proxy or tender offer materials, as applicable, its shares may not be redeemed. See the section of this prospectus entitled “Proposed Business — Redemption Rights for Public Stockholders upon Completion of our Initial Business Combination — Tendering Stock Certificates in Connection with a Tender Offer or Redemption Rights.”</w:t>
      </w:r>
    </w:p>
    <w:p>
      <w:pPr>
        <w:spacing w:after="0" w:line="17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You will not have any rights or interests in funds from the trust account, except under certain limited circumstances. To liquidate your investment, therefore, you may be forced to sell your public shares or warrants, potentially at a loss.</w:t>
      </w:r>
    </w:p>
    <w:p>
      <w:pPr>
        <w:spacing w:after="0" w:line="166"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Our public stockholders will be entitled to receive funds from the trust account only upon the earliest to occur of: (i) our completion of an initial business combination, and then only in connection with those shares of Class A common stock that such stockholder properly elected to redeem, subject to the limitations described herein, (ii) the redemption of any public shares properly submitted in connection with a stockholder vote to amend our amended and restated certificate of incorporation (A) to modify the substance or timing of our obligation to allow redemption in connection with our initial business combination or certain amendments to our charter prior thereto or to redeem 100% of our public shares if we do not complete our initial business combination within 15 months from the closing of this offering or (B) with respect to any other provision relating to stockholders’ rights or pre-initial business combination activity and (iii) the redemption of our public shares if we are unable to complete an initial business combination within 15 months from the closing of this offering, subject to applicable law and as further described herein. In no other circumstances will a public stockholder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164"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If we effect our initial business combination with a company with operations or opportunities outside of the United States, we would be subject to a variety of additional risks that may negatively impact our operations.</w:t>
      </w:r>
    </w:p>
    <w:p>
      <w:pPr>
        <w:spacing w:after="0" w:line="16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If we effect our initial business combination with a company with operations or opportunities outside of the United States, we would be subject to any special considerations or risks associated with companies operating in an international setting, including any of the following:</w:t>
      </w:r>
    </w:p>
    <w:p>
      <w:pPr>
        <w:spacing w:after="0" w:line="170" w:lineRule="exact"/>
        <w:rPr>
          <w:sz w:val="20"/>
          <w:szCs w:val="20"/>
          <w:color w:val="auto"/>
        </w:rPr>
      </w:pPr>
    </w:p>
    <w:p>
      <w:pPr>
        <w:ind w:left="660" w:right="8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higher costs and difficulties inherent in managing cross-border business operations and complying with different commercial and legal requirements of overseas markets;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longer payment cycles and challenges in collecting accounts receivable;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0" w:name="page61"/>
    <w:bookmarkEnd w:id="60"/>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tax issues, including but not limited to tax law changes and variations in tax laws as compared to the United States;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natural disasters and wars;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government appropriations of assets.</w:t>
      </w:r>
    </w:p>
    <w:p>
      <w:pPr>
        <w:spacing w:after="0" w:line="221"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If our management team following our initial business combination is unfamiliar with United States securities laws, they may have to expend time and resources becoming familiar with such laws, which could lead to various regulatory issues.</w:t>
      </w:r>
    </w:p>
    <w:p>
      <w:pPr>
        <w:spacing w:after="0" w:line="166"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Following our initial business combination, our founding team may resign from their positions as officers or directors of the company and the management of the business combination partner will may assume the roles of executive officers and directors of our company. Such officers and directors may not be familiar with United States securities laws. If our new management following our initial business combination is unfamiliar with United States securities laws, they may have to expend time and resources becoming familiar with such laws. This could be expensive and time-consuming and could lead to various regulatory issues which may adversely affect our operations.</w:t>
      </w:r>
    </w:p>
    <w:p>
      <w:pPr>
        <w:spacing w:after="0" w:line="184" w:lineRule="exact"/>
        <w:rPr>
          <w:sz w:val="20"/>
          <w:szCs w:val="20"/>
          <w:color w:val="auto"/>
        </w:rPr>
      </w:pPr>
    </w:p>
    <w:p>
      <w:pPr>
        <w:jc w:val="both"/>
        <w:ind w:right="120"/>
        <w:spacing w:after="0" w:line="314" w:lineRule="auto"/>
        <w:rPr>
          <w:sz w:val="20"/>
          <w:szCs w:val="20"/>
          <w:color w:val="auto"/>
        </w:rPr>
      </w:pPr>
      <w:r>
        <w:rPr>
          <w:rFonts w:ascii="Arial" w:cs="Arial" w:eastAsia="Arial" w:hAnsi="Arial"/>
          <w:sz w:val="16"/>
          <w:szCs w:val="16"/>
          <w:b w:val="1"/>
          <w:bCs w:val="1"/>
          <w:color w:val="auto"/>
        </w:rPr>
        <w:t>After our initial business combination, substantially all of our assets may be located in a foreign country and substantially all of our revenue may be derived from our operations in such country. Accordingly, our results of operations and prospects will be subject, to a significant extent, to the economic, political and social conditions and government policies, developments and conditions in the country in which we operate.</w:t>
      </w:r>
    </w:p>
    <w:p>
      <w:pPr>
        <w:spacing w:after="0" w:line="146"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As we may acquire a business located outside of the United States as part of our initial business combination, the economic, political and social conditions, as well as government policies, of the country in which our operations would be located following our initial business combination could affect our business. Economic growth could be uneven, both geographically and among various sectors of the economy and such growth may not be sustained in the future. If in the future such country’s economy experiences a downturn or grows at a slower rate than expected, there may be less demand for spending in certain industries. A decrease in demand for spending in certain industries could materially and adversely affect our ability to find an attractive target business with which to consummate our initial business combination and if we effect our initial business combination, the ability of that target business to become profitable.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Exchange rate fluctuations and currency policies may cause our target business’ ability to succeed in the international markets to be diminished.</w:t>
      </w:r>
    </w:p>
    <w:p>
      <w:pPr>
        <w:spacing w:after="0" w:line="25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the event we acquire a non-U.S. business as part of our initial business combination, all revenues and income would likely be received in a foreign currency, and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ind w:right="260"/>
        <w:spacing w:after="0" w:line="282" w:lineRule="auto"/>
        <w:rPr>
          <w:sz w:val="20"/>
          <w:szCs w:val="20"/>
          <w:color w:val="auto"/>
        </w:rPr>
      </w:pPr>
      <w:r>
        <w:rPr>
          <w:rFonts w:ascii="Arial" w:cs="Arial" w:eastAsia="Arial" w:hAnsi="Arial"/>
          <w:sz w:val="18"/>
          <w:szCs w:val="18"/>
          <w:b w:val="1"/>
          <w:bCs w:val="1"/>
          <w:color w:val="auto"/>
        </w:rPr>
        <w:t>We may reincorporate in another jurisdiction in connection with our initial business combination, and the laws of such jurisdiction may govern some or all of our future material agreements and we may not be able to enforce our legal rights.</w:t>
      </w:r>
    </w:p>
    <w:p>
      <w:pPr>
        <w:spacing w:after="0" w:line="166"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In connection with our initial business combination, we may relocate the home jurisdiction of our business from the U.S. to another jurisdiction. If we determine to do this, the laws of such jurisdiction may govern some or all of our future material agreements.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our Sponsor and Management Team</w:t>
      </w:r>
    </w:p>
    <w:p>
      <w:pPr>
        <w:spacing w:after="0" w:line="225"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Our ability to successfully effect our initial business combination and to be successful thereafter will be totally dependent upon the efforts of our key personnel, some of whom may join us following our initial business combination. The loss of key personnel could negatively impact the operations and profitability of our post-combination business.</w:t>
      </w:r>
    </w:p>
    <w:p>
      <w:pPr>
        <w:spacing w:after="0" w:line="18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it is likely that some or all of the management of the target business will remain in place. While we intend to closely scrutinize any individuals we employ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 In addition, the officers and directors of an initial business combination candidate may resign upon completion of our initial business combination. The departure of an initial business combination target’s key personnel could negatively impact the operations and profitability of our post-combination business. The role of an initial business combination candidate’s key personnel upon the completion of our initial business combination cannot be ascertained at this time. Although we contemplate that certain members of an initial business combination candidate’s management team will remain associated with the initial business combination candidate following our initial business combination, it is possible that members of the management of an initial business combination candidate will not wish to remain in place. The loss of key personnel could negatively impact the operations and profitability of our post-combination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upon our executive officers and directors and their departure could adversely affect our ability to operate.</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operations are dependent upon a relatively small group of individuals and, in particular, our executive officers and directors. We believe that our success depends on the continued service of our executive officers and directors, at least until we have completed our initial business combination. We do not have an employment agreement with, or key-man insurance on the life of, any of our directors or executive officers. The unexpected loss of the services of one or more of our directors or executive officers could have a detrimental effect on us.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ind w:right="360"/>
        <w:spacing w:after="0" w:line="314" w:lineRule="auto"/>
        <w:rPr>
          <w:sz w:val="20"/>
          <w:szCs w:val="20"/>
          <w:color w:val="auto"/>
        </w:rPr>
      </w:pPr>
      <w:r>
        <w:rPr>
          <w:rFonts w:ascii="Arial" w:cs="Arial" w:eastAsia="Arial" w:hAnsi="Arial"/>
          <w:sz w:val="16"/>
          <w:szCs w:val="16"/>
          <w:b w:val="1"/>
          <w:bCs w:val="1"/>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46"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key personnel may be able to remain with the company after the completion of our initial business combination only if they are able to negotiate employment or consulting agreements in connection with the initial business combination. Such negotiations would take place simultaneously with the negotiation of the initial business combination and could provide for such individuals to receive compensation in the form of cash payments and/or our securities for services they would render to us after the completion of the initial business combination. The personal and financial interests of such individuals may influence their motivation in identifying and selecting a target business. However, we believe the ability of such individuals to remain with us after the completion of our initial business combination will not be the determining factor in our decision as to whether or not we will proceed with any potential business combination. There is no certainty, however, that any of our key personnel will remain with us after the completion of our initial business combination. We cannot assure you that any of our key personnel will remain in senior management or advisory positions with us. The determination as to whether any of our key personnel will remain with us will be made at the time of the consummation of our initial business combination.</w:t>
      </w:r>
    </w:p>
    <w:p>
      <w:pPr>
        <w:spacing w:after="0" w:line="162"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b w:val="1"/>
          <w:bCs w:val="1"/>
          <w:color w:val="auto"/>
        </w:rPr>
        <w:t>We may have a limited ability to assess the management of a prospective target business and, as a result, may effect our initial business combination with a target business whose management may not have the skills, qualifications or abilities to manage a public company, which could, in turn, negatively impact the value of our stockholders’ investment in us.</w:t>
      </w:r>
    </w:p>
    <w:p>
      <w:pPr>
        <w:spacing w:after="0" w:line="180"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target’s management, therefore, may prove to be incorrect and such management may lack the skills, qualifications or abilities we suspected. Should the target’s management not possess the skills, qualifications or abilities necessary to manage a public company, the operations and profitability of the post-combination business may be negatively impacted. Accordingly, any stockholders who choose to remain stockholders following the initial business combination could suffer a reduction in the value of their shares. Such stockholders are unlikely to have a remedy for such reduction in value.</w:t>
      </w:r>
    </w:p>
    <w:p>
      <w:pPr>
        <w:spacing w:after="0" w:line="160" w:lineRule="exact"/>
        <w:rPr>
          <w:sz w:val="20"/>
          <w:szCs w:val="20"/>
          <w:color w:val="auto"/>
        </w:rPr>
      </w:pPr>
    </w:p>
    <w:p>
      <w:pPr>
        <w:ind w:right="240"/>
        <w:spacing w:after="0" w:line="347" w:lineRule="auto"/>
        <w:rPr>
          <w:sz w:val="20"/>
          <w:szCs w:val="20"/>
          <w:color w:val="auto"/>
        </w:rPr>
      </w:pPr>
      <w:r>
        <w:rPr>
          <w:rFonts w:ascii="Arial" w:cs="Arial" w:eastAsia="Arial" w:hAnsi="Arial"/>
          <w:sz w:val="16"/>
          <w:szCs w:val="16"/>
          <w:b w:val="1"/>
          <w:bCs w:val="1"/>
          <w:color w:val="auto"/>
        </w:rPr>
        <w:t>Our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20"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Our officers and directors are not required to, and will not, commit their full time to our affairs, which may result in a conflict of interest in allocating their time between our operations and our search for an initial business combination and their other businesses. We do not intend to have any full-time employees prior to the completion of our initial business combination. Each of our officers is engaged in other business endeavors for which he may be entitled to substantial compensation and our officers are not obligated to contribute any specific number of hours per week to our affairs. Our independent directors may also serve as officers or board members for other entities.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officers’ and directors’ other business affairs, please see the section of this prospectus entitled “Management — Directors and Officers.”</w:t>
      </w:r>
    </w:p>
    <w:p>
      <w:pPr>
        <w:spacing w:after="0" w:line="174"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Certain of our officers and directors are now, and all of them may in the future become, affiliated with entities engaged in business activities similar to those intended to be conducted by us and, accordingly, may have conflicts of interest in allocating their time and determining to which entity a particular business opportunity should be presented.</w:t>
      </w:r>
    </w:p>
    <w:p>
      <w:pPr>
        <w:spacing w:after="0" w:line="18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Following the completion of this offering and until we consummate our initial business combination, we intend to engage in the business of identifying and combining with one or more businesses. Our sponsor and officers and directors are, and may in the future become, affiliated with entities (such as operating companies or investment vehicles) that are engaged in a similar business and our officers and directors may become officers or directors of another special purpose acquisition company with a class of securities intended to be registered under the Exchange Act, even prior to us entering into a definitive agreement for our initial business combination. Our officers and directors also may become aware of business opportunities which may be appropriate for presentation to us and the other entities to which they owe certain fiduciary or contractual duties.</w:t>
      </w:r>
    </w:p>
    <w:p>
      <w:pPr>
        <w:spacing w:after="0" w:line="17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Accordingly, they may have conflicts of interest in determining to which entity a particular business opportunity should be presented. These conflicts may not be resolved in our favor and a potential target business may be presented to another entity prior to its presentation to us.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and to the extent the director or officer is permitted to refer that opportunity to us without violating another legal obligation.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3" w:name="page64"/>
    <w:bookmarkEnd w:id="63"/>
    <w:p>
      <w:pPr>
        <w:ind w:firstLine="324"/>
        <w:spacing w:after="0" w:line="263" w:lineRule="auto"/>
        <w:rPr>
          <w:sz w:val="20"/>
          <w:szCs w:val="20"/>
          <w:color w:val="auto"/>
        </w:rPr>
      </w:pPr>
      <w:r>
        <w:rPr>
          <w:rFonts w:ascii="Arial" w:cs="Arial" w:eastAsia="Arial" w:hAnsi="Arial"/>
          <w:sz w:val="18"/>
          <w:szCs w:val="18"/>
          <w:color w:val="auto"/>
        </w:rPr>
        <w:t>For a complete discussion of our officers’ and directors’ business affiliations and the potential conflicts of interest that you should be aware of, please see the sections of this prospectus entitled “Management — Directors and Officers,” “Management — Conflicts of Interest” and “Certain Relationships and Related Party Transactions.”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officers, directors, security holders and their respective affiliates may have competitive pecuniary interests that conflict with our interests.</w:t>
      </w:r>
    </w:p>
    <w:p>
      <w:pPr>
        <w:spacing w:after="0" w:line="252"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fact, we may enter into an initial business combination with a target business that is affiliated with our sponsor, our directors or officers, although we do not intend to do so. We do not have a policy that expressly prohibits any such persons from engaging for their own account in business activities of the types conducted by us. Accordingly, such persons or entities may have a conflict between their interests and ours.</w:t>
      </w:r>
    </w:p>
    <w:p>
      <w:pPr>
        <w:spacing w:after="0" w:line="172"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We may engage in an initial business combination with one or more target businesses that have relationships with entities that may be affiliated with our sponsor, officers, directors or existing holders which may raise potential conflicts of interest.</w:t>
      </w:r>
    </w:p>
    <w:p>
      <w:pPr>
        <w:spacing w:after="0" w:line="166"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In light of the involvement of our sponsor, officers and directors with other entities, we may decide to acquire one or more businesses affiliated with our sponsor, officers or directors. Our directors and officers also serve as officers and board members for other entities, including, without limitation, those described under the section of this prospectus entitled “Management — Conflicts of Interest.”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preliminary discussions concerning an initial business combination with any such entity or entities. Although we will not be specifically focusing on, or targeting, any transaction with any affiliated entities, we would pursue such a transaction if we determined that such affiliated entity met our criteria for an initial business combination as set forth in the section of this prospectus entitled “Proposed Business — Selection of a Target Business and Structuring of our Initial Business Combination” and such transaction was approved by a majority of our disinterested directors. Despite our agreement to obtain an opinion from an independent investment banking firm or another independent entity that commonly renders valuation opinions, regarding the fairness to our stockholders from a financial point of view of an initial business combination with one or more businesses affiliated with our sponsor, officers, directors or existing holders, potential conflicts of interest still may exist and, as a result, the terms of the initial business combination may not be as advantageous to our public stockholders as they would be absent any conflicts of interest.</w:t>
      </w:r>
    </w:p>
    <w:p>
      <w:pPr>
        <w:spacing w:after="0" w:line="182" w:lineRule="exact"/>
        <w:rPr>
          <w:sz w:val="20"/>
          <w:szCs w:val="20"/>
          <w:color w:val="auto"/>
        </w:rPr>
      </w:pPr>
    </w:p>
    <w:p>
      <w:pPr>
        <w:ind w:right="360"/>
        <w:spacing w:after="0" w:line="347" w:lineRule="auto"/>
        <w:rPr>
          <w:sz w:val="20"/>
          <w:szCs w:val="20"/>
          <w:color w:val="auto"/>
        </w:rPr>
      </w:pPr>
      <w:r>
        <w:rPr>
          <w:rFonts w:ascii="Arial" w:cs="Arial" w:eastAsia="Arial" w:hAnsi="Arial"/>
          <w:sz w:val="16"/>
          <w:szCs w:val="16"/>
          <w:b w:val="1"/>
          <w:bCs w:val="1"/>
          <w:color w:val="auto"/>
        </w:rPr>
        <w:t>Since our sponsor, officers and directors will lose their entire investment in us if our initial business combination is not completed, a conflict of interest may arise in determining whether a particular business combination target is appropriate for our initial business combination.</w:t>
      </w:r>
    </w:p>
    <w:p>
      <w:pPr>
        <w:spacing w:after="0" w:line="120"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On May 21, 2021, our sponsor purchased 8,625,000 founder shares for an aggregate purchase price of $25,000. On September 24, 2021, the Company issued 862,500 shares of Class B common stock in connection with a 1.1 stock split, resulting in an aggregate of 9,487,500 shares of Class B common stock outstanding, or approximately $0.003 per share. The number of founder shares issued was determined based on the expectation that such founder shares would represent 24.81 % of the outstanding shares after this offering (excluding the shares of Class A common stock to be issued to the representative or its designees upon consummation of this offering, the placement units and securities underlying the placement units). The 9,487,500 founders’ shares include an aggregate of up to 1,237,500 founders’ shares that are subject to forfeiture by our sponsor depending on the extent to which the underwriters’ over-allotment option is exercised. The founder shares will be worthless if we do not complete an initial business combination. Our sponsor has agreed to purchase an aggregate of 804,500 placement units at a price of $10.00 per unit for an aggregate purchase price of $8,045,000. If the over-allotment option is exercised in full, the amount of placement units sold will be 898,250 for an aggregate purchase price of $8,982,500). Each placement unit consists of one share of Class A common stock and one warrant. Each warrant is exercisable to purchase one whole share of common stock at $11.50 per share. These securities will also be worthless if we do not complete an initial business combination. Holders of founder shares have agreed (A) to vote any shares owned by them in favor of any proposed initial business combination and (B) not to redeem any founder shares or placement shares held by them in connection with a stockholder vote to approve a proposed initial business combination. In addition, we may obtain loans from our sponsor, affiliates of our sponsor or an officer or director. The personal and financial interests of our officers and directors may influence their motivation in identifying and selecting a target business combination, completing an initial business combination and influencing the operation of the business following the initial business combination.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Risks Relating to Our Securities</w:t>
      </w:r>
    </w:p>
    <w:p>
      <w:pPr>
        <w:spacing w:after="0" w:line="225" w:lineRule="exact"/>
        <w:rPr>
          <w:sz w:val="20"/>
          <w:szCs w:val="20"/>
          <w:color w:val="auto"/>
        </w:rPr>
      </w:pPr>
    </w:p>
    <w:p>
      <w:pPr>
        <w:ind w:right="400"/>
        <w:spacing w:after="0" w:line="347" w:lineRule="auto"/>
        <w:rPr>
          <w:sz w:val="20"/>
          <w:szCs w:val="20"/>
          <w:color w:val="auto"/>
        </w:rPr>
      </w:pPr>
      <w:r>
        <w:rPr>
          <w:rFonts w:ascii="Arial" w:cs="Arial" w:eastAsia="Arial" w:hAnsi="Arial"/>
          <w:sz w:val="16"/>
          <w:szCs w:val="16"/>
          <w:b w:val="1"/>
          <w:bCs w:val="1"/>
          <w:color w:val="auto"/>
        </w:rPr>
        <w:t>The securities in which we invest the funds held in the trust account could bear a negative rate of interest, which could reduce the value of the assets held in trust such that the per-share redemption amount received by public stockholders may be less than $10.15 per share.</w:t>
      </w:r>
    </w:p>
    <w:p>
      <w:pPr>
        <w:spacing w:after="0" w:line="120"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While short-term U.S. government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are unable to complete our initial business combination or make certain amendments to our amended and restated certificate of incorporation, our public stockholders are entitled to receive their pro-rata share of the proceeds held in the trust account, plus any interest income, net of taxes paid or payable (less, in the case we are unable to complete our initial business combination, $100,000 of interest). Negative interest rates could reduce the value of the assets held in trust such that the per-share redemption amount received by public stockholders may be less than $10.15 per share.</w:t>
      </w:r>
    </w:p>
    <w:p>
      <w:pPr>
        <w:spacing w:after="0" w:line="162"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Nasdaq may delist our securities from trading on its exchange, which could limit investors’ ability to make transactions in our securities and subject us to additional trading restrictions.</w:t>
      </w:r>
    </w:p>
    <w:p>
      <w:pPr>
        <w:spacing w:after="0" w:line="16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have applied to have our units listed on Nasdaq. We expect that our units will be listed on Nasdaq on or promptly after the date of this prospectus. Following the date the shares of our Class A common stock and warrants are eligible to trade separately, we anticipate that the shares of our Class A common stock and warrants will be separately listed on Nasdaq. We cannot guarantee that our securities will be approved for listing on Nasdaq. Although after giving effect to this offering we expect to meet, on a pro forma basis, the minimum initial listing standards set forth in the Nasdaq listing standards, we cannot assure you that our securities will be, or will continue to be, listed on Nasdaq in the future or prior to our initial business combination. In order to continue listing our securities on Nasdaq prior to our initial business combination, we must maintain certain financial, distribution and stock price levels. Generally, we must maintain a minimum number of holders of our securities (generally 400 public 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our stock price would generally be required to be at least $4.00 per share, and we would be required to have a minimum of 400 round lot holders (with at least 50% of such round lot holders holding securities with a market value of at least $2,500) of our securities. We cannot assure you that we will be able to meet those initial listing requirements at that time.</w:t>
      </w:r>
    </w:p>
    <w:p>
      <w:pPr>
        <w:spacing w:after="0" w:line="179" w:lineRule="exact"/>
        <w:rPr>
          <w:sz w:val="20"/>
          <w:szCs w:val="20"/>
          <w:color w:val="auto"/>
        </w:rPr>
      </w:pPr>
    </w:p>
    <w:p>
      <w:pPr>
        <w:ind w:right="500" w:firstLine="324"/>
        <w:spacing w:after="0" w:line="258" w:lineRule="auto"/>
        <w:rPr>
          <w:sz w:val="20"/>
          <w:szCs w:val="20"/>
          <w:color w:val="auto"/>
        </w:rPr>
      </w:pPr>
      <w:r>
        <w:rPr>
          <w:rFonts w:ascii="Arial" w:cs="Arial" w:eastAsia="Arial" w:hAnsi="Arial"/>
          <w:sz w:val="18"/>
          <w:szCs w:val="18"/>
          <w:color w:val="auto"/>
        </w:rPr>
        <w:t>If Nasdaq delists our securities from trading on its exchange and we are not able to list our securities on another national securities exchange, we expect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our securities could be quoted on an over-the-counter market. If this were to occur, we could face significant material adverse consequences, including:</w:t>
      </w:r>
    </w:p>
    <w:p>
      <w:pPr>
        <w:spacing w:after="0" w:line="234"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ind w:left="660" w:right="200" w:hanging="328"/>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determination that our Class A common stock is a “penny stock” which will require brokers trading in our Class A common stock to adhere to more stringent rules and possibly result in a reduced level of trading activity in the secondary trading market for our securities;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Class A common stock and warrants will be listed on Nasdaq, our units, Class A common stock and warrants will be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be covered securities and we would be subject to regulation in each state in which we offer our securities, including in connection with our initial business combination.</w:t>
      </w:r>
    </w:p>
    <w:p>
      <w:pPr>
        <w:spacing w:after="0" w:line="177"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If we seek stockholder approval of our initial business combination and we do not conduct redemptions pursuant to the tender offer rules, and if you or a “group” of stockholders are deemed to hold in excess of 15% of our Class A common stock, you will lose the ability to redeem all such shares in excess of 15% of our Class A common stock.</w:t>
      </w:r>
    </w:p>
    <w:p>
      <w:pPr>
        <w:spacing w:after="0" w:line="18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 of the shares sold in this offering without our prior consent, which we refer to as the “Excess Shares.” However, we would not be restricting our stockholders’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in order to dispose of such shares, would be required to sell your stock in open market transactions, potentially at a loss.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66" w:name="page67"/>
    <w:bookmarkEnd w:id="66"/>
    <w:p>
      <w:pPr>
        <w:ind w:right="140"/>
        <w:spacing w:after="0" w:line="258" w:lineRule="auto"/>
        <w:rPr>
          <w:sz w:val="20"/>
          <w:szCs w:val="20"/>
          <w:color w:val="auto"/>
        </w:rPr>
      </w:pPr>
      <w:r>
        <w:rPr>
          <w:rFonts w:ascii="Arial" w:cs="Arial" w:eastAsia="Arial" w:hAnsi="Arial"/>
          <w:sz w:val="18"/>
          <w:szCs w:val="18"/>
          <w:b w:val="1"/>
          <w:bCs w:val="1"/>
          <w:color w:val="auto"/>
        </w:rPr>
        <w:t>We are not registering the shares of Class A common stock issuable upon exercise of the warrants under the Securities Act or any state securities laws at this time, and such registration may not be in place when an investor desires to exercise warrants, thus precluding such investor from being able to exercise its warrants except on a cashless basis. If the issuance of the shares upon exercise of warrants is not registered, qualified or exempt from registration or qualification, the holder of such warrant will not be entitled to exercise such warrant and such warrant may have no value and expire worthless.</w:t>
      </w:r>
    </w:p>
    <w:p>
      <w:pPr>
        <w:spacing w:after="0" w:line="187"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We are not registering the shares of Class A common stock issuable upon exercise of the warrants under the Securities Act or any state securities laws at this time. However, under the terms of the warrant agreement, we have agreed that as soon as practicable, after the closing of our initial business combination, we will use our best efforts to file with the SEC a registration statement for the registration under the Securities Act of the issuance of the shares of Class A common stock issuable upon exercise of the warrants and thereafter will use our best efforts to cause the same to become effective within 60 business days following our initial business combination and to maintain a current prospectus relating to the Class A common stock issuable upon exercise of the warrants, until the expiration of the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complete or correct or the SEC issues a stop order. If any such registration statement has not been declared effective by the 60th Business Day following the closing of the business combination, holders of the warrants shall have the right, during the period beginning on the 61st Business Day after the closing of the business combination and ending upon such registration statement being declared effective by the SEC, and during any other period when we fail to have maintained an effective registration statement covering the shares of Common Stock issuable upon exercise of the warrants, to exercise such warrants on a “cashless basis”. We shall provide the Warrant Agent with an opinion of counsel stating that (i) the exercise of the warrants on a cashless basis is not required to be registered under the Act and (ii) the shares of Common Stock issued upon such exercise will be freely tradable under U.S. federal securities laws by anyone who is not an affiliate (as such term is defined in Rule 144 under the Act) of the Company and, accordingly, will not be required to bear a restrictive legend. ,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is available. In no event will we be required to net cash settle any warrant, or issue securities or other compensation in exchange for the warrants in the event that we are unable to register or qualify the shares underlying the warrants under applicable state securities laws and there is no exemption available. If the issuance of the shares upon exercise of the warrants is not so registered or qualified or exempt from registration or qualification, the holder of such warrant will not be entitled to exercise such warrant and such warrant may have no value and expire worthless. In such event, holders who acquired their warrants as part of a purchase of units will have paid the full unit purchase price solely for the shares of Class A common stock included in the units.</w:t>
      </w:r>
    </w:p>
    <w:p>
      <w:pPr>
        <w:spacing w:after="0" w:line="174"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If we do not file and maintain a current and effective prospectus relating to the Class A common stock issuable upon exercise of the warrants, holders will only be able to exercise such warrants on a “cashless basis.”</w:t>
      </w:r>
    </w:p>
    <w:p>
      <w:pPr>
        <w:spacing w:after="0" w:line="166"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If we do not file and maintain a current and effective prospectus relating to the Class A common stock issuable upon exercise of the warrants at the time that holders wish to exercise such warrants, they will only be able to exercise them on a “cashless basis” provided that an exemption from registration is available. As a result, the number of shares of Class A common stock that holders will receive upon exercise of the warrants will be fewer than it would have been had such holder exercised his warrant for cash. Further, if an exemption from registration is not available, holders would not be able to exercise on a cashless basis and would only be able to exercise their warrants for cash if a current and effective prospectus relating to the Class A common stock issuable upon exercise of the warrants is available. Under the terms of the warrant agreement, we have agreed to use our best efforts to meet these conditions and to file and maintain a current and effective prospectus relating to the Class A common stock issuable upon exercise of the warrants until the expiration of the warrants. However, we cannot assure you that we will be able to do so. If we are unable to do so, the potential “upside” of the holder’s investment in our company may be reduced or the warrants may expire worthless.</w:t>
      </w:r>
    </w:p>
    <w:p>
      <w:pPr>
        <w:spacing w:after="0" w:line="177" w:lineRule="exact"/>
        <w:rPr>
          <w:sz w:val="20"/>
          <w:szCs w:val="20"/>
          <w:color w:val="auto"/>
        </w:rPr>
      </w:pPr>
    </w:p>
    <w:p>
      <w:pPr>
        <w:ind w:right="360"/>
        <w:spacing w:after="0" w:line="312" w:lineRule="auto"/>
        <w:rPr>
          <w:sz w:val="20"/>
          <w:szCs w:val="20"/>
          <w:color w:val="auto"/>
        </w:rPr>
      </w:pPr>
      <w:r>
        <w:rPr>
          <w:rFonts w:ascii="Arial" w:cs="Arial" w:eastAsia="Arial" w:hAnsi="Arial"/>
          <w:sz w:val="17"/>
          <w:szCs w:val="17"/>
          <w:b w:val="1"/>
          <w:bCs w:val="1"/>
          <w:color w:val="auto"/>
        </w:rPr>
        <w:t>An investor will only be able to exercise a warrant if the issuance of shares of Class A common stock upon such exercise has been registered or qualified or is deemed exempt under the securities laws of the state of residence of the holder of the warrants.</w:t>
      </w:r>
    </w:p>
    <w:p>
      <w:pPr>
        <w:spacing w:after="0" w:line="14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No warrants will be exercisable and we will not be obligated to issue shares of Class A common stock unless the shares of Class A common stock issuable upon such exercise has been registered or qualified or deemed to be exempt under the securities laws of the state of residence of the holder of the warrants. If the shares of Class A common stock issuable upon exercise of the warrants are not qualified or exempt from qualification in the jurisdictions in which the holders of the warrants reside, the warrants may be deprived of any value, the market for the warrants may be limited and they may expire worthless if they cannot be sold.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ind w:right="20"/>
        <w:spacing w:after="0" w:line="258" w:lineRule="auto"/>
        <w:rPr>
          <w:sz w:val="20"/>
          <w:szCs w:val="20"/>
          <w:color w:val="auto"/>
        </w:rPr>
      </w:pPr>
      <w:r>
        <w:rPr>
          <w:rFonts w:ascii="Arial" w:cs="Arial" w:eastAsia="Arial" w:hAnsi="Arial"/>
          <w:sz w:val="18"/>
          <w:szCs w:val="18"/>
          <w:b w:val="1"/>
          <w:bCs w:val="1"/>
          <w:color w:val="auto"/>
        </w:rPr>
        <w:t>We may issue additional common stock or preferred stock to complete our initial business combination or under an employee incentive plan after completion of our initial business combination. We may also issue shares of Class A common stock upon the conversion of the Class B common stock at a ratio greater than one-to-one at the time of the consummation of our initial business combination as a result of the anti-dilution provisions contained in our amended and restated certificate of incorporation. Any such issuances would dilute the interest of our stockholders and likely present other risks.</w:t>
      </w:r>
    </w:p>
    <w:p>
      <w:pPr>
        <w:spacing w:after="0" w:line="187"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Our amended and restated certificate of incorporation will authorize the issuance of up to 280,000,000 shares of Class A common stock, par value $0.0001 per share, 20,000,000 shares of Class B common stock, par value $0.0001 per share, and 1,000,000 shares of preferred stock, par value $0.0001 per share. Immediately after this offering and the sale of the placement units, there will be 253,820,500 and 11,750,000 (assuming, in each case, that the underwriters have not exercised their over-allotment option) authorized but unissued shares of Class A common stock and Class B common stock, respectively, available for issuance, which amount does not take into account the shares of Class A common stock reserved for issuance upon exercise of outstanding warrants or the shares of Class A common stock issuable upon conversion of Class B common stock. Immediately after the consummation of this offering, there will be no shares of preferred stock issued and outstanding. Shares of Class B common stock are convertible into shares of our Class A common stock initially at a one-for-one ratio but subject to adjustment as set forth herein, including in certain circumstances in which we issue Class A common stock or equity-linked securities related to our initial business combination.</w:t>
      </w:r>
    </w:p>
    <w:p>
      <w:pPr>
        <w:spacing w:after="0" w:line="18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may issue a substantial number of additional shares of common or preferred stock to complete our initial business combination or under an employee incentive plan after completion of our initial business combination (although our amended and restated certificate of incorporation will provide that we may not issue securities that can vote with common stockholders on matters related to our pre-initial business combination activity). We may also issue shares of Class A common stock upon conversion of the Class B common stock at a ratio greater than one-to-one at the time of the consummation of our initial business combination as a result of the anti-dilution provisions contained in our amended and restated certificate of incorporation. However, our amended and restated certificate of incorporation will provide, among other things, that prior to our initial business combination, we may not issue additional shares of capital stock that would entitle the holders thereof to (i) receive funds from the trust account or (ii) vote on any initial business combination. These provisions of our amended and restated certificate of incorporation, like all provisions of our amended and restated certificate of incorporation, may be amended with the approval of our stockholders. However, our executive officers, directors and director nominees have agreed, pursuant to a written agreement with us, that they will not propose any amendment to our amended and restated certificate of incorporation (A) to modify the substance or timing of our obligation to allow redemption in connection with our initial business combination or certain amendments to our charter prior thereto or to redeem 100% of our public shares if we do not complete our initial business combination within 15 months from the closing of this offering or (B) with respect to any other provision relating to stockholders’ rights or pre-initial business combination activity, unless we provide our public stockholders with the opportunity to redeem their shares of common stock upon approval of any such amendment at a per-share price, payable in cash, equal to the aggregate amount then on deposit in the trust account, including interest (which interest shall be net of taxes payable), divided by the number of then outstanding public shares.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issuance of additional shares of common or preferred stock:</w:t>
      </w:r>
    </w:p>
    <w:p>
      <w:pPr>
        <w:spacing w:after="0" w:line="225" w:lineRule="exact"/>
        <w:rPr>
          <w:sz w:val="20"/>
          <w:szCs w:val="20"/>
          <w:color w:val="auto"/>
        </w:rPr>
      </w:pPr>
    </w:p>
    <w:p>
      <w:pPr>
        <w:ind w:left="660" w:hanging="328"/>
        <w:spacing w:after="0" w:line="342"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may significantly dilute the equity interest of investors in this offering, which dilution would increase if the anti-dilution provisions in the Class B common stock resulted in the issuance of Class A shares on a greater than one-to-one basis upon conversion of the Class B common stock;</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may subordinate the rights of holders of our common stock if preferred stock is issued with rights senior to those afforded our common stock;</w:t>
      </w:r>
    </w:p>
    <w:p>
      <w:pPr>
        <w:spacing w:after="0" w:line="248" w:lineRule="exact"/>
        <w:rPr>
          <w:rFonts w:ascii="Arial" w:cs="Arial" w:eastAsia="Arial" w:hAnsi="Arial"/>
          <w:sz w:val="16"/>
          <w:szCs w:val="16"/>
          <w:color w:val="auto"/>
        </w:rPr>
      </w:pPr>
    </w:p>
    <w:p>
      <w:pPr>
        <w:jc w:val="both"/>
        <w:ind w:left="660" w:right="360" w:hanging="328"/>
        <w:spacing w:after="0" w:line="342"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could cause a change of control if a substantial number of shares of our common stock are issued, which may affect, among other things, our ability to use our net operating loss carry forwards, if any, and could result in the resignation or removal of our present officers and directors;</w:t>
      </w:r>
    </w:p>
    <w:p>
      <w:pPr>
        <w:spacing w:after="0" w:line="123" w:lineRule="exact"/>
        <w:rPr>
          <w:rFonts w:ascii="Arial" w:cs="Arial" w:eastAsia="Arial" w:hAnsi="Arial"/>
          <w:sz w:val="16"/>
          <w:szCs w:val="16"/>
          <w:color w:val="auto"/>
        </w:rPr>
      </w:pPr>
    </w:p>
    <w:p>
      <w:pPr>
        <w:ind w:left="660" w:right="30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stock ownership or voting rights of a person seeking to obtain control of us;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Class A common stock and/or warrants.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68" w:name="page69"/>
    <w:bookmarkEnd w:id="68"/>
    <w:p>
      <w:pPr>
        <w:ind w:right="320"/>
        <w:spacing w:after="0" w:line="282" w:lineRule="auto"/>
        <w:rPr>
          <w:sz w:val="20"/>
          <w:szCs w:val="20"/>
          <w:color w:val="auto"/>
        </w:rPr>
      </w:pPr>
      <w:r>
        <w:rPr>
          <w:rFonts w:ascii="Arial" w:cs="Arial" w:eastAsia="Arial" w:hAnsi="Arial"/>
          <w:sz w:val="18"/>
          <w:szCs w:val="18"/>
          <w:b w:val="1"/>
          <w:bCs w:val="1"/>
          <w:color w:val="auto"/>
        </w:rPr>
        <w:t>Our initial stockholders paid a nominal price for the founders’ shares and, accordingly, you will experience immediate and substantial dilution from the purchase of our shares of common stock.</w:t>
      </w:r>
    </w:p>
    <w:p>
      <w:pPr>
        <w:spacing w:after="0" w:line="16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difference between the public offering price per share (allocating all of the unit purchase price to the Class A common stock and none to the warrants included in the unit) and the pro forma net tangible book value per share of our Class A common stock after this offering constitutes the dilution to you and the other investors in this offering. Our sponsor and the representative acquired the founder shares at a nominal price, significantly contributing to this dilution. Upon the closing of this offering, and assuming no value is ascribed to the warrants included in the units, you and the other public stockholders will incur an immediate and substantial dilution of approximately 108.0% (or $10.80 per share, assuming no exercise of the underwriters’ over-allotment option), the difference between the pro forma net tangible book value per share of $(0.80) and the initial offering price of $10.00 per unit. In addition, because of the anti-dilution rights of the founder shares, any equity or equity-linked securities issued or deemed issued in connection with our initial business combination would be disproportionately dilutive to our Class A common stock.</w:t>
      </w:r>
    </w:p>
    <w:p>
      <w:pPr>
        <w:spacing w:after="0" w:line="174"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Unlike many other similarly structured special purpose acquisition companies, our initial stockholders will receive additional shares of Class A common stock if we issue shares to consummate an initial business combination.</w:t>
      </w:r>
    </w:p>
    <w:p>
      <w:pPr>
        <w:spacing w:after="0" w:line="166"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The founder shares will automatically convert into Class A common stock at the time of the consummation of our initial business combination, on a one-for-one basis, subject to adjustment as provided herein. In the case that additional shares of Class A common stock, or equity-linked securities convertible or exercisable for Class A common stock, are issued or deemed issued in excess of the amounts offered in this prospectus and related to the closing of the initial business combination, the ratio at which founder shares shall convert into Class A common stock will be adjusted so that the number of Class A common stock issuable upon conversion of all founder shares will equal, in the aggregate, on an as-converted basis, 24.81% of the total number of all outstanding shares of common stock upon completion of the initial business combination, excluding the shares of Class A common stock to be issued to the representative or its designees upon consummation of this offering, the placement units and underlying securities, assuming the initial stockholders do not purchase units in this offering, and any shares or equity-linked securities issued, or to be issued, to any seller in the business combination and any private placement-equivalent units and their underlying securities issued to our sponsor or its affiliates upon conversion of loans made to us. This is different from most other similarly structured blank check companies in which the initial stockholder will only be issued an aggregate of 20% of the total number of shares to be outstanding prior to the initial business combination. Additionally, the aforementioned adjustment will not take into account any shares of Class A common stock redeemed in connection with the business combination. Accordingly, the holders of the founder shares could receive additional shares of Class A common stock even if the additional shares of Class A common stock, or equity-linked securities convertible or exercisable for Class A common stock, are issued or deemed issued solely to replace those shares that were redeemed in connection with the business combination. The foregoing may make it more difficult and expensive for us to consummate an initial business combination.</w:t>
      </w:r>
    </w:p>
    <w:p>
      <w:pPr>
        <w:spacing w:after="0" w:line="163" w:lineRule="exact"/>
        <w:rPr>
          <w:sz w:val="20"/>
          <w:szCs w:val="20"/>
          <w:color w:val="auto"/>
        </w:rPr>
      </w:pPr>
    </w:p>
    <w:p>
      <w:pPr>
        <w:ind w:right="80"/>
        <w:spacing w:after="0" w:line="314" w:lineRule="auto"/>
        <w:rPr>
          <w:sz w:val="20"/>
          <w:szCs w:val="20"/>
          <w:color w:val="auto"/>
        </w:rPr>
      </w:pPr>
      <w:r>
        <w:rPr>
          <w:rFonts w:ascii="Arial" w:cs="Arial" w:eastAsia="Arial" w:hAnsi="Arial"/>
          <w:sz w:val="16"/>
          <w:szCs w:val="16"/>
          <w:b w:val="1"/>
          <w:bCs w:val="1"/>
          <w:color w:val="auto"/>
        </w:rPr>
        <w:t>We may amend the terms of the warrants in a manner that may be adverse to holders with the approval by the holders of at least 50% of the then outstanding public warrants. As a result, the exercise price of your warrants could be increased, the exercise period could be shortened and the number of shares of our Class A common stock purchasable upon exercise of a warrant could be decreased, all without your approval.</w:t>
      </w:r>
    </w:p>
    <w:p>
      <w:pPr>
        <w:spacing w:after="0" w:line="146"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(i) to cure any ambiguity or correct any mistake, including to conform the provisions of the warrant agreement to the description of the terms of the warrants and the warrant agreement set forth in this prospectus, or to cure, correct or supplement any defective provision, or (ii) to add or change any other provisions with respect to matters or questions arising under the warrant agreement as the parties to the warrant agreement may deem necessary or desirable and that the parties deem to not adversely affect the interests of the registered holders of the warrants. The warrant agreement requires the approval by the holders of at least 50% of the then outstanding public warrants in order to make any change that adversely affects the interests of the registered holders. Accordingly, we may amend the terms of the public warrants in a manner adverse to a holder if holders of at least 50% of the then outstanding public warrants approve of such amendment. Although our ability to amend the terms of the public warrants with the consent of at least 50% of the then outstanding public warrants is unlimited, examples of such amendments could be amendments to, among other things, increase the exercise price of the warrants, convert the warrants into cash or stock, shorten the exercise period or decrease the number of shares of our Class A common stock purchasable upon exercise of a warrant.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ind w:right="300"/>
        <w:spacing w:after="0" w:line="289" w:lineRule="auto"/>
        <w:rPr>
          <w:sz w:val="20"/>
          <w:szCs w:val="20"/>
          <w:color w:val="auto"/>
        </w:rPr>
      </w:pPr>
      <w:r>
        <w:rPr>
          <w:rFonts w:ascii="Arial" w:cs="Arial" w:eastAsia="Arial" w:hAnsi="Arial"/>
          <w:sz w:val="17"/>
          <w:szCs w:val="17"/>
          <w:b w:val="1"/>
          <w:bCs w:val="1"/>
          <w:color w:val="auto"/>
        </w:rPr>
        <w:t>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w:t>
      </w:r>
    </w:p>
    <w:p>
      <w:pPr>
        <w:spacing w:after="0" w:line="162"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Our warrant agreement will provide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8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the forum provisions of the warrant agreement, is filed in a court other than a court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spacing w:after="0" w:line="19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This choice-of-forum provision may limit a warrant 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84" w:lineRule="exact"/>
        <w:rPr>
          <w:sz w:val="20"/>
          <w:szCs w:val="20"/>
          <w:color w:val="auto"/>
        </w:rPr>
      </w:pPr>
    </w:p>
    <w:p>
      <w:pPr>
        <w:ind w:right="800"/>
        <w:spacing w:after="0" w:line="282" w:lineRule="auto"/>
        <w:rPr>
          <w:sz w:val="20"/>
          <w:szCs w:val="20"/>
          <w:color w:val="auto"/>
        </w:rPr>
      </w:pPr>
      <w:r>
        <w:rPr>
          <w:rFonts w:ascii="Arial" w:cs="Arial" w:eastAsia="Arial" w:hAnsi="Arial"/>
          <w:sz w:val="18"/>
          <w:szCs w:val="18"/>
          <w:b w:val="1"/>
          <w:bCs w:val="1"/>
          <w:color w:val="auto"/>
        </w:rPr>
        <w:t>We may redeem your unexpired warrants prior to their exercise at a time that is disadvantageous to you, thereby making your warrants worthless.</w:t>
      </w:r>
    </w:p>
    <w:p>
      <w:pPr>
        <w:spacing w:after="0" w:line="166"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We have the ability to redeem outstanding warrants at any time after they become exercisable and prior to their expiration, at a price of $0.01 per warrant, provided that the last reported sales price of the Class A common stock equals or exceeds $18.00 per share (as adjusted for stock splits, stock dividends, reorganizations and recapitalizations) for any 20 trading days within a 30 trading-day period commencing at any time after the warrants become exercisable and ending on the third business day prior to proper notice of such redemption provided that on the date we give notice of redemption and during the entire period thereafter until the time we redeem the warrants, we have an effective registration statement under the Securities Act covering the shares of Class A common stock issuable upon exercise of the warrants and a current prospectus relating to them is available. If and when the warrants become redeemable by us, we may exercise our redemption right even if we are unable to register or qualify the underlying securities for sale under all applicable state securities laws. Redemption of the outstanding warrants could force you (i) to exercise your warrants and pay the exercise price therefor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is likely to be substantially less than the market value of your warrants.</w:t>
      </w:r>
    </w:p>
    <w:p>
      <w:pPr>
        <w:spacing w:after="0" w:line="178"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Our management’s ability to require holders of our warrants to exercise such warrants on a cashless basis will cause holders to receive fewer shares of Class A common stock upon their exercise of the warrants than they would have received had they been able to exercise their warrants for cash.</w:t>
      </w:r>
    </w:p>
    <w:p>
      <w:pPr>
        <w:spacing w:after="0" w:line="180"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If we call our public warrants for redemption after the redemption criteria described elsewhere in this prospectus have been satisfied, our management will have the option to require any holder that wishes to exercise his warrant (including any private warrants) to do so on a “cashless basis.” If our management chooses to require holders to exercise their warrants on a cashless basis, the number of shares of Class A common stock received by a holder upon exercise will be fewer than it would have been had such holder exercised his warrant for cash. This will have the effect of reducing the potential “upside” of the holder’s investment in our company.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ind w:right="380"/>
        <w:spacing w:after="0" w:line="282" w:lineRule="auto"/>
        <w:rPr>
          <w:sz w:val="20"/>
          <w:szCs w:val="20"/>
          <w:color w:val="auto"/>
        </w:rPr>
      </w:pPr>
      <w:r>
        <w:rPr>
          <w:rFonts w:ascii="Arial" w:cs="Arial" w:eastAsia="Arial" w:hAnsi="Arial"/>
          <w:sz w:val="18"/>
          <w:szCs w:val="18"/>
          <w:b w:val="1"/>
          <w:bCs w:val="1"/>
          <w:color w:val="auto"/>
        </w:rPr>
        <w:t>Our warrants and founder shares may have an adverse effect on the market price of our Class A common stock and make it more difficult to effectuate our initial business combination.</w:t>
      </w:r>
    </w:p>
    <w:p>
      <w:pPr>
        <w:spacing w:after="0" w:line="16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will be issuing warrants to purchase 25,000,000 shares of our Class A common stock (or up to 28,750,000 shares of Class A common stock if the underwriters’ over-allotment option is exercised in full) as part of the units offered by this prospectus and, simultaneously with the closing of this offering, we will be issuing placement units, in a private placement, consisting of an aggregate 804,500 placement warrants to purchase shares of Class A common stock (or 898,250 warrants if the over-allotment option is exercised in full) for a total of 25,804,500 shares of our Class A common stock (or 29,648,250 shares of our Class A common stock if the underwriters’ over-allotment option is exercised in full). Our initial stockholders currently own an aggregate of 9,487,500 Class B founder shares. The founder shares are convertible into shares of Class A common stock on a one-for-one basis, subject to adjustment as set forth herein. In addition, if our sponsor, our officers and directors, or our or their affiliates make any loans prior to or in connection with our initial business combination, up to $1,500,000 of such loans may be converted into units, at a price of $10.00 per unit at the option of the lender, upon consummation of our initial business combination. The units would be identical to the placement units. To the extent we issue shares of Class A common stock to effectuate an initial business combination, the potential for the issuance of a substantial number of additional shares of Class A common stock upon exercise of these warrants and loan conversion rights could make us a less attractive business combination vehicle to a target business. Any such issuance will increase the number of issued and outstanding shares of our Class A common stock and reduce the value of the shares of Class A common stock issued to complete the initial business combination. Therefore, our warrants and founder shares may make it more difficult to effectuate an initial business combination or increase the cost of acquiring the target business.</w:t>
      </w:r>
    </w:p>
    <w:p>
      <w:pPr>
        <w:spacing w:after="0" w:line="171"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The placement warrants included in the placement units are identical to the warrants sold as part of the units in this offering except that they may not, subject to certain limited exceptions, be transferred, assigned or sold by the holders until 30 days after the completion of our initial business combination, and will be entitled to registration rights.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provision of our warrant agreement may make it more difficult for us to consummate an initial business combination.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Unlike most blank check companies, if</w:t>
      </w:r>
    </w:p>
    <w:p>
      <w:pPr>
        <w:spacing w:after="0" w:line="225" w:lineRule="exact"/>
        <w:rPr>
          <w:sz w:val="20"/>
          <w:szCs w:val="20"/>
          <w:color w:val="auto"/>
        </w:rPr>
      </w:pPr>
    </w:p>
    <w:p>
      <w:pPr>
        <w:ind w:left="660" w:right="14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issue additional shares of Class A common stock or equity-linked securities for capital raising purposes in connection with the closing of our initial business combination at a Newly Issued Price of less than $9.20 per share;</w:t>
      </w:r>
    </w:p>
    <w:p>
      <w:pPr>
        <w:spacing w:after="0" w:line="170" w:lineRule="exact"/>
        <w:rPr>
          <w:rFonts w:ascii="Arial" w:cs="Arial" w:eastAsia="Arial" w:hAnsi="Arial"/>
          <w:sz w:val="18"/>
          <w:szCs w:val="18"/>
          <w:color w:val="auto"/>
        </w:rPr>
      </w:pPr>
    </w:p>
    <w:p>
      <w:pPr>
        <w:ind w:left="660" w:right="340" w:hanging="328"/>
        <w:spacing w:after="0" w:line="34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aggregate gross proceeds from such issuances represent more than 60% of the total equity proceeds, and interest thereon, available for the funding of our initial business combination on the date of the consummation of our initial business combination (net of redemptions),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Market Value is below $9.20 per share,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71" w:name="page72"/>
    <w:bookmarkEnd w:id="71"/>
    <w:p>
      <w:pPr>
        <w:ind w:left="340"/>
        <w:spacing w:after="0"/>
        <w:rPr>
          <w:sz w:val="20"/>
          <w:szCs w:val="20"/>
          <w:color w:val="auto"/>
        </w:rPr>
      </w:pPr>
      <w:r>
        <w:rPr>
          <w:rFonts w:ascii="Arial" w:cs="Arial" w:eastAsia="Arial" w:hAnsi="Arial"/>
          <w:sz w:val="16"/>
          <w:szCs w:val="16"/>
          <w:color w:val="auto"/>
        </w:rPr>
        <w:t>then the exercise price of the warrants will be adjusted to be equal to 115% of the greater of the Market Value and the Newly Issued Price, and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$18.00 per share redemption trigger price will be adjusted (to the nearest cent) to be equal to 180% of the greater of the Market Value and the Newly Issued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Price. This may make it more difficult for us to consummate an initial business combination with a target business.</w:t>
      </w:r>
    </w:p>
    <w:p>
      <w:pPr>
        <w:spacing w:after="0" w:line="207"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b w:val="1"/>
          <w:bCs w:val="1"/>
          <w:color w:val="auto"/>
        </w:rPr>
        <w:t>The determination of the offering price of our units, the size of this offering and the terms of the units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162"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Prior to this offering there has been no public market for any of our securities. The public offering price of the units and the terms of the warrants were negotiated between us and the underwriters. In determining the size of this offering, management held customary organizational meetings with the representative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Class A common stock and warrants underlying the units, include:</w:t>
      </w:r>
    </w:p>
    <w:p>
      <w:pPr>
        <w:spacing w:after="0" w:line="176"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prospects for acquiring an operating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review of debt to equity ratios in leveraged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in identifying operating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this offering;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225"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Although these factors were considered, the determination of our offering price, size and terms of the units is more arbitrary than the pricing of securities of an operating company in a particular industry since we have no historical operations or financial results.</w:t>
      </w:r>
    </w:p>
    <w:p>
      <w:pPr>
        <w:spacing w:after="0" w:line="166"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There is currently no market for our securities and a market for our securities may not develop, which would adversely affect the liquidity and price of our securities.</w:t>
      </w:r>
    </w:p>
    <w:p>
      <w:pPr>
        <w:spacing w:after="0" w:line="166"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There is currently no market for our securities.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Furthermore, an active trading market for our securities may never develop or, if developed, it may not be sustained. You may be unable to sell your securities unless a market can be established and sustained.</w:t>
      </w:r>
    </w:p>
    <w:p>
      <w:pPr>
        <w:spacing w:after="0" w:line="167"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Provisions in our amended and restated certificate of incorporation and Delaware law may inhibit a takeover of us, which could limit the price investors might be willing to pay in the future for our Class A common stock and could entrench management.</w:t>
      </w:r>
    </w:p>
    <w:p>
      <w:pPr>
        <w:spacing w:after="0" w:line="16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amended and restated certificate of incorporation will contain provisions that may discourage unsolicited takeover proposals that stockholders may consider to be in their best interests. These provisions include a staggered board of directors and the ability of the board of directors to designate the terms of and issue new series of preferred shares, which may make the removal of management more difficult and may discourage transactions that otherwise could involve payment of a premium over prevailing market prices for our securities.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ind w:right="120" w:firstLine="324"/>
        <w:spacing w:after="0" w:line="263" w:lineRule="auto"/>
        <w:rPr>
          <w:sz w:val="20"/>
          <w:szCs w:val="20"/>
          <w:color w:val="auto"/>
        </w:rPr>
      </w:pPr>
      <w:r>
        <w:rPr>
          <w:rFonts w:ascii="Arial" w:cs="Arial" w:eastAsia="Arial" w:hAnsi="Arial"/>
          <w:sz w:val="18"/>
          <w:szCs w:val="18"/>
          <w:color w:val="auto"/>
        </w:rPr>
        <w:t>We are also subject to anti-takeover provisions under Delaware law, which could delay or prevent a change of control. Together these provisions may make the removal of management more difficult and may discourage transactions that otherwise could involve payment of a premium over prevailing market prices for our securities.</w:t>
      </w:r>
    </w:p>
    <w:p>
      <w:pPr>
        <w:spacing w:after="0" w:line="180"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color w:val="auto"/>
        </w:rPr>
        <w:t>Our amended and restated certificate of incorporation will require, to the fullest extent permitted by law, that derivative actions brought in our name, actions against our directors, officers, other employees or stockholders for breach of fiduciary duty and certain other actions may be brought only in the Court of Chancery in the State of Delaware and, if brought outside of Delaware, the stockholder bringing the suit will, subject to certain exceptions, be deemed to have consented to service of process on such stockholder’s counsel, which may have the effect of discouraging lawsuits against our directors, officers, other employees or stockholders.</w:t>
      </w:r>
    </w:p>
    <w:p>
      <w:pPr>
        <w:spacing w:after="0" w:line="172"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Our amended and restated certificate of incorporation will require, to the fullest extent permitted by law, that derivative actions brought in our name, actions against our directors, officers, other employees or stockholders for breach of fiduciary duty and certain other actions may be brought only in the Court of Chancery in the State of Delaware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Any person or entity purchasing or otherwise acquiring any interest in shares of our capital stock shall be deemed to have notice of and consented to the forum provisions in our amended and restated certificate of incorporation. This choice of forum provision may limit or make more costly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8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amended and restated certificate of incorporation will provide that the exclusive forum provision will be applicable to the fullest extent permitted by applicable law, subject to certain exceptions.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our amended and restated certificate of incorporation provides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or the rules and regulations promulgated thereunder.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Risk Factors</w:t>
      </w:r>
    </w:p>
    <w:p>
      <w:pPr>
        <w:spacing w:after="0" w:line="22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We are a newly formed company with no operating history and no revenues, and you have no basis on which to evaluate our ability to achieve our business objective.</w:t>
      </w:r>
    </w:p>
    <w:p>
      <w:pPr>
        <w:spacing w:after="0" w:line="166" w:lineRule="exact"/>
        <w:rPr>
          <w:sz w:val="20"/>
          <w:szCs w:val="20"/>
          <w:color w:val="auto"/>
        </w:rPr>
      </w:pPr>
    </w:p>
    <w:p>
      <w:pPr>
        <w:ind w:right="420" w:firstLine="324"/>
        <w:spacing w:after="0" w:line="257" w:lineRule="auto"/>
        <w:rPr>
          <w:sz w:val="20"/>
          <w:szCs w:val="20"/>
          <w:color w:val="auto"/>
        </w:rPr>
      </w:pPr>
      <w:r>
        <w:rPr>
          <w:rFonts w:ascii="Arial" w:cs="Arial" w:eastAsia="Arial" w:hAnsi="Arial"/>
          <w:sz w:val="18"/>
          <w:szCs w:val="18"/>
          <w:color w:val="auto"/>
        </w:rPr>
        <w:t>We are a newly formed company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with one or more target businesses. We have no plans, arrangements or understandings with any prospective target business concerning an initial business combination and may be unable to complete our initial business combination. If we fail to complete our initial business combination, we will never generate any operating revenues.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73" w:name="page74"/>
    <w:bookmarkEnd w:id="73"/>
    <w:p>
      <w:pPr>
        <w:ind w:right="80"/>
        <w:spacing w:after="0" w:line="282" w:lineRule="auto"/>
        <w:rPr>
          <w:sz w:val="20"/>
          <w:szCs w:val="20"/>
          <w:color w:val="auto"/>
        </w:rPr>
      </w:pPr>
      <w:r>
        <w:rPr>
          <w:rFonts w:ascii="Arial" w:cs="Arial" w:eastAsia="Arial" w:hAnsi="Arial"/>
          <w:sz w:val="18"/>
          <w:szCs w:val="18"/>
          <w:b w:val="1"/>
          <w:bCs w:val="1"/>
          <w:color w:val="auto"/>
        </w:rPr>
        <w:t>Our independent registered public accounting firm’s report contains an explanatory paragraph that expresses substantial doubt about our ability to continue as a “going concern.”</w:t>
      </w:r>
    </w:p>
    <w:p>
      <w:pPr>
        <w:spacing w:after="0" w:line="166"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On September 30, 2021, we had cash of $25,100 and a working capital deficit of $141,501. Further, we have incurred and expect to continue to incur significant costs in pursuit of our financing and acquisition plans. Management’s plans to address this need for capital through this offering are discussed in the section of this prospectus titled “Management’s Discussion and Analysis of Financial Condition and Results of Operations.” We cannot assure you that our plans to raise capital or to consummate an initial business combination will be successful. These factors, among others, raise substantial doubt about our ability to continue as a going concern. The financial statements contained elsewhere in this prospectus do not include any adjustments that might result from our inability to consummate this offering or our inability to continue as a going concern.</w:t>
      </w:r>
    </w:p>
    <w:p>
      <w:pPr>
        <w:spacing w:after="0" w:line="174"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66"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performance by our management team may not be indicative of future performance of an investment in us.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Past performance by our management team is not a guarantee either (i) of success with respect to any business combination we may consummate or</w:t>
      </w:r>
    </w:p>
    <w:p>
      <w:pPr>
        <w:spacing w:after="0" w:line="46" w:lineRule="exact"/>
        <w:rPr>
          <w:sz w:val="20"/>
          <w:szCs w:val="20"/>
          <w:color w:val="auto"/>
        </w:rPr>
      </w:pPr>
    </w:p>
    <w:p>
      <w:pPr>
        <w:ind w:right="60" w:firstLine="8"/>
        <w:spacing w:after="0" w:line="295" w:lineRule="auto"/>
        <w:tabs>
          <w:tab w:leader="none" w:pos="265"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that we will be able to locate a suitable candidate for our initial business combination. You should not rely on the historical record of our management team’s performance as indicative of our future performance of an investment in the company or the returns the company will, or is likely to, generate going forward. None of our officers or directors has experience with blank check companies or special purpose acquisition companies. Additionally, in the course of their respective careers, members of our management team have been involved in businesses and deals that were unsuccessful.</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Cyber incidents or attacks directed at us could result in information theft, data corruption, operational disruption and/or financial loss.</w:t>
      </w:r>
    </w:p>
    <w:p>
      <w:pPr>
        <w:spacing w:after="0" w:line="241"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ability to consummate a business combination and lead to financial loss.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We may face risks related to companies in the technology sector.</w:t>
      </w:r>
    </w:p>
    <w:p>
      <w:pPr>
        <w:spacing w:after="0" w:line="229"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Business combinations with companies in the technology sector (where we plan to search for our initial business combination target) entail special considerations and risks. If we are successful in completing a business combination with such a target business, we may be subject to, and possibly adversely affected by, the following risks:</w:t>
      </w:r>
    </w:p>
    <w:p>
      <w:pPr>
        <w:spacing w:after="0" w:line="184" w:lineRule="exact"/>
        <w:rPr>
          <w:sz w:val="20"/>
          <w:szCs w:val="20"/>
          <w:color w:val="auto"/>
        </w:rPr>
      </w:pPr>
    </w:p>
    <w:p>
      <w:pPr>
        <w:ind w:left="780" w:hanging="327"/>
        <w:spacing w:after="0"/>
        <w:tabs>
          <w:tab w:leader="none" w:pos="780" w:val="left"/>
        </w:tabs>
        <w:numPr>
          <w:ilvl w:val="0"/>
          <w:numId w:val="34"/>
        </w:numPr>
        <w:rPr>
          <w:rFonts w:ascii="Arial" w:cs="Arial" w:eastAsia="Arial" w:hAnsi="Arial"/>
          <w:sz w:val="17"/>
          <w:szCs w:val="17"/>
          <w:color w:val="333333"/>
        </w:rPr>
      </w:pPr>
      <w:r>
        <w:rPr>
          <w:rFonts w:ascii="Arial" w:cs="Arial" w:eastAsia="Arial" w:hAnsi="Arial"/>
          <w:sz w:val="17"/>
          <w:szCs w:val="17"/>
          <w:color w:val="333333"/>
        </w:rPr>
        <w:t>an inability to compete effectively in a highly competitive environment with many incumbents having substantially greater resources;</w:t>
      </w:r>
    </w:p>
    <w:p>
      <w:pPr>
        <w:spacing w:after="0" w:line="236" w:lineRule="exact"/>
        <w:rPr>
          <w:rFonts w:ascii="Arial" w:cs="Arial" w:eastAsia="Arial" w:hAnsi="Arial"/>
          <w:sz w:val="17"/>
          <w:szCs w:val="17"/>
          <w:color w:val="333333"/>
        </w:rPr>
      </w:pPr>
    </w:p>
    <w:p>
      <w:pPr>
        <w:ind w:left="780" w:hanging="327"/>
        <w:spacing w:after="0"/>
        <w:tabs>
          <w:tab w:leader="none" w:pos="780" w:val="left"/>
        </w:tabs>
        <w:numPr>
          <w:ilvl w:val="0"/>
          <w:numId w:val="34"/>
        </w:numPr>
        <w:rPr>
          <w:rFonts w:ascii="Arial" w:cs="Arial" w:eastAsia="Arial" w:hAnsi="Arial"/>
          <w:sz w:val="18"/>
          <w:szCs w:val="18"/>
          <w:color w:val="333333"/>
        </w:rPr>
      </w:pPr>
      <w:r>
        <w:rPr>
          <w:rFonts w:ascii="Arial" w:cs="Arial" w:eastAsia="Arial" w:hAnsi="Arial"/>
          <w:sz w:val="18"/>
          <w:szCs w:val="18"/>
          <w:color w:val="333333"/>
        </w:rPr>
        <w:t>an inability to manage rapid change, increasing consumer expectations and growth;</w:t>
      </w:r>
    </w:p>
    <w:p>
      <w:pPr>
        <w:spacing w:after="0" w:line="225" w:lineRule="exact"/>
        <w:rPr>
          <w:rFonts w:ascii="Arial" w:cs="Arial" w:eastAsia="Arial" w:hAnsi="Arial"/>
          <w:sz w:val="18"/>
          <w:szCs w:val="18"/>
          <w:color w:val="333333"/>
        </w:rPr>
      </w:pPr>
    </w:p>
    <w:p>
      <w:pPr>
        <w:ind w:left="780" w:hanging="327"/>
        <w:spacing w:after="0"/>
        <w:tabs>
          <w:tab w:leader="none" w:pos="780" w:val="left"/>
        </w:tabs>
        <w:numPr>
          <w:ilvl w:val="0"/>
          <w:numId w:val="34"/>
        </w:numPr>
        <w:rPr>
          <w:rFonts w:ascii="Arial" w:cs="Arial" w:eastAsia="Arial" w:hAnsi="Arial"/>
          <w:sz w:val="18"/>
          <w:szCs w:val="18"/>
          <w:color w:val="333333"/>
        </w:rPr>
      </w:pPr>
      <w:r>
        <w:rPr>
          <w:rFonts w:ascii="Arial" w:cs="Arial" w:eastAsia="Arial" w:hAnsi="Arial"/>
          <w:sz w:val="18"/>
          <w:szCs w:val="18"/>
          <w:color w:val="333333"/>
        </w:rPr>
        <w:t>an inability to build strong brand identity and improve subscriber or customer satisfaction and loyalty;</w:t>
      </w:r>
    </w:p>
    <w:p>
      <w:pPr>
        <w:spacing w:after="0" w:line="225" w:lineRule="exact"/>
        <w:rPr>
          <w:rFonts w:ascii="Arial" w:cs="Arial" w:eastAsia="Arial" w:hAnsi="Arial"/>
          <w:sz w:val="18"/>
          <w:szCs w:val="18"/>
          <w:color w:val="333333"/>
        </w:rPr>
      </w:pPr>
    </w:p>
    <w:p>
      <w:pPr>
        <w:ind w:left="780" w:hanging="327"/>
        <w:spacing w:after="0" w:line="277" w:lineRule="auto"/>
        <w:tabs>
          <w:tab w:leader="none" w:pos="780" w:val="left"/>
        </w:tabs>
        <w:numPr>
          <w:ilvl w:val="0"/>
          <w:numId w:val="34"/>
        </w:numPr>
        <w:rPr>
          <w:rFonts w:ascii="Arial" w:cs="Arial" w:eastAsia="Arial" w:hAnsi="Arial"/>
          <w:sz w:val="18"/>
          <w:szCs w:val="18"/>
          <w:color w:val="333333"/>
        </w:rPr>
      </w:pPr>
      <w:r>
        <w:rPr>
          <w:rFonts w:ascii="Arial" w:cs="Arial" w:eastAsia="Arial" w:hAnsi="Arial"/>
          <w:sz w:val="18"/>
          <w:szCs w:val="18"/>
          <w:color w:val="333333"/>
        </w:rPr>
        <w:t>a reliance on proprietary technology to provide services and to manage our operations, and the failure of this technology to operate effectively, or our failure to use such technology effectively;</w:t>
      </w:r>
    </w:p>
    <w:p>
      <w:pPr>
        <w:spacing w:after="0" w:line="170" w:lineRule="exact"/>
        <w:rPr>
          <w:rFonts w:ascii="Arial" w:cs="Arial" w:eastAsia="Arial" w:hAnsi="Arial"/>
          <w:sz w:val="18"/>
          <w:szCs w:val="18"/>
          <w:color w:val="333333"/>
        </w:rPr>
      </w:pPr>
    </w:p>
    <w:p>
      <w:pPr>
        <w:ind w:left="780" w:hanging="327"/>
        <w:spacing w:after="0"/>
        <w:tabs>
          <w:tab w:leader="none" w:pos="780" w:val="left"/>
        </w:tabs>
        <w:numPr>
          <w:ilvl w:val="0"/>
          <w:numId w:val="34"/>
        </w:numPr>
        <w:rPr>
          <w:rFonts w:ascii="Arial" w:cs="Arial" w:eastAsia="Arial" w:hAnsi="Arial"/>
          <w:sz w:val="18"/>
          <w:szCs w:val="18"/>
          <w:color w:val="333333"/>
        </w:rPr>
      </w:pPr>
      <w:r>
        <w:rPr>
          <w:rFonts w:ascii="Arial" w:cs="Arial" w:eastAsia="Arial" w:hAnsi="Arial"/>
          <w:sz w:val="18"/>
          <w:szCs w:val="18"/>
          <w:color w:val="333333"/>
        </w:rPr>
        <w:t>an inability to deal with our subscribers’ or customers’ privacy concerns;</w:t>
      </w:r>
    </w:p>
    <w:p>
      <w:pPr>
        <w:spacing w:after="0" w:line="225" w:lineRule="exact"/>
        <w:rPr>
          <w:rFonts w:ascii="Arial" w:cs="Arial" w:eastAsia="Arial" w:hAnsi="Arial"/>
          <w:sz w:val="18"/>
          <w:szCs w:val="18"/>
          <w:color w:val="333333"/>
        </w:rPr>
      </w:pPr>
    </w:p>
    <w:p>
      <w:pPr>
        <w:ind w:left="780" w:hanging="327"/>
        <w:spacing w:after="0"/>
        <w:tabs>
          <w:tab w:leader="none" w:pos="780" w:val="left"/>
        </w:tabs>
        <w:numPr>
          <w:ilvl w:val="0"/>
          <w:numId w:val="34"/>
        </w:numPr>
        <w:rPr>
          <w:rFonts w:ascii="Arial" w:cs="Arial" w:eastAsia="Arial" w:hAnsi="Arial"/>
          <w:sz w:val="18"/>
          <w:szCs w:val="18"/>
          <w:color w:val="333333"/>
        </w:rPr>
      </w:pPr>
      <w:r>
        <w:rPr>
          <w:rFonts w:ascii="Arial" w:cs="Arial" w:eastAsia="Arial" w:hAnsi="Arial"/>
          <w:sz w:val="18"/>
          <w:szCs w:val="18"/>
          <w:color w:val="333333"/>
        </w:rPr>
        <w:t>an inability to attract and retain subscribers or customers;</w:t>
      </w:r>
    </w:p>
    <w:p>
      <w:pPr>
        <w:spacing w:after="0" w:line="225" w:lineRule="exact"/>
        <w:rPr>
          <w:rFonts w:ascii="Arial" w:cs="Arial" w:eastAsia="Arial" w:hAnsi="Arial"/>
          <w:sz w:val="18"/>
          <w:szCs w:val="18"/>
          <w:color w:val="333333"/>
        </w:rPr>
      </w:pPr>
    </w:p>
    <w:p>
      <w:pPr>
        <w:ind w:left="780" w:hanging="327"/>
        <w:spacing w:after="0"/>
        <w:tabs>
          <w:tab w:leader="none" w:pos="780" w:val="left"/>
        </w:tabs>
        <w:numPr>
          <w:ilvl w:val="0"/>
          <w:numId w:val="34"/>
        </w:numPr>
        <w:rPr>
          <w:rFonts w:ascii="Arial" w:cs="Arial" w:eastAsia="Arial" w:hAnsi="Arial"/>
          <w:sz w:val="18"/>
          <w:szCs w:val="18"/>
          <w:color w:val="333333"/>
        </w:rPr>
      </w:pPr>
      <w:r>
        <w:rPr>
          <w:rFonts w:ascii="Arial" w:cs="Arial" w:eastAsia="Arial" w:hAnsi="Arial"/>
          <w:sz w:val="18"/>
          <w:szCs w:val="18"/>
          <w:color w:val="333333"/>
        </w:rPr>
        <w:t>an inability to license or enforce intellectual property rights on which our business may depend;</w:t>
      </w:r>
    </w:p>
    <w:p>
      <w:pPr>
        <w:spacing w:after="0" w:line="225" w:lineRule="exact"/>
        <w:rPr>
          <w:rFonts w:ascii="Arial" w:cs="Arial" w:eastAsia="Arial" w:hAnsi="Arial"/>
          <w:sz w:val="18"/>
          <w:szCs w:val="18"/>
          <w:color w:val="333333"/>
        </w:rPr>
      </w:pPr>
    </w:p>
    <w:p>
      <w:pPr>
        <w:ind w:left="780" w:hanging="327"/>
        <w:spacing w:after="0"/>
        <w:tabs>
          <w:tab w:leader="none" w:pos="780" w:val="left"/>
        </w:tabs>
        <w:numPr>
          <w:ilvl w:val="0"/>
          <w:numId w:val="34"/>
        </w:numPr>
        <w:rPr>
          <w:rFonts w:ascii="Arial" w:cs="Arial" w:eastAsia="Arial" w:hAnsi="Arial"/>
          <w:sz w:val="18"/>
          <w:szCs w:val="18"/>
          <w:color w:val="333333"/>
        </w:rPr>
      </w:pPr>
      <w:r>
        <w:rPr>
          <w:rFonts w:ascii="Arial" w:cs="Arial" w:eastAsia="Arial" w:hAnsi="Arial"/>
          <w:sz w:val="18"/>
          <w:szCs w:val="18"/>
          <w:color w:val="333333"/>
        </w:rPr>
        <w:t>any significant disruption in our computer systems or those of third parties that we would utilize in our operations;</w:t>
      </w:r>
    </w:p>
    <w:p>
      <w:pPr>
        <w:spacing w:after="0" w:line="225" w:lineRule="exact"/>
        <w:rPr>
          <w:rFonts w:ascii="Arial" w:cs="Arial" w:eastAsia="Arial" w:hAnsi="Arial"/>
          <w:sz w:val="18"/>
          <w:szCs w:val="18"/>
          <w:color w:val="333333"/>
        </w:rPr>
      </w:pPr>
    </w:p>
    <w:p>
      <w:pPr>
        <w:ind w:left="780" w:hanging="327"/>
        <w:spacing w:after="0"/>
        <w:tabs>
          <w:tab w:leader="none" w:pos="780" w:val="left"/>
        </w:tabs>
        <w:numPr>
          <w:ilvl w:val="0"/>
          <w:numId w:val="34"/>
        </w:numPr>
        <w:rPr>
          <w:rFonts w:ascii="Arial" w:cs="Arial" w:eastAsia="Arial" w:hAnsi="Arial"/>
          <w:sz w:val="18"/>
          <w:szCs w:val="18"/>
          <w:color w:val="333333"/>
        </w:rPr>
      </w:pPr>
      <w:r>
        <w:rPr>
          <w:rFonts w:ascii="Arial" w:cs="Arial" w:eastAsia="Arial" w:hAnsi="Arial"/>
          <w:sz w:val="18"/>
          <w:szCs w:val="18"/>
          <w:color w:val="333333"/>
        </w:rPr>
        <w:t>an inability by us, or a refusal by third parties, to license content to us upon acceptable terms;</w:t>
      </w:r>
    </w:p>
    <w:p>
      <w:pPr>
        <w:spacing w:after="0" w:line="225" w:lineRule="exact"/>
        <w:rPr>
          <w:rFonts w:ascii="Arial" w:cs="Arial" w:eastAsia="Arial" w:hAnsi="Arial"/>
          <w:sz w:val="18"/>
          <w:szCs w:val="18"/>
          <w:color w:val="333333"/>
        </w:rPr>
      </w:pPr>
    </w:p>
    <w:p>
      <w:pPr>
        <w:ind w:left="780" w:right="160" w:hanging="327"/>
        <w:spacing w:after="0" w:line="277" w:lineRule="auto"/>
        <w:tabs>
          <w:tab w:leader="none" w:pos="780" w:val="left"/>
        </w:tabs>
        <w:numPr>
          <w:ilvl w:val="0"/>
          <w:numId w:val="34"/>
        </w:numPr>
        <w:rPr>
          <w:rFonts w:ascii="Arial" w:cs="Arial" w:eastAsia="Arial" w:hAnsi="Arial"/>
          <w:sz w:val="18"/>
          <w:szCs w:val="18"/>
          <w:color w:val="333333"/>
        </w:rPr>
      </w:pPr>
      <w:r>
        <w:rPr>
          <w:rFonts w:ascii="Arial" w:cs="Arial" w:eastAsia="Arial" w:hAnsi="Arial"/>
          <w:sz w:val="18"/>
          <w:szCs w:val="18"/>
          <w:color w:val="333333"/>
        </w:rPr>
        <w:t>potential liability for negligence, copyright or trademark infringement or other claims based on the nature and content of materials that we may distribute;</w:t>
      </w:r>
    </w:p>
    <w:p>
      <w:pPr>
        <w:spacing w:after="0" w:line="170" w:lineRule="exact"/>
        <w:rPr>
          <w:rFonts w:ascii="Arial" w:cs="Arial" w:eastAsia="Arial" w:hAnsi="Arial"/>
          <w:sz w:val="18"/>
          <w:szCs w:val="18"/>
          <w:color w:val="333333"/>
        </w:rPr>
      </w:pPr>
    </w:p>
    <w:p>
      <w:pPr>
        <w:ind w:left="780" w:hanging="327"/>
        <w:spacing w:after="0"/>
        <w:tabs>
          <w:tab w:leader="none" w:pos="780" w:val="left"/>
        </w:tabs>
        <w:numPr>
          <w:ilvl w:val="0"/>
          <w:numId w:val="34"/>
        </w:numPr>
        <w:rPr>
          <w:rFonts w:ascii="Arial" w:cs="Arial" w:eastAsia="Arial" w:hAnsi="Arial"/>
          <w:sz w:val="18"/>
          <w:szCs w:val="18"/>
          <w:color w:val="333333"/>
        </w:rPr>
      </w:pPr>
      <w:r>
        <w:rPr>
          <w:rFonts w:ascii="Arial" w:cs="Arial" w:eastAsia="Arial" w:hAnsi="Arial"/>
          <w:sz w:val="18"/>
          <w:szCs w:val="18"/>
          <w:color w:val="333333"/>
        </w:rPr>
        <w:t>competition for advertising revenue;</w:t>
      </w:r>
    </w:p>
    <w:p>
      <w:pPr>
        <w:spacing w:after="0" w:line="225" w:lineRule="exact"/>
        <w:rPr>
          <w:rFonts w:ascii="Arial" w:cs="Arial" w:eastAsia="Arial" w:hAnsi="Arial"/>
          <w:sz w:val="18"/>
          <w:szCs w:val="18"/>
          <w:color w:val="333333"/>
        </w:rPr>
      </w:pPr>
    </w:p>
    <w:p>
      <w:pPr>
        <w:ind w:left="780" w:right="300" w:hanging="327"/>
        <w:spacing w:after="0" w:line="277" w:lineRule="auto"/>
        <w:tabs>
          <w:tab w:leader="none" w:pos="780" w:val="left"/>
        </w:tabs>
        <w:numPr>
          <w:ilvl w:val="0"/>
          <w:numId w:val="34"/>
        </w:numPr>
        <w:rPr>
          <w:rFonts w:ascii="Arial" w:cs="Arial" w:eastAsia="Arial" w:hAnsi="Arial"/>
          <w:sz w:val="18"/>
          <w:szCs w:val="18"/>
          <w:color w:val="333333"/>
        </w:rPr>
      </w:pPr>
      <w:r>
        <w:rPr>
          <w:rFonts w:ascii="Arial" w:cs="Arial" w:eastAsia="Arial" w:hAnsi="Arial"/>
          <w:sz w:val="18"/>
          <w:szCs w:val="18"/>
          <w:color w:val="333333"/>
        </w:rPr>
        <w:t>competition for the leisure and entertainment time and discretionary spending of subscribers or customers, which may intensify in part due to advances in technology and changes in consumer expectations and behavior;</w:t>
      </w:r>
    </w:p>
    <w:p>
      <w:pPr>
        <w:spacing w:after="0" w:line="170" w:lineRule="exact"/>
        <w:rPr>
          <w:rFonts w:ascii="Arial" w:cs="Arial" w:eastAsia="Arial" w:hAnsi="Arial"/>
          <w:sz w:val="18"/>
          <w:szCs w:val="18"/>
          <w:color w:val="333333"/>
        </w:rPr>
      </w:pPr>
    </w:p>
    <w:p>
      <w:pPr>
        <w:ind w:left="780" w:right="220" w:hanging="327"/>
        <w:spacing w:after="0" w:line="308" w:lineRule="auto"/>
        <w:tabs>
          <w:tab w:leader="none" w:pos="780" w:val="left"/>
        </w:tabs>
        <w:numPr>
          <w:ilvl w:val="0"/>
          <w:numId w:val="34"/>
        </w:numPr>
        <w:rPr>
          <w:rFonts w:ascii="Arial" w:cs="Arial" w:eastAsia="Arial" w:hAnsi="Arial"/>
          <w:sz w:val="17"/>
          <w:szCs w:val="17"/>
          <w:color w:val="333333"/>
        </w:rPr>
      </w:pPr>
      <w:r>
        <w:rPr>
          <w:rFonts w:ascii="Arial" w:cs="Arial" w:eastAsia="Arial" w:hAnsi="Arial"/>
          <w:sz w:val="17"/>
          <w:szCs w:val="17"/>
          <w:color w:val="333333"/>
        </w:rPr>
        <w:t>disruption or failure of our networks, systems or technology as a result of computer viruses, “cyber-attacks,” misappropriation of data or other malfeasance, as well as outages, natural disasters, terrorist attacks, accidental releases of information or similar events;</w:t>
      </w:r>
    </w:p>
    <w:p>
      <w:pPr>
        <w:spacing w:after="0" w:line="146" w:lineRule="exact"/>
        <w:rPr>
          <w:rFonts w:ascii="Arial" w:cs="Arial" w:eastAsia="Arial" w:hAnsi="Arial"/>
          <w:sz w:val="17"/>
          <w:szCs w:val="17"/>
          <w:color w:val="333333"/>
        </w:rPr>
      </w:pPr>
    </w:p>
    <w:p>
      <w:pPr>
        <w:ind w:left="780" w:hanging="327"/>
        <w:spacing w:after="0"/>
        <w:tabs>
          <w:tab w:leader="none" w:pos="780" w:val="left"/>
        </w:tabs>
        <w:numPr>
          <w:ilvl w:val="0"/>
          <w:numId w:val="34"/>
        </w:numPr>
        <w:rPr>
          <w:rFonts w:ascii="Arial" w:cs="Arial" w:eastAsia="Arial" w:hAnsi="Arial"/>
          <w:sz w:val="18"/>
          <w:szCs w:val="18"/>
          <w:color w:val="333333"/>
        </w:rPr>
      </w:pPr>
      <w:r>
        <w:rPr>
          <w:rFonts w:ascii="Arial" w:cs="Arial" w:eastAsia="Arial" w:hAnsi="Arial"/>
          <w:sz w:val="18"/>
          <w:szCs w:val="18"/>
          <w:color w:val="333333"/>
        </w:rPr>
        <w:t>an inability to obtain necessary hardware, software and operational support; and</w:t>
      </w:r>
    </w:p>
    <w:p>
      <w:pPr>
        <w:spacing w:after="0" w:line="225" w:lineRule="exact"/>
        <w:rPr>
          <w:rFonts w:ascii="Arial" w:cs="Arial" w:eastAsia="Arial" w:hAnsi="Arial"/>
          <w:sz w:val="18"/>
          <w:szCs w:val="18"/>
          <w:color w:val="333333"/>
        </w:rPr>
      </w:pPr>
    </w:p>
    <w:p>
      <w:pPr>
        <w:ind w:left="780" w:hanging="327"/>
        <w:spacing w:after="0"/>
        <w:tabs>
          <w:tab w:leader="none" w:pos="780" w:val="left"/>
        </w:tabs>
        <w:numPr>
          <w:ilvl w:val="0"/>
          <w:numId w:val="34"/>
        </w:numPr>
        <w:rPr>
          <w:rFonts w:ascii="Arial" w:cs="Arial" w:eastAsia="Arial" w:hAnsi="Arial"/>
          <w:sz w:val="18"/>
          <w:szCs w:val="18"/>
          <w:color w:val="333333"/>
        </w:rPr>
      </w:pPr>
      <w:r>
        <w:rPr>
          <w:rFonts w:ascii="Arial" w:cs="Arial" w:eastAsia="Arial" w:hAnsi="Arial"/>
          <w:sz w:val="18"/>
          <w:szCs w:val="18"/>
          <w:color w:val="333333"/>
        </w:rPr>
        <w:t>reliance on third-party vendors or service providers.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Any of the foregoing could have an adverse impact on our business, financial condition and results of operations following a business combination.</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both"/>
        <w:ind w:right="180"/>
        <w:spacing w:after="0" w:line="261" w:lineRule="auto"/>
        <w:rPr>
          <w:sz w:val="20"/>
          <w:szCs w:val="20"/>
          <w:color w:val="auto"/>
        </w:rPr>
      </w:pPr>
      <w:r>
        <w:rPr>
          <w:rFonts w:ascii="Arial" w:cs="Arial" w:eastAsia="Arial" w:hAnsi="Arial"/>
          <w:sz w:val="18"/>
          <w:szCs w:val="18"/>
          <w:b w:val="1"/>
          <w:bCs w:val="1"/>
          <w:color w:val="auto"/>
        </w:rPr>
        <w:t>We are an emerging growth company and a smaller reporting company within the meaning of the rules adopted by the Securities and Exchange Commission, and if we take advantage of certain exemptions from disclosure requirements available to emerging growth companies and smaller reporting companies, this could make our securities less attractive to investors and may make it more difficult to compare our performance with other public companies.</w:t>
      </w:r>
    </w:p>
    <w:p>
      <w:pPr>
        <w:spacing w:after="0" w:line="18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are an “emerging growth company” within the meaning of the rules adopted by the Securities and Exchange Commission, as modified by the JOBS Act, and we may take advantage of certain exemptions from various reporting requirements that are applicable to other public companies that are not emerging growth companies including, but not limited to, not being required to comply with the auditor internal controls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although circumstances could cause us to lose that status earlier, including if the market value of our Class A common stock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79"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6" w:lineRule="exact"/>
        <w:rPr>
          <w:sz w:val="20"/>
          <w:szCs w:val="20"/>
          <w:color w:val="auto"/>
        </w:rPr>
      </w:pPr>
    </w:p>
    <w:p>
      <w:pPr>
        <w:ind w:right="20" w:firstLine="324"/>
        <w:spacing w:after="0" w:line="259" w:lineRule="auto"/>
        <w:rPr>
          <w:sz w:val="20"/>
          <w:szCs w:val="20"/>
          <w:color w:val="auto"/>
        </w:rPr>
      </w:pPr>
      <w:r>
        <w:rPr>
          <w:rFonts w:ascii="Arial" w:cs="Arial" w:eastAsia="Arial" w:hAnsi="Arial"/>
          <w:sz w:val="16"/>
          <w:szCs w:val="16"/>
          <w:color w:val="auto"/>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equals or exceeds $250 million as of the end of the prior June 30</w:t>
      </w:r>
      <w:r>
        <w:rPr>
          <w:rFonts w:ascii="Arial" w:cs="Arial" w:eastAsia="Arial" w:hAnsi="Arial"/>
          <w:sz w:val="26"/>
          <w:szCs w:val="26"/>
          <w:color w:val="auto"/>
          <w:vertAlign w:val="superscript"/>
        </w:rPr>
        <w:t>th</w:t>
      </w:r>
      <w:r>
        <w:rPr>
          <w:rFonts w:ascii="Arial" w:cs="Arial" w:eastAsia="Arial" w:hAnsi="Arial"/>
          <w:sz w:val="16"/>
          <w:szCs w:val="16"/>
          <w:color w:val="auto"/>
        </w:rPr>
        <w:t>, or (2) our annual revenues equaled or exceeded $100 million during such completed fiscal year and the market</w:t>
      </w:r>
    </w:p>
    <w:p>
      <w:pPr>
        <w:spacing w:after="0" w:line="2" w:lineRule="exact"/>
        <w:rPr>
          <w:sz w:val="20"/>
          <w:szCs w:val="20"/>
          <w:color w:val="auto"/>
        </w:rPr>
      </w:pPr>
    </w:p>
    <w:p>
      <w:pPr>
        <w:ind w:right="740"/>
        <w:spacing w:after="0" w:line="218" w:lineRule="auto"/>
        <w:rPr>
          <w:sz w:val="20"/>
          <w:szCs w:val="20"/>
          <w:color w:val="auto"/>
        </w:rPr>
      </w:pPr>
      <w:r>
        <w:rPr>
          <w:rFonts w:ascii="Arial" w:cs="Arial" w:eastAsia="Arial" w:hAnsi="Arial"/>
          <w:sz w:val="17"/>
          <w:szCs w:val="17"/>
          <w:color w:val="auto"/>
        </w:rPr>
        <w:t>value of our common stock held by non-affiliates exceeds $700 million as of the prior June 30</w:t>
      </w:r>
      <w:r>
        <w:rPr>
          <w:rFonts w:ascii="Arial" w:cs="Arial" w:eastAsia="Arial" w:hAnsi="Arial"/>
          <w:sz w:val="28"/>
          <w:szCs w:val="28"/>
          <w:color w:val="auto"/>
          <w:vertAlign w:val="superscript"/>
        </w:rPr>
        <w:t>th</w:t>
      </w:r>
      <w:r>
        <w:rPr>
          <w:rFonts w:ascii="Arial" w:cs="Arial" w:eastAsia="Arial" w:hAnsi="Arial"/>
          <w:sz w:val="17"/>
          <w:szCs w:val="17"/>
          <w:color w:val="auto"/>
        </w:rPr>
        <w:t>. To the extent we take advantage of such reduced disclosure obligations, it may also make comparison of our financial statements with other public companies difficult or impossible.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Certain statements in this 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w:t>
      </w:r>
    </w:p>
    <w:p>
      <w:pPr>
        <w:spacing w:after="0" w:line="195" w:lineRule="exact"/>
        <w:rPr>
          <w:sz w:val="20"/>
          <w:szCs w:val="20"/>
          <w:color w:val="auto"/>
        </w:rPr>
      </w:pPr>
    </w:p>
    <w:p>
      <w:pPr>
        <w:ind w:left="780" w:hanging="327"/>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select an appropriate target business or businesses in our target industry or otherwise;</w:t>
      </w:r>
    </w:p>
    <w:p>
      <w:pPr>
        <w:spacing w:after="0" w:line="225" w:lineRule="exact"/>
        <w:rPr>
          <w:rFonts w:ascii="Arial" w:cs="Arial" w:eastAsia="Arial" w:hAnsi="Arial"/>
          <w:sz w:val="18"/>
          <w:szCs w:val="18"/>
          <w:color w:val="auto"/>
        </w:rPr>
      </w:pPr>
    </w:p>
    <w:p>
      <w:pPr>
        <w:ind w:left="780" w:hanging="327"/>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 in our target industry or otherwise;</w:t>
      </w:r>
    </w:p>
    <w:p>
      <w:pPr>
        <w:spacing w:after="0" w:line="225" w:lineRule="exact"/>
        <w:rPr>
          <w:rFonts w:ascii="Arial" w:cs="Arial" w:eastAsia="Arial" w:hAnsi="Arial"/>
          <w:sz w:val="18"/>
          <w:szCs w:val="18"/>
          <w:color w:val="auto"/>
        </w:rPr>
      </w:pPr>
    </w:p>
    <w:p>
      <w:pPr>
        <w:ind w:left="780" w:hanging="327"/>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expectations around the performance of the prospective target business or businesses in the technology industry;</w:t>
      </w:r>
    </w:p>
    <w:p>
      <w:pPr>
        <w:spacing w:after="0" w:line="225" w:lineRule="exact"/>
        <w:rPr>
          <w:rFonts w:ascii="Arial" w:cs="Arial" w:eastAsia="Arial" w:hAnsi="Arial"/>
          <w:sz w:val="18"/>
          <w:szCs w:val="18"/>
          <w:color w:val="auto"/>
        </w:rPr>
      </w:pPr>
    </w:p>
    <w:p>
      <w:pPr>
        <w:ind w:left="780" w:hanging="327"/>
        <w:spacing w:after="0"/>
        <w:tabs>
          <w:tab w:leader="none" w:pos="7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success in retaining or recruiting, or changes required in, our officers, key employees or directors following our initial business combination;</w:t>
      </w:r>
    </w:p>
    <w:p>
      <w:pPr>
        <w:spacing w:after="0" w:line="248" w:lineRule="exact"/>
        <w:rPr>
          <w:rFonts w:ascii="Arial" w:cs="Arial" w:eastAsia="Arial" w:hAnsi="Arial"/>
          <w:sz w:val="16"/>
          <w:szCs w:val="16"/>
          <w:color w:val="auto"/>
        </w:rPr>
      </w:pPr>
    </w:p>
    <w:p>
      <w:pPr>
        <w:ind w:left="780" w:right="160" w:hanging="327"/>
        <w:spacing w:after="0" w:line="277"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170" w:lineRule="exact"/>
        <w:rPr>
          <w:rFonts w:ascii="Arial" w:cs="Arial" w:eastAsia="Arial" w:hAnsi="Arial"/>
          <w:sz w:val="18"/>
          <w:szCs w:val="18"/>
          <w:color w:val="auto"/>
        </w:rPr>
      </w:pPr>
    </w:p>
    <w:p>
      <w:pPr>
        <w:ind w:left="780" w:hanging="327"/>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225" w:lineRule="exact"/>
        <w:rPr>
          <w:rFonts w:ascii="Arial" w:cs="Arial" w:eastAsia="Arial" w:hAnsi="Arial"/>
          <w:sz w:val="18"/>
          <w:szCs w:val="18"/>
          <w:color w:val="auto"/>
        </w:rPr>
      </w:pPr>
    </w:p>
    <w:p>
      <w:pPr>
        <w:ind w:left="780" w:hanging="327"/>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pool of prospective target businesses in the technology, software and other industries that we focus on;</w:t>
      </w:r>
    </w:p>
    <w:p>
      <w:pPr>
        <w:spacing w:after="0" w:line="225" w:lineRule="exact"/>
        <w:rPr>
          <w:rFonts w:ascii="Arial" w:cs="Arial" w:eastAsia="Arial" w:hAnsi="Arial"/>
          <w:sz w:val="18"/>
          <w:szCs w:val="18"/>
          <w:color w:val="auto"/>
        </w:rPr>
      </w:pPr>
    </w:p>
    <w:p>
      <w:pPr>
        <w:ind w:left="780" w:hanging="327"/>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consummate an initial business combination due to the uncertainty resulting from the recent COVID-19 pandemic;</w:t>
      </w:r>
    </w:p>
    <w:p>
      <w:pPr>
        <w:spacing w:after="0" w:line="225" w:lineRule="exact"/>
        <w:rPr>
          <w:rFonts w:ascii="Arial" w:cs="Arial" w:eastAsia="Arial" w:hAnsi="Arial"/>
          <w:sz w:val="18"/>
          <w:szCs w:val="18"/>
          <w:color w:val="auto"/>
        </w:rPr>
      </w:pPr>
    </w:p>
    <w:p>
      <w:pPr>
        <w:ind w:left="780" w:hanging="327"/>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business combination opportunities;</w:t>
      </w:r>
    </w:p>
    <w:p>
      <w:pPr>
        <w:spacing w:after="0" w:line="225" w:lineRule="exact"/>
        <w:rPr>
          <w:rFonts w:ascii="Arial" w:cs="Arial" w:eastAsia="Arial" w:hAnsi="Arial"/>
          <w:sz w:val="18"/>
          <w:szCs w:val="18"/>
          <w:color w:val="auto"/>
        </w:rPr>
      </w:pPr>
    </w:p>
    <w:p>
      <w:pPr>
        <w:ind w:left="780" w:hanging="327"/>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225" w:lineRule="exact"/>
        <w:rPr>
          <w:rFonts w:ascii="Arial" w:cs="Arial" w:eastAsia="Arial" w:hAnsi="Arial"/>
          <w:sz w:val="18"/>
          <w:szCs w:val="18"/>
          <w:color w:val="auto"/>
        </w:rPr>
      </w:pPr>
    </w:p>
    <w:p>
      <w:pPr>
        <w:ind w:left="780" w:hanging="327"/>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225" w:lineRule="exact"/>
        <w:rPr>
          <w:rFonts w:ascii="Arial" w:cs="Arial" w:eastAsia="Arial" w:hAnsi="Arial"/>
          <w:sz w:val="18"/>
          <w:szCs w:val="18"/>
          <w:color w:val="auto"/>
        </w:rPr>
      </w:pPr>
    </w:p>
    <w:p>
      <w:pPr>
        <w:ind w:left="780" w:hanging="327"/>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w:t>
      </w:r>
    </w:p>
    <w:p>
      <w:pPr>
        <w:spacing w:after="0" w:line="225" w:lineRule="exact"/>
        <w:rPr>
          <w:rFonts w:ascii="Arial" w:cs="Arial" w:eastAsia="Arial" w:hAnsi="Arial"/>
          <w:sz w:val="18"/>
          <w:szCs w:val="18"/>
          <w:color w:val="auto"/>
        </w:rPr>
      </w:pPr>
    </w:p>
    <w:p>
      <w:pPr>
        <w:ind w:left="780" w:hanging="327"/>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trust account not being subject to claims of third parties; or</w:t>
      </w:r>
    </w:p>
    <w:p>
      <w:pPr>
        <w:spacing w:after="0" w:line="225" w:lineRule="exact"/>
        <w:rPr>
          <w:rFonts w:ascii="Arial" w:cs="Arial" w:eastAsia="Arial" w:hAnsi="Arial"/>
          <w:sz w:val="18"/>
          <w:szCs w:val="18"/>
          <w:color w:val="auto"/>
        </w:rPr>
      </w:pPr>
    </w:p>
    <w:p>
      <w:pPr>
        <w:ind w:left="780" w:hanging="327"/>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financial performance following this offering.</w:t>
      </w:r>
    </w:p>
    <w:p>
      <w:pPr>
        <w:spacing w:after="0" w:line="22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section of this prospectus entitled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are offering 25,000,000 units at an offering price of $10.00 per unit. We estimate that the net proceeds of this offering together with the funds we will receive from the sale of the placement units will be used as set forth in the following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Without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Over-</w:t>
            </w:r>
          </w:p>
        </w:tc>
      </w:tr>
      <w:tr>
        <w:trPr>
          <w:trHeight w:val="216"/>
        </w:trPr>
        <w:tc>
          <w:tcPr>
            <w:tcW w:w="8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Over-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Allotment</w:t>
            </w:r>
          </w:p>
        </w:tc>
      </w:tr>
      <w:tr>
        <w:trPr>
          <w:trHeight w:val="216"/>
        </w:trPr>
        <w:tc>
          <w:tcPr>
            <w:tcW w:w="8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w w:val="93"/>
              </w:rPr>
              <w:t>Allotment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3"/>
              </w:rPr>
              <w:t>Option Fully</w:t>
            </w:r>
          </w:p>
        </w:tc>
      </w:tr>
      <w:tr>
        <w:trPr>
          <w:trHeight w:val="234"/>
        </w:trPr>
        <w:tc>
          <w:tcPr>
            <w:tcW w:w="8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Option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6"/>
              </w:rPr>
              <w:t>Exercised</w:t>
            </w:r>
          </w:p>
        </w:tc>
      </w:tr>
      <w:tr>
        <w:trPr>
          <w:trHeight w:val="209"/>
        </w:trPr>
        <w:tc>
          <w:tcPr>
            <w:tcW w:w="8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Gross proceeds</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57"/>
        </w:trPr>
        <w:tc>
          <w:tcPr>
            <w:tcW w:w="8360" w:type="dxa"/>
            <w:vAlign w:val="bottom"/>
          </w:tcPr>
          <w:p>
            <w:pPr>
              <w:spacing w:after="0" w:line="256" w:lineRule="exact"/>
              <w:rPr>
                <w:sz w:val="20"/>
                <w:szCs w:val="20"/>
                <w:color w:val="auto"/>
              </w:rPr>
            </w:pPr>
            <w:r>
              <w:rPr>
                <w:rFonts w:ascii="Arial" w:cs="Arial" w:eastAsia="Arial" w:hAnsi="Arial"/>
                <w:sz w:val="18"/>
                <w:szCs w:val="18"/>
                <w:color w:val="auto"/>
              </w:rPr>
              <w:t xml:space="preserve">Gross proceeds from units offered to public </w:t>
            </w:r>
            <w:r>
              <w:rPr>
                <w:rFonts w:ascii="Arial" w:cs="Arial" w:eastAsia="Arial" w:hAnsi="Arial"/>
                <w:sz w:val="29"/>
                <w:szCs w:val="29"/>
                <w:color w:val="auto"/>
                <w:vertAlign w:val="superscript"/>
              </w:rPr>
              <w:t>(1)</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250,000,000</w:t>
            </w:r>
          </w:p>
        </w:tc>
        <w:tc>
          <w:tcPr>
            <w:tcW w:w="14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287,500,000</w:t>
            </w:r>
          </w:p>
        </w:tc>
        <w:tc>
          <w:tcPr>
            <w:tcW w:w="140" w:type="dxa"/>
            <w:vAlign w:val="bottom"/>
          </w:tcPr>
          <w:p>
            <w:pPr>
              <w:spacing w:after="0"/>
              <w:rPr>
                <w:sz w:val="22"/>
                <w:szCs w:val="22"/>
                <w:color w:val="auto"/>
              </w:rPr>
            </w:pPr>
          </w:p>
        </w:tc>
      </w:tr>
      <w:tr>
        <w:trPr>
          <w:trHeight w:val="229"/>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Gross proceeds from placement units offered in the private placement to the sponsor</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8,045,000</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8,982,500</w:t>
            </w:r>
          </w:p>
        </w:tc>
        <w:tc>
          <w:tcPr>
            <w:tcW w:w="140" w:type="dxa"/>
            <w:vAlign w:val="bottom"/>
            <w:shd w:val="clear" w:color="auto" w:fill="CCEEFF"/>
          </w:tcPr>
          <w:p>
            <w:pPr>
              <w:spacing w:after="0"/>
              <w:rPr>
                <w:sz w:val="19"/>
                <w:szCs w:val="19"/>
                <w:color w:val="auto"/>
              </w:rPr>
            </w:pPr>
          </w:p>
        </w:tc>
      </w:tr>
      <w:tr>
        <w:trPr>
          <w:trHeight w:val="263"/>
        </w:trPr>
        <w:tc>
          <w:tcPr>
            <w:tcW w:w="8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gross proceeds</w:t>
            </w: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258,045,000</w:t>
            </w:r>
          </w:p>
        </w:tc>
        <w:tc>
          <w:tcPr>
            <w:tcW w:w="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296,482,500</w:t>
            </w: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r>
      <w:tr>
        <w:trPr>
          <w:trHeight w:val="210"/>
        </w:trPr>
        <w:tc>
          <w:tcPr>
            <w:tcW w:w="8360" w:type="dxa"/>
            <w:vAlign w:val="bottom"/>
            <w:shd w:val="clear" w:color="auto" w:fill="CCEEFF"/>
          </w:tcPr>
          <w:p>
            <w:pPr>
              <w:spacing w:after="0" w:line="210" w:lineRule="exact"/>
              <w:rPr>
                <w:sz w:val="20"/>
                <w:szCs w:val="20"/>
                <w:color w:val="auto"/>
              </w:rPr>
            </w:pPr>
            <w:r>
              <w:rPr>
                <w:rFonts w:ascii="Arial" w:cs="Arial" w:eastAsia="Arial" w:hAnsi="Arial"/>
                <w:sz w:val="15"/>
                <w:szCs w:val="15"/>
                <w:b w:val="1"/>
                <w:bCs w:val="1"/>
                <w:i w:val="1"/>
                <w:iCs w:val="1"/>
                <w:color w:val="auto"/>
              </w:rPr>
              <w:t xml:space="preserve">Estimated Offering expenses </w:t>
            </w:r>
            <w:r>
              <w:rPr>
                <w:rFonts w:ascii="Arial" w:cs="Arial" w:eastAsia="Arial" w:hAnsi="Arial"/>
                <w:sz w:val="24"/>
                <w:szCs w:val="24"/>
                <w:b w:val="1"/>
                <w:bCs w:val="1"/>
                <w:i w:val="1"/>
                <w:iCs w:val="1"/>
                <w:color w:val="auto"/>
                <w:vertAlign w:val="superscript"/>
              </w:rPr>
              <w:t>(2)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70"/>
        </w:trPr>
        <w:tc>
          <w:tcPr>
            <w:tcW w:w="8360" w:type="dxa"/>
            <w:vAlign w:val="bottom"/>
          </w:tcPr>
          <w:p>
            <w:pPr>
              <w:spacing w:after="0" w:line="270" w:lineRule="exact"/>
              <w:rPr>
                <w:sz w:val="20"/>
                <w:szCs w:val="20"/>
                <w:color w:val="auto"/>
              </w:rPr>
            </w:pPr>
            <w:r>
              <w:rPr>
                <w:rFonts w:ascii="Arial" w:cs="Arial" w:eastAsia="Arial" w:hAnsi="Arial"/>
                <w:sz w:val="18"/>
                <w:szCs w:val="18"/>
                <w:color w:val="auto"/>
                <w:w w:val="96"/>
              </w:rPr>
              <w:t xml:space="preserve">Underwriting commissions (1% of gross proceeds from units offered to public, excluding deferred portion) </w:t>
            </w:r>
            <w:r>
              <w:rPr>
                <w:rFonts w:ascii="Arial" w:cs="Arial" w:eastAsia="Arial" w:hAnsi="Arial"/>
                <w:sz w:val="29"/>
                <w:szCs w:val="29"/>
                <w:color w:val="auto"/>
                <w:w w:val="96"/>
                <w:vertAlign w:val="superscript"/>
              </w:rPr>
              <w:t>(3)</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2,500,000</w:t>
            </w:r>
          </w:p>
        </w:tc>
        <w:tc>
          <w:tcPr>
            <w:tcW w:w="14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2,875,000</w:t>
            </w:r>
          </w:p>
        </w:tc>
        <w:tc>
          <w:tcPr>
            <w:tcW w:w="140" w:type="dxa"/>
            <w:vAlign w:val="bottom"/>
          </w:tcPr>
          <w:p>
            <w:pPr>
              <w:spacing w:after="0"/>
              <w:rPr>
                <w:sz w:val="23"/>
                <w:szCs w:val="23"/>
                <w:color w:val="auto"/>
              </w:rPr>
            </w:pPr>
          </w:p>
        </w:tc>
      </w:tr>
      <w:tr>
        <w:trPr>
          <w:trHeight w:val="209"/>
        </w:trPr>
        <w:tc>
          <w:tcPr>
            <w:tcW w:w="8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40,000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40,000</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SEC/FINRA Expenses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40,000</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Reimbursement to underwriters for expenses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50,000</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Nasdaq listing and filing fees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75,000</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40,000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40,000</w:t>
            </w:r>
          </w:p>
        </w:tc>
      </w:tr>
      <w:tr>
        <w:trPr>
          <w:trHeight w:val="229"/>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Miscellaneous, including listing and filing fees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150,000</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40" w:type="dxa"/>
            <w:vAlign w:val="bottom"/>
            <w:shd w:val="clear" w:color="auto" w:fill="CCEEFF"/>
          </w:tcPr>
          <w:p>
            <w:pPr>
              <w:spacing w:after="0"/>
              <w:rPr>
                <w:sz w:val="19"/>
                <w:szCs w:val="19"/>
                <w:color w:val="auto"/>
              </w:rPr>
            </w:pPr>
          </w:p>
        </w:tc>
      </w:tr>
      <w:tr>
        <w:trPr>
          <w:trHeight w:val="210"/>
        </w:trPr>
        <w:tc>
          <w:tcPr>
            <w:tcW w:w="8360" w:type="dxa"/>
            <w:vAlign w:val="bottom"/>
          </w:tcPr>
          <w:p>
            <w:pPr>
              <w:spacing w:after="0"/>
              <w:rPr>
                <w:sz w:val="20"/>
                <w:szCs w:val="20"/>
                <w:color w:val="auto"/>
              </w:rPr>
            </w:pPr>
            <w:r>
              <w:rPr>
                <w:rFonts w:ascii="Arial" w:cs="Arial" w:eastAsia="Arial" w:hAnsi="Arial"/>
                <w:sz w:val="18"/>
                <w:szCs w:val="18"/>
                <w:color w:val="auto"/>
              </w:rPr>
              <w:t>Total offering expenses (excluding underwriting commissions)</w:t>
            </w:r>
          </w:p>
        </w:tc>
        <w:tc>
          <w:tcPr>
            <w:tcW w:w="16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645,000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9"/>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Proceeds after estimated offering expenses</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254,900,000</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292,962,500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37"/>
        </w:trPr>
        <w:tc>
          <w:tcPr>
            <w:tcW w:w="8360" w:type="dxa"/>
            <w:vAlign w:val="bottom"/>
          </w:tcPr>
          <w:p>
            <w:pPr>
              <w:spacing w:after="0" w:line="236" w:lineRule="exact"/>
              <w:rPr>
                <w:sz w:val="20"/>
                <w:szCs w:val="20"/>
                <w:color w:val="auto"/>
              </w:rPr>
            </w:pPr>
            <w:r>
              <w:rPr>
                <w:rFonts w:ascii="Arial" w:cs="Arial" w:eastAsia="Arial" w:hAnsi="Arial"/>
                <w:sz w:val="17"/>
                <w:szCs w:val="17"/>
                <w:color w:val="auto"/>
              </w:rPr>
              <w:t xml:space="preserve">Held in trust account </w:t>
            </w:r>
            <w:r>
              <w:rPr>
                <w:rFonts w:ascii="Arial" w:cs="Arial" w:eastAsia="Arial" w:hAnsi="Arial"/>
                <w:sz w:val="27"/>
                <w:szCs w:val="27"/>
                <w:color w:val="auto"/>
                <w:vertAlign w:val="superscript"/>
              </w:rPr>
              <w:t>(3)</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253,750,000</w:t>
            </w: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291,812,500</w:t>
            </w:r>
          </w:p>
        </w:tc>
        <w:tc>
          <w:tcPr>
            <w:tcW w:w="140" w:type="dxa"/>
            <w:vAlign w:val="bottom"/>
          </w:tcPr>
          <w:p>
            <w:pPr>
              <w:spacing w:after="0"/>
              <w:rPr>
                <w:sz w:val="20"/>
                <w:szCs w:val="20"/>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 of public offering size</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101.5%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101.5%</w:t>
            </w: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Not held in trust account</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1,150,000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589"/>
        </w:trPr>
        <w:tc>
          <w:tcPr>
            <w:tcW w:w="9780" w:type="dxa"/>
            <w:vAlign w:val="bottom"/>
            <w:gridSpan w:val="6"/>
          </w:tcPr>
          <w:p>
            <w:pPr>
              <w:ind w:left="340"/>
              <w:spacing w:after="0"/>
              <w:rPr>
                <w:sz w:val="20"/>
                <w:szCs w:val="20"/>
                <w:color w:val="auto"/>
              </w:rPr>
            </w:pPr>
            <w:r>
              <w:rPr>
                <w:rFonts w:ascii="Arial" w:cs="Arial" w:eastAsia="Arial" w:hAnsi="Arial"/>
                <w:sz w:val="18"/>
                <w:szCs w:val="18"/>
                <w:color w:val="auto"/>
              </w:rPr>
              <w:t>The following table shows the use of the approximately $1,150,000 of net proceeds not held in the trust account.</w:t>
            </w:r>
            <w:r>
              <w:rPr>
                <w:rFonts w:ascii="Arial" w:cs="Arial" w:eastAsia="Arial" w:hAnsi="Arial"/>
                <w:sz w:val="29"/>
                <w:szCs w:val="29"/>
                <w:color w:val="auto"/>
                <w:vertAlign w:val="superscript"/>
              </w:rPr>
              <w:t>(4)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23"/>
        </w:trPr>
        <w:tc>
          <w:tcPr>
            <w:tcW w:w="83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Amount</w:t>
            </w:r>
          </w:p>
        </w:tc>
        <w:tc>
          <w:tcPr>
            <w:tcW w:w="1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 of Total</w:t>
            </w:r>
          </w:p>
        </w:tc>
        <w:tc>
          <w:tcPr>
            <w:tcW w:w="160" w:type="dxa"/>
            <w:vAlign w:val="bottom"/>
            <w:tcBorders>
              <w:bottom w:val="single" w:sz="8" w:color="CCEEFF"/>
            </w:tcBorders>
            <w:gridSpan w:val="2"/>
          </w:tcPr>
          <w:p>
            <w:pPr>
              <w:spacing w:after="0"/>
              <w:rPr>
                <w:sz w:val="24"/>
                <w:szCs w:val="24"/>
                <w:color w:val="auto"/>
              </w:rPr>
            </w:pPr>
          </w:p>
        </w:tc>
      </w:tr>
      <w:tr>
        <w:trPr>
          <w:trHeight w:val="237"/>
        </w:trPr>
        <w:tc>
          <w:tcPr>
            <w:tcW w:w="836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 xml:space="preserve">Legal, accounting, due diligence, travel, and other expenses in connection with any business combination </w:t>
            </w:r>
            <w:r>
              <w:rPr>
                <w:rFonts w:ascii="Arial" w:cs="Arial" w:eastAsia="Arial" w:hAnsi="Arial"/>
                <w:sz w:val="27"/>
                <w:szCs w:val="27"/>
                <w:color w:val="auto"/>
                <w:vertAlign w:val="superscript"/>
              </w:rPr>
              <w:t>(5)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200,000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17.39%</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Legal and accounting fees related to regulatory reporting obligations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110,000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9.57%</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Director and Officer liability insurance premiums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400,000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34.78%</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w w:val="94"/>
              </w:rPr>
              <w:t>Payment for office space, utilities and secretarial and administrative support ($10,000 per month for 15 months)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150,000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13.04%</w:t>
            </w:r>
          </w:p>
        </w:tc>
      </w:tr>
      <w:tr>
        <w:trPr>
          <w:trHeight w:val="270"/>
        </w:trPr>
        <w:tc>
          <w:tcPr>
            <w:tcW w:w="836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 xml:space="preserve">Working capital to cover miscellaneous expenses </w:t>
            </w:r>
            <w:r>
              <w:rPr>
                <w:rFonts w:ascii="Arial" w:cs="Arial" w:eastAsia="Arial" w:hAnsi="Arial"/>
                <w:sz w:val="29"/>
                <w:szCs w:val="29"/>
                <w:color w:val="auto"/>
                <w:vertAlign w:val="superscript"/>
              </w:rPr>
              <w:t>(6)</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290,000</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25.22%</w:t>
            </w:r>
          </w:p>
        </w:tc>
      </w:tr>
      <w:tr>
        <w:trPr>
          <w:trHeight w:val="223"/>
        </w:trPr>
        <w:tc>
          <w:tcPr>
            <w:tcW w:w="8360" w:type="dxa"/>
            <w:vAlign w:val="bottom"/>
          </w:tcPr>
          <w:p>
            <w:pPr>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1,150,000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8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520" w:hanging="512"/>
        <w:spacing w:after="0" w:line="277"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amounts payable to public stockholders who properly redeem their shares in connection with our successful completion of our initial business combination.</w:t>
      </w:r>
    </w:p>
    <w:p>
      <w:pPr>
        <w:spacing w:after="0" w:line="170" w:lineRule="exact"/>
        <w:rPr>
          <w:rFonts w:ascii="Arial" w:cs="Arial" w:eastAsia="Arial" w:hAnsi="Arial"/>
          <w:sz w:val="18"/>
          <w:szCs w:val="18"/>
          <w:color w:val="auto"/>
        </w:rPr>
      </w:pPr>
    </w:p>
    <w:p>
      <w:pPr>
        <w:jc w:val="both"/>
        <w:ind w:left="520" w:right="20" w:hanging="512"/>
        <w:spacing w:after="0" w:line="293" w:lineRule="auto"/>
        <w:tabs>
          <w:tab w:leader="none" w:pos="5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portion of the offering expenses will be paid from the proceeds of loans from our sponsor of up to $300,000 as described in this prospectus. As of September 30, 2021 and May 21, 2021, the Company had borrowed $100,091 and $100 under the promissory note with our sponsor. These amounts will be repaid upon completion of this offering out of the $645,000 of offering proceeds that has been allocated for the payment of offering expenses (other than underwriting commissions). In the event that offering expenses are more than as set forth in this table, they will be repaid using a portion of the $1,150,000 of offering proceeds not held in the trust account and set aside for post-closing working capital expenses. In the event that offering expenses are less than set forth in this table, any such amounts will be used for post-closing working capital expenses.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ind w:left="520" w:right="20" w:hanging="512"/>
        <w:spacing w:after="0" w:line="272" w:lineRule="auto"/>
        <w:tabs>
          <w:tab w:leader="none" w:pos="5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underwriters have agreed to defer underwriting commissions equal to 3.5% of the gross proceeds of this offering. Upon completion of our initial business combination, $8,750,000, which constitutes the underwriters’ deferred commissions (or $10,062,500 if the underwriters’ over-allotment option is exercised in full), will be paid to the underwriters from the funds held in the trust account, and the remaining funds, less amounts released to the trustee to pay redeeming stockholders, will be released to us and can be used to pay all or a portion of the purchase price of the business or businesses with which our initial business combination occurs or for general corporate purposes, including payment of principal or interest on indebtedness incurred in connection with our initial business combination, to fund the purchases of other companies or for working capital. The underwriters will not be entitled to any interest accrued on the deferred underwriting discounts and commissions.</w:t>
      </w:r>
    </w:p>
    <w:p>
      <w:pPr>
        <w:spacing w:after="0" w:line="177" w:lineRule="exact"/>
        <w:rPr>
          <w:rFonts w:ascii="Arial" w:cs="Arial" w:eastAsia="Arial" w:hAnsi="Arial"/>
          <w:sz w:val="17"/>
          <w:szCs w:val="17"/>
          <w:color w:val="auto"/>
        </w:rPr>
      </w:pPr>
    </w:p>
    <w:p>
      <w:pPr>
        <w:ind w:left="520" w:hanging="512"/>
        <w:spacing w:after="0" w:line="254"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These expenses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such business combination. In the event we identify an initial business combination target in a specific industry subject to specific regulations, we may incur additional expenses associated with legal due diligence and the engagement of special legal counsel. In addition, our staffing needs may vary and as a result, we may engage a number of consultants to assist with legal and financial due diligence. We do not anticipate any change in our intended use of proceeds, other than fluctuations among the current categories of allocated expenses, which fluctuations, to the extent they exceed current estimates for any specific category of expenses, would not be available for our expenses.</w:t>
      </w:r>
    </w:p>
    <w:p>
      <w:pPr>
        <w:spacing w:after="0" w:line="191" w:lineRule="exact"/>
        <w:rPr>
          <w:rFonts w:ascii="Arial" w:cs="Arial" w:eastAsia="Arial" w:hAnsi="Arial"/>
          <w:sz w:val="18"/>
          <w:szCs w:val="18"/>
          <w:color w:val="auto"/>
        </w:rPr>
      </w:pPr>
    </w:p>
    <w:p>
      <w:pPr>
        <w:ind w:left="520" w:right="880" w:hanging="512"/>
        <w:spacing w:after="0" w:line="277"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estimated amounts that may also be used in connection with our initial business combination to fund a “no shop” provision and commitment fees for financing.</w:t>
      </w:r>
    </w:p>
    <w:p>
      <w:pPr>
        <w:spacing w:after="0" w:line="170" w:lineRule="exact"/>
        <w:rPr>
          <w:rFonts w:ascii="Arial" w:cs="Arial" w:eastAsia="Arial" w:hAnsi="Arial"/>
          <w:sz w:val="18"/>
          <w:szCs w:val="18"/>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a portion of the listing fee not covered in the offering expenses.</w:t>
      </w:r>
    </w:p>
    <w:p>
      <w:pPr>
        <w:spacing w:after="0" w:line="225"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Of the net proceeds of this offering and the sale of the placement units, $253,750,000 (or $291,812,500 if the underwriters’ over-allotment option is exercised in full), including $8,750,000 (or $10,062,500 if the underwriters’ over-allotment option is exercised in full) of deferred underwriting commissions, will be placed in a trust account in the United States with Continental Stock Transfer &amp; Trust Company acting as trustee and J.P. Morgan Securities LLC acting as investment manager, and will be invested only in U.S. government treasury bills with a maturity of 185 days or less or in money market funds meeting certain conditions under Rule 2a-7 under the Investment Company Act which invest only in direct U.S. government treasury obligations. We estimate that the pre-tax interest earned on the trust account will be approximately $253,750 per year, assuming an interest rate of 0.1% per year; however, we can provide no assurance regarding this amount. Except with respect to interest earned on the funds held in the trust account that may be released to us to pay our tax obligations and up to $100,000 of interest that may be used for our dissolution expenses, the proceeds from this offering and the sale of the placement units will not be released from the trust account until the earliest to occur of: (a) the completion of our initial business combination, (b) the redemption of any public shares properly submitted in connection with a stockholder vote to amend our amended and restated certificate of incorporation (A) to modify the substance or timing of our obligation to allow redemption in connection with our initial business combination or certain amendments to our charter prior thereto or to redeem 100% of our public shares if we do not complete our initial business combination within 15 months from the closing of this offering or (B) with respect to any other provision relating to stockholders’ rights or pre-initial business combination activity, and (c) the redemption of our public shares if we are unable to complete our initial business combination within 15 months from the closing of this offering, subject to applicable law.</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9" w:name="page80"/>
    <w:bookmarkEnd w:id="79"/>
    <w:p>
      <w:pPr>
        <w:ind w:right="80" w:firstLine="324"/>
        <w:spacing w:after="0" w:line="293" w:lineRule="auto"/>
        <w:rPr>
          <w:sz w:val="20"/>
          <w:szCs w:val="20"/>
          <w:color w:val="auto"/>
        </w:rPr>
      </w:pPr>
      <w:r>
        <w:rPr>
          <w:rFonts w:ascii="Arial" w:cs="Arial" w:eastAsia="Arial" w:hAnsi="Arial"/>
          <w:sz w:val="16"/>
          <w:szCs w:val="16"/>
          <w:color w:val="auto"/>
        </w:rPr>
        <w:t>The net proceeds held in the trust account may be used as consideration to pay the sellers of a target business with which we ultimately complete our initial business combination. If our initial business combination is paid for using equity or debt securities, or not all of the funds released from the trust account are used for payment of the consideration in connection with our initial business combination, we may apply the balance of the cash released from 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 There is no limitation on our ability to raise funds privately or through loans in connection with our initial business combination.</w:t>
      </w:r>
    </w:p>
    <w:p>
      <w:pPr>
        <w:spacing w:after="0" w:line="164"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We believe that amounts not held in trust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business combination, only after we have negotiated and signed a letter of intent or other preliminary agreement that addresses the terms of an initial business combination. However, if our estimate of the costs of undertaking in-depth due diligence and negotiating an initial business combination is less than the actual amount necessary to do so, we may be required to raise additional capital, the amount, availability and cost of which is currently unascertainable. If we are required to seek additional capital, we could seek such additional capital through loans or additional investments from our sponsor, members of our management team or their affiliates, but such persons are not under any obligation to advance funds to, or invest in, us.</w:t>
      </w:r>
    </w:p>
    <w:p>
      <w:pPr>
        <w:spacing w:after="0" w:line="178" w:lineRule="exact"/>
        <w:rPr>
          <w:sz w:val="20"/>
          <w:szCs w:val="20"/>
          <w:color w:val="auto"/>
        </w:rPr>
      </w:pPr>
    </w:p>
    <w:p>
      <w:pPr>
        <w:jc w:val="both"/>
        <w:ind w:right="420" w:firstLine="324"/>
        <w:spacing w:after="0" w:line="263" w:lineRule="auto"/>
        <w:rPr>
          <w:sz w:val="20"/>
          <w:szCs w:val="20"/>
          <w:color w:val="auto"/>
        </w:rPr>
      </w:pPr>
      <w:r>
        <w:rPr>
          <w:rFonts w:ascii="Arial" w:cs="Arial" w:eastAsia="Arial" w:hAnsi="Arial"/>
          <w:sz w:val="18"/>
          <w:szCs w:val="18"/>
          <w:color w:val="auto"/>
        </w:rPr>
        <w:t>Commencing on the date of this prospectus, we have agreed to pay our sponsor, BurTech LP LLC, a total of $10,000 per month for office space, utilities and secretarial and administrative support. Upon completion of our initial business combination or our liquidation, we will cease paying these monthly fees.</w:t>
      </w:r>
    </w:p>
    <w:p>
      <w:pPr>
        <w:spacing w:after="0" w:line="184"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Prior to the closing of this offering, our sponsor has agreed to loan us up to $300,000 to be used for a portion of the expenses of this offering. As of September 30, 2021 and May 21, 2021, the Company had borrowed $100,091 and $100 under the promissory note (of up to $300,000 available to us) with our sponsor. These loans are non-interest bearing, unsecured and are due at the earlier of December 31, 2021 or the closing of this offering. The loan will be repaid upon the closing of this offering out of the offering proceeds not held in the trust account.</w:t>
      </w:r>
    </w:p>
    <w:p>
      <w:pPr>
        <w:spacing w:after="0" w:line="171"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 addition, in order to finance transaction costs in connection with an intended initial business combination, our sponsor or an affiliate of our sponsor or certain of our officers and directors may, but are not obligated to, loan us funds on a non-interest bearing basis as may be required. If we complete our initial business combination, we would repay such loaned amounts out of the proceeds of the trust account released to us. Otherwise, such loans would be repaid only out of funds held outside the trust account. In the event that our initial business combination does not close, we may use a portion of the working capital held outside the trust account to repay such loaned amounts but no proceeds from our trust account would be used to repay such loaned amounts.</w:t>
      </w:r>
    </w:p>
    <w:p>
      <w:pPr>
        <w:spacing w:after="0" w:line="192"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Up to $1,500,000 of the loans made by our sponsor, our officers and directors, or our or their affiliates to us prior to or in connection with our initial business combination may be convertible into units, at a price of $10.00 per unit at the option of the lender, upon consummation of our initial business combination. The units would be identical to the placement units. Other than as described above, the terms of such loans by our officers and directors, if any, have not been determined and no written agreements exist with respect to such loans. We do not expect to seek loans from parties other than our sponsor, our officers and directors or an affiliate of theirs as we do not believe third parties will be willing to loan such funds and provide a waiver against any and all rights to seek access to funds in our trust account.</w:t>
      </w:r>
    </w:p>
    <w:p>
      <w:pPr>
        <w:spacing w:after="0" w:line="17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If we seek stockholder approval of our initial business combination and we do not conduct redemptions in connection with our initial business combination pursuant to the tender offer rules, our sponsor, initial stockholders, directors, officers, advisors or their affiliates may purchase public shares or public warrants in privately negotiated transactions or in the open market either prior to or following the completion of our initial business combination. There is no limit on the number of shares our initial stockholders, directors, officers or their affiliates may purchase in such transactions, subject to compliance with applicable law and Nasdaq rules. However, they have no current commitments, plans or intentions to engage in such transactions and have not formulated any terms or conditions for any such transactions. If they engage in such transactions, they will not make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Any such purchases will be reported pursuant to Section 13 and Section 16 of the Exchange Act to the extent such purchasers are subject to such reporting requirements. None of the funds held in the trust account will be used to purchase shares or public warrants in such transactions prior to completion of our initial business combination. See “Proposed Business — Permitted purchases of our securities” for a description of how our sponsor, initial stockholders, directors, officers or any of their affiliates will select which stockholders to purchase securities from in any private transaction.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0" w:name="page81"/>
    <w:bookmarkEnd w:id="80"/>
    <w:p>
      <w:pPr>
        <w:ind w:right="40" w:firstLine="324"/>
        <w:spacing w:after="0" w:line="290" w:lineRule="auto"/>
        <w:rPr>
          <w:sz w:val="20"/>
          <w:szCs w:val="20"/>
          <w:color w:val="auto"/>
        </w:rPr>
      </w:pPr>
      <w:r>
        <w:rPr>
          <w:rFonts w:ascii="Arial" w:cs="Arial" w:eastAsia="Arial" w:hAnsi="Arial"/>
          <w:sz w:val="16"/>
          <w:szCs w:val="16"/>
          <w:color w:val="auto"/>
        </w:rPr>
        <w:t>The purpose of any such purchases of shares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In addition, if such purchases are made, the public “float” of our shares of Class A common stock or warrants may be reduced and the number of beneficial holders of our securities may be reduced, which may make it difficult to maintain or obtain the quotation, listing or trading of our securities on a national securities exchange.</w:t>
      </w:r>
    </w:p>
    <w:p>
      <w:pPr>
        <w:spacing w:after="0" w:line="16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no event will we redeem our public shares unless our net tangible assets are at least $5,000,001 either immediately prior to or upon consummation of our initial business combination and after payment of underwriters’ fees and commissions (so that we are not subject to the SEC’s “penny stock” rules) and the agreement for our initial business combination may require as a closing condition that we have a minimum net worth or a certain amount of cash. If too many public stockholders exercise their redemption rights so that we cannot satisfy the net tangible asset requirement or any net worth or cash requirements, we would not proceed with the redemption of our public shares or the initial business combination, and instead may search for an alternate business combination.</w:t>
      </w:r>
    </w:p>
    <w:p>
      <w:pPr>
        <w:spacing w:after="0" w:line="192"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A public stockholder will be entitled to receive funds from the trust account only upon the earliest to occur of: (i) our completion of an initial business combination, (ii) the redemption of any public shares properly submitted in connection with a stockholder vote to amend our amended and restated certificate of incorporation (A) to modify the substance or timing of our obligation to allow redemption in connection with our initial business combination or certain amendments to our charter prior thereto or to redeem 100% of our public shares if we do not complete our initial business combination within 15 months from the closing of this offering or (B) with respect to any other provision relating to stockholders’ rights or pre-initial business combination activity, and (iii) the redemption of our public shares if we are unable to complete our initial business combination within 15 months following the closing of this offering, subject to applicable law and as further described herein and any limitations (including but not limited to cash requirements) created by the terms of the proposed initial business combination. In no other circumstances will a public stockholder have any right or interest of any kind to or in the trust account.</w:t>
      </w:r>
    </w:p>
    <w:p>
      <w:pPr>
        <w:spacing w:after="0" w:line="196"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Our sponsor, officers and directors have entered into a letter agreement with us, pursuant to which they have agreed to waive their redemption rights with respect to any founder shares and placement shares and any public shares held by them in connection with the completion of our initial business combination. In addition, our initial stockholders have agreed to waive their rights to liquidating distributions from the trust account with respect to any founder shares and placement shares held by them if we fail to complete our initial business combination within the prescribed time frame. However, if our sponsor or any of our officers, directors or affiliates acquires public shares in or after this offering, they will be entitled to liquidating distributions from the trust account with respect to such public shares if we fail to complete our initial business combination within the prescribed time frame.</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1" w:name="page82"/>
    <w:bookmarkEnd w:id="81"/>
    <w:p>
      <w:pPr>
        <w:jc w:val="center"/>
        <w:ind w:right="-9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have not paid any cash dividends on our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If we increase or decrease the size of the offering we will effect a stock dividend or a share contribution back to capital or other appropriate mechanism, as applicable, with respect to our Class B common stock immediately prior to the consummation of the offering in such amount as to maintain the ownership of our initial stockholders at 24.81% of the issued and outstanding shares of our common stock (excluding the shares of Class A common stock to be issued to the representative or its designees upon consummation of this offering, the placement units and securities underlying the placement units and assuming the initial stockholders do not purchase units in this offering) upon the consummation of this offering. Further, if we incur any indebtedness in connection with our initial business combination, our ability to declare dividends may be limited by restrictive covenants we may agree to in connection therewith.</w:t>
      </w:r>
    </w:p>
    <w:p>
      <w:pPr>
        <w:spacing w:after="0" w:line="3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difference between the public offering price per share of Class A common stock, assuming no value is attributed to the warrants included in the units we are offering pursuant to this prospectus or the placement units, and the pro forma net tangible book value per share of our Class A common stock after this offering constitutes the dilution to investors in this offering. Such calculation does not reflect any dilution associated with the sale and exercise of warrants, including the placement warrants, which would cause the actual dilution to the public stockholders to be higher, particularly where a cashless exercise is utilized. Net tangible book value per share is determined by dividing our net tangible book value, which is our total tangible assets less total liabilities (including the value of Class A common stock which may be redeemed for cash), by the number of outstanding shares of our Class A common stock.</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September 30, 2021, our net tangible book deficit was $141,501, or approximately $0.02 per share of common stock. For purposes of the dilution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calculation, in order to present the maximum estimated dilution as a result of this offering, we have assumed the number of shares included in the units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offered hereby will be deemed to be 25,000,000 shares of Class A common stock, and the price per share in this offering will be deemed to be $10.00. 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giving effect to the sale of 25,000,000 shares of Class A common stock included in the units we are offering by this prospectus (or 28,750,000 shares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Class A common stock if the underwriters’ over-allotment option is exercised in full), the deduction of underwriting commissions and estimated expenses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this offering, our pro forma net tangible book deficit at September 30, 2021 would have been $7,575,500, or approximately $(0.80) per share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$8,888,000 or $(0.82) per share if the underwriters’ over-allotment option is exercised in full), representing an immediate increase in net tangible book</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deficit (as decreased by the value of the approximately 25,000,000 shares of Class A common stock that may be redeemed for cash, or 28,750,000 shares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Class A common stock if the underwriters’ over-allotment option is exercised in full) of $(0.78) per share (or $(0.81) per share if the underwriters’ over-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allotment option is exercised in full) to our initial stockholders as of the date of this prospectus and an immediate dilution of $10.80 per share or 108.0%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public stockholders (or $10.82 per share or 108.2% if the underwriters’ over-allotment option is exercised in full).</w:t>
      </w:r>
    </w:p>
    <w:p>
      <w:pPr>
        <w:spacing w:after="0" w:line="21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table illustrates the dilution to the public stockholders on a per-share basis, assuming no value is attributed to the warrants included in the units or the placement warrants: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7"/>
              </w:rPr>
              <w:t>No exercise of</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7"/>
              </w:rPr>
              <w:t>Exercise of</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0"/>
              </w:rPr>
              <w:t>over-allotment</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0"/>
              </w:rPr>
              <w:t>over-allotment</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54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87"/>
              </w:rPr>
              <w:t>option</w:t>
            </w:r>
          </w:p>
        </w:tc>
        <w:tc>
          <w:tcPr>
            <w:tcW w:w="60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b w:val="1"/>
                <w:bCs w:val="1"/>
                <w:color w:val="auto"/>
              </w:rPr>
              <w:t>option in full</w:t>
            </w:r>
          </w:p>
        </w:tc>
        <w:tc>
          <w:tcPr>
            <w:tcW w:w="60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44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Net tangible book value before this offering</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640" w:type="dxa"/>
            <w:vAlign w:val="bottom"/>
          </w:tcPr>
          <w:p>
            <w:pPr>
              <w:spacing w:after="0"/>
              <w:rPr>
                <w:sz w:val="18"/>
                <w:szCs w:val="18"/>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(0.01)</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2"/>
        </w:trPr>
        <w:tc>
          <w:tcPr>
            <w:tcW w:w="5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Increase attributable to public stockholders and sale of the placement</w:t>
            </w: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units</w:t>
            </w:r>
          </w:p>
        </w:tc>
        <w:tc>
          <w:tcPr>
            <w:tcW w:w="4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(0.78)</w:t>
            </w:r>
          </w:p>
        </w:tc>
        <w:tc>
          <w:tcPr>
            <w:tcW w:w="6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(0.81)</w:t>
            </w:r>
          </w:p>
        </w:tc>
        <w:tc>
          <w:tcPr>
            <w:tcW w:w="6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10"/>
        </w:trPr>
        <w:tc>
          <w:tcPr>
            <w:tcW w:w="5460" w:type="dxa"/>
            <w:vAlign w:val="bottom"/>
          </w:tcPr>
          <w:p>
            <w:pPr>
              <w:spacing w:after="0"/>
              <w:rPr>
                <w:sz w:val="20"/>
                <w:szCs w:val="20"/>
                <w:color w:val="auto"/>
              </w:rPr>
            </w:pPr>
            <w:r>
              <w:rPr>
                <w:rFonts w:ascii="Arial" w:cs="Arial" w:eastAsia="Arial" w:hAnsi="Arial"/>
                <w:sz w:val="18"/>
                <w:szCs w:val="18"/>
                <w:color w:val="auto"/>
              </w:rPr>
              <w:t>Pro forma net tangible book value after this offering</w:t>
            </w: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2"/>
          </w:tcPr>
          <w:p>
            <w:pPr>
              <w:jc w:val="right"/>
              <w:ind w:right="110"/>
              <w:spacing w:after="0"/>
              <w:rPr>
                <w:sz w:val="20"/>
                <w:szCs w:val="20"/>
                <w:color w:val="auto"/>
              </w:rPr>
            </w:pPr>
            <w:r>
              <w:rPr>
                <w:rFonts w:ascii="Arial" w:cs="Arial" w:eastAsia="Arial" w:hAnsi="Arial"/>
                <w:sz w:val="18"/>
                <w:szCs w:val="18"/>
                <w:color w:val="auto"/>
              </w:rPr>
              <w:t>(0.80)</w:t>
            </w: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(0.82)</w:t>
            </w: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to public stockholders</w:t>
            </w:r>
          </w:p>
        </w:tc>
        <w:tc>
          <w:tcPr>
            <w:tcW w:w="4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Percentage of dilution to public stockholders</w:t>
            </w: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108.2</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5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For purposes of presentation, our pro forma net tangible book value after this offering is $(7,575,500) (or $(8,888,000) if the underwriters exercise their over-allotment option in full) less than it otherwise would have been because if we effect our initial business combination, the conversion rights of the public stockholders (but not our insiders) may result in the conversion or tender of up to 25,000,000 (or 28,750,000 if the underwriters exercise their over-allotment option in full) shares sold in this offering.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ind w:left="340"/>
        <w:spacing w:after="0"/>
        <w:rPr>
          <w:sz w:val="20"/>
          <w:szCs w:val="20"/>
          <w:color w:val="auto"/>
        </w:rPr>
      </w:pPr>
      <w:r>
        <w:rPr>
          <w:rFonts w:ascii="Arial" w:cs="Arial" w:eastAsia="Arial" w:hAnsi="Arial"/>
          <w:sz w:val="17"/>
          <w:szCs w:val="17"/>
          <w:color w:val="auto"/>
        </w:rPr>
        <w:t>The following table sets forth information with respect to our initial stockholders, holders of the placement shares and the public stockholders: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Average</w:t>
            </w:r>
          </w:p>
        </w:tc>
      </w:tr>
      <w:tr>
        <w:trPr>
          <w:trHeight w:val="234"/>
        </w:trPr>
        <w:tc>
          <w:tcPr>
            <w:tcW w:w="4020" w:type="dxa"/>
            <w:vAlign w:val="bottom"/>
          </w:tcPr>
          <w:p>
            <w:pPr>
              <w:spacing w:after="0"/>
              <w:rPr>
                <w:sz w:val="20"/>
                <w:szCs w:val="20"/>
                <w:color w:val="auto"/>
              </w:rPr>
            </w:pPr>
          </w:p>
        </w:tc>
        <w:tc>
          <w:tcPr>
            <w:tcW w:w="288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Shares Purchased</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8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Total Consideration</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r>
      <w:tr>
        <w:trPr>
          <w:trHeight w:val="223"/>
        </w:trPr>
        <w:tc>
          <w:tcPr>
            <w:tcW w:w="402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Number</w:t>
            </w: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Percentage</w:t>
            </w: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Percentage</w:t>
            </w: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Per Share</w:t>
            </w:r>
          </w:p>
        </w:tc>
        <w:tc>
          <w:tcPr>
            <w:tcW w:w="100" w:type="dxa"/>
            <w:vAlign w:val="bottom"/>
            <w:tcBorders>
              <w:bottom w:val="single" w:sz="8" w:color="CCEEFF"/>
            </w:tcBorders>
          </w:tcPr>
          <w:p>
            <w:pPr>
              <w:spacing w:after="0"/>
              <w:rPr>
                <w:sz w:val="19"/>
                <w:szCs w:val="19"/>
                <w:color w:val="auto"/>
              </w:rPr>
            </w:pPr>
          </w:p>
        </w:tc>
      </w:tr>
      <w:tr>
        <w:trPr>
          <w:trHeight w:val="237"/>
        </w:trPr>
        <w:tc>
          <w:tcPr>
            <w:tcW w:w="402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Initial Stockholders</w:t>
            </w:r>
            <w:r>
              <w:rPr>
                <w:rFonts w:ascii="Arial" w:cs="Arial" w:eastAsia="Arial" w:hAnsi="Arial"/>
                <w:sz w:val="27"/>
                <w:szCs w:val="27"/>
                <w:color w:val="auto"/>
                <w:vertAlign w:val="superscript"/>
              </w:rPr>
              <w:t>(1)</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8,250,000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0.003</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Representative Shares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375,000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0.000</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Holders of placement shares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804,500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8,045,000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r>
      <w:tr>
        <w:trPr>
          <w:trHeight w:val="229"/>
        </w:trPr>
        <w:tc>
          <w:tcPr>
            <w:tcW w:w="4020" w:type="dxa"/>
            <w:vAlign w:val="bottom"/>
          </w:tcPr>
          <w:p>
            <w:pPr>
              <w:spacing w:after="0"/>
              <w:rPr>
                <w:sz w:val="20"/>
                <w:szCs w:val="20"/>
                <w:color w:val="auto"/>
              </w:rPr>
            </w:pPr>
            <w:r>
              <w:rPr>
                <w:rFonts w:ascii="Arial" w:cs="Arial" w:eastAsia="Arial" w:hAnsi="Arial"/>
                <w:sz w:val="18"/>
                <w:szCs w:val="18"/>
                <w:color w:val="auto"/>
              </w:rPr>
              <w:t>Public Stockholders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25,000,000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72.61%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250,000,000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96.87%</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r>
      <w:tr>
        <w:trPr>
          <w:trHeight w:val="209"/>
        </w:trPr>
        <w:tc>
          <w:tcPr>
            <w:tcW w:w="40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34,429,500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258,070,000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660" w:right="220" w:hanging="433"/>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Assumes no exercise of the underwriters’ over-allotment option and the corresponding forfeiture of an aggregate of 1,237,500 shares of Class B common stock held by our initial stockholders.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tcPr>
          <w:p>
            <w:pPr>
              <w:ind w:left="340"/>
              <w:spacing w:after="0"/>
              <w:rPr>
                <w:sz w:val="20"/>
                <w:szCs w:val="20"/>
                <w:color w:val="auto"/>
              </w:rPr>
            </w:pPr>
            <w:r>
              <w:rPr>
                <w:rFonts w:ascii="Arial" w:cs="Arial" w:eastAsia="Arial" w:hAnsi="Arial"/>
                <w:sz w:val="18"/>
                <w:szCs w:val="18"/>
                <w:color w:val="auto"/>
              </w:rPr>
              <w:t>The pro forma net tangible book value per share after the offering is calculated as follows:</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7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5"/>
              </w:rPr>
              <w:t>Without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rPr>
              <w:t>With</w:t>
            </w:r>
          </w:p>
        </w:tc>
      </w:tr>
      <w:tr>
        <w:trPr>
          <w:trHeight w:val="216"/>
        </w:trPr>
        <w:tc>
          <w:tcPr>
            <w:tcW w:w="7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3"/>
              </w:rPr>
              <w:t>Over-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Over-</w:t>
            </w:r>
          </w:p>
        </w:tc>
      </w:tr>
      <w:tr>
        <w:trPr>
          <w:trHeight w:val="234"/>
        </w:trPr>
        <w:tc>
          <w:tcPr>
            <w:tcW w:w="7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center"/>
              <w:ind w:right="221"/>
              <w:spacing w:after="0"/>
              <w:rPr>
                <w:sz w:val="20"/>
                <w:szCs w:val="20"/>
                <w:color w:val="auto"/>
              </w:rPr>
            </w:pPr>
            <w:r>
              <w:rPr>
                <w:rFonts w:ascii="Arial" w:cs="Arial" w:eastAsia="Arial" w:hAnsi="Arial"/>
                <w:sz w:val="18"/>
                <w:szCs w:val="18"/>
                <w:b w:val="1"/>
                <w:bCs w:val="1"/>
                <w:color w:val="auto"/>
                <w:w w:val="92"/>
              </w:rPr>
              <w:t>allotment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allotment</w:t>
            </w:r>
          </w:p>
        </w:tc>
      </w:tr>
      <w:tr>
        <w:trPr>
          <w:trHeight w:val="210"/>
        </w:trPr>
        <w:tc>
          <w:tcPr>
            <w:tcW w:w="7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Net tangible book deficit before this offering</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
              <w:spacing w:after="0"/>
              <w:rPr>
                <w:sz w:val="20"/>
                <w:szCs w:val="20"/>
                <w:color w:val="auto"/>
              </w:rPr>
            </w:pPr>
            <w:r>
              <w:rPr>
                <w:rFonts w:ascii="Arial" w:cs="Arial" w:eastAsia="Arial" w:hAnsi="Arial"/>
                <w:sz w:val="18"/>
                <w:szCs w:val="18"/>
                <w:color w:val="auto"/>
              </w:rPr>
              <w:t>(141,501)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(141,501)</w:t>
            </w:r>
          </w:p>
        </w:tc>
      </w:tr>
      <w:tr>
        <w:trPr>
          <w:trHeight w:val="257"/>
        </w:trPr>
        <w:tc>
          <w:tcPr>
            <w:tcW w:w="76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Net proceeds from this offering and sale of the placement units, net of expenses</w:t>
            </w:r>
            <w:r>
              <w:rPr>
                <w:rFonts w:ascii="Arial" w:cs="Arial" w:eastAsia="Arial" w:hAnsi="Arial"/>
                <w:sz w:val="29"/>
                <w:szCs w:val="29"/>
                <w:color w:val="auto"/>
                <w:vertAlign w:val="superscript"/>
              </w:rPr>
              <w:t>(1)</w:t>
            </w:r>
          </w:p>
        </w:tc>
        <w:tc>
          <w:tcPr>
            <w:tcW w:w="8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254,900,000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292,962,500</w:t>
            </w:r>
          </w:p>
        </w:tc>
        <w:tc>
          <w:tcPr>
            <w:tcW w:w="80" w:type="dxa"/>
            <w:vAlign w:val="bottom"/>
            <w:shd w:val="clear" w:color="auto" w:fill="CCEEFF"/>
          </w:tcPr>
          <w:p>
            <w:pPr>
              <w:spacing w:after="0"/>
              <w:rPr>
                <w:sz w:val="22"/>
                <w:szCs w:val="22"/>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Plus: Offering costs paid in advance, excluded from tangible book value</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166,001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166,001</w:t>
            </w:r>
          </w:p>
        </w:tc>
        <w:tc>
          <w:tcPr>
            <w:tcW w:w="8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Less: Deferred underwriting commissions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(8,750,000)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(10,062,500)</w:t>
            </w:r>
          </w:p>
        </w:tc>
      </w:tr>
      <w:tr>
        <w:trPr>
          <w:trHeight w:val="270"/>
        </w:trPr>
        <w:tc>
          <w:tcPr>
            <w:tcW w:w="7640" w:type="dxa"/>
            <w:vAlign w:val="bottom"/>
          </w:tcPr>
          <w:p>
            <w:pPr>
              <w:spacing w:after="0" w:line="270" w:lineRule="exact"/>
              <w:rPr>
                <w:sz w:val="20"/>
                <w:szCs w:val="20"/>
                <w:color w:val="auto"/>
              </w:rPr>
            </w:pPr>
            <w:r>
              <w:rPr>
                <w:rFonts w:ascii="Arial" w:cs="Arial" w:eastAsia="Arial" w:hAnsi="Arial"/>
                <w:sz w:val="18"/>
                <w:szCs w:val="18"/>
                <w:color w:val="auto"/>
              </w:rPr>
              <w:t xml:space="preserve">Less: Proceeds held in trust subject to redemption </w:t>
            </w:r>
            <w:r>
              <w:rPr>
                <w:rFonts w:ascii="Arial" w:cs="Arial" w:eastAsia="Arial" w:hAnsi="Arial"/>
                <w:sz w:val="29"/>
                <w:szCs w:val="29"/>
                <w:color w:val="auto"/>
                <w:vertAlign w:val="superscript"/>
              </w:rPr>
              <w:t>(2)</w:t>
            </w: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1"/>
              <w:spacing w:after="0"/>
              <w:rPr>
                <w:sz w:val="20"/>
                <w:szCs w:val="20"/>
                <w:color w:val="auto"/>
              </w:rPr>
            </w:pPr>
            <w:r>
              <w:rPr>
                <w:rFonts w:ascii="Arial" w:cs="Arial" w:eastAsia="Arial" w:hAnsi="Arial"/>
                <w:sz w:val="18"/>
                <w:szCs w:val="18"/>
                <w:color w:val="auto"/>
                <w:w w:val="98"/>
              </w:rPr>
              <w:t>(253,750,000)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(291,812,500)</w:t>
            </w:r>
          </w:p>
        </w:tc>
      </w:tr>
      <w:tr>
        <w:trPr>
          <w:trHeight w:val="223"/>
        </w:trPr>
        <w:tc>
          <w:tcPr>
            <w:tcW w:w="764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(7,575,500</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(8,888,000</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7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4"/>
        </w:trPr>
        <w:tc>
          <w:tcPr>
            <w:tcW w:w="7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5"/>
              </w:rPr>
              <w:t>Without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rPr>
              <w:t>With</w:t>
            </w:r>
          </w:p>
        </w:tc>
      </w:tr>
      <w:tr>
        <w:trPr>
          <w:trHeight w:val="216"/>
        </w:trPr>
        <w:tc>
          <w:tcPr>
            <w:tcW w:w="7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3"/>
              </w:rPr>
              <w:t>Over-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Over-</w:t>
            </w:r>
          </w:p>
        </w:tc>
      </w:tr>
      <w:tr>
        <w:trPr>
          <w:trHeight w:val="234"/>
        </w:trPr>
        <w:tc>
          <w:tcPr>
            <w:tcW w:w="7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center"/>
              <w:ind w:right="221"/>
              <w:spacing w:after="0"/>
              <w:rPr>
                <w:sz w:val="20"/>
                <w:szCs w:val="20"/>
                <w:color w:val="auto"/>
              </w:rPr>
            </w:pPr>
            <w:r>
              <w:rPr>
                <w:rFonts w:ascii="Arial" w:cs="Arial" w:eastAsia="Arial" w:hAnsi="Arial"/>
                <w:sz w:val="18"/>
                <w:szCs w:val="18"/>
                <w:b w:val="1"/>
                <w:bCs w:val="1"/>
                <w:color w:val="auto"/>
                <w:w w:val="92"/>
              </w:rPr>
              <w:t>allotment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allotment</w:t>
            </w:r>
          </w:p>
        </w:tc>
      </w:tr>
      <w:tr>
        <w:trPr>
          <w:trHeight w:val="210"/>
        </w:trPr>
        <w:tc>
          <w:tcPr>
            <w:tcW w:w="7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Shares of Class B common stock outstanding prior to this offering</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9,487,500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9,487,500</w:t>
            </w:r>
          </w:p>
        </w:tc>
        <w:tc>
          <w:tcPr>
            <w:tcW w:w="8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Shares of Class B common stock forfeited if over-allotment is not exercised</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(1,237,500)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Shares of Class A common stock included in the units offered</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25,000,000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28,750,000</w:t>
            </w:r>
          </w:p>
        </w:tc>
        <w:tc>
          <w:tcPr>
            <w:tcW w:w="8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included in the placement units issued</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804,500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898,250</w:t>
            </w:r>
          </w:p>
        </w:tc>
        <w:tc>
          <w:tcPr>
            <w:tcW w:w="8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Representative Shares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375,000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431,250</w:t>
            </w:r>
          </w:p>
        </w:tc>
        <w:tc>
          <w:tcPr>
            <w:tcW w:w="80" w:type="dxa"/>
            <w:vAlign w:val="bottom"/>
          </w:tcPr>
          <w:p>
            <w:pPr>
              <w:spacing w:after="0"/>
              <w:rPr>
                <w:sz w:val="18"/>
                <w:szCs w:val="18"/>
                <w:color w:val="auto"/>
              </w:rPr>
            </w:pPr>
          </w:p>
        </w:tc>
      </w:tr>
      <w:tr>
        <w:trPr>
          <w:trHeight w:val="230"/>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Less: Shares subject to redemption</w:t>
            </w: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(25,000,000)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(28,750,000)</w:t>
            </w:r>
          </w:p>
        </w:tc>
      </w:tr>
      <w:tr>
        <w:trPr>
          <w:trHeight w:val="223"/>
        </w:trPr>
        <w:tc>
          <w:tcPr>
            <w:tcW w:w="7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9,429,500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10,817,000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34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Expenses applied against gross proceeds include offering expenses of $645,000 and underwriting commissions of $2,500,000 (or $2,875,000 if the over-allotment option is exercised in full) (excluding deferred underwriting fees). See “Use of Proceeds.”</w:t>
      </w:r>
    </w:p>
    <w:p>
      <w:pPr>
        <w:spacing w:after="0" w:line="170" w:lineRule="exact"/>
        <w:rPr>
          <w:rFonts w:ascii="Arial" w:cs="Arial" w:eastAsia="Arial" w:hAnsi="Arial"/>
          <w:sz w:val="18"/>
          <w:szCs w:val="18"/>
          <w:color w:val="auto"/>
        </w:rPr>
      </w:pPr>
    </w:p>
    <w:p>
      <w:pPr>
        <w:ind w:left="340" w:right="160" w:hanging="332"/>
        <w:spacing w:after="0" w:line="293"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we seek stockholder approval of our initial business combination and we do not conduct redemptions in connection with our initial business combination pursuant to the tender offer rules, our sponsor, initial stockholders, directors, executive officers, advisors or their affiliates may purchase public shares or public warrants in privately negotiated transactions or in the open market either prior to or following the completion of our initial business combination. In the event of any such purchases of our shares prior to the completion of our initial business combination, the number of shares of Class A common stock subject to redemption will be reduced by the amount of any such purchases, increasing the pro forma net tangible book value per share. See “Proposed Business — Effecting Our Initial Business Combination — Permitted Purchases of Our Securities.”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right="520" w:firstLine="324"/>
        <w:spacing w:after="0" w:line="286" w:lineRule="auto"/>
        <w:rPr>
          <w:sz w:val="20"/>
          <w:szCs w:val="20"/>
          <w:color w:val="auto"/>
        </w:rPr>
      </w:pPr>
      <w:r>
        <w:rPr>
          <w:rFonts w:ascii="Arial" w:cs="Arial" w:eastAsia="Arial" w:hAnsi="Arial"/>
          <w:sz w:val="17"/>
          <w:szCs w:val="17"/>
          <w:color w:val="auto"/>
        </w:rPr>
        <w:t>The following table sets forth our capitalization at September 30, 2021 and as adjusted to give effect to the filing of our amended and restated certificates of incorporation, the sale of our units in this offering and the sale of the placement units and the application of the estimated net proceeds derived from the sale of such securities, assuming no exercise by the underwriters of their over-allotment option: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7"/>
          </w:tcPr>
          <w:p>
            <w:pPr>
              <w:jc w:val="right"/>
              <w:ind w:right="700"/>
              <w:spacing w:after="0"/>
              <w:rPr>
                <w:sz w:val="20"/>
                <w:szCs w:val="20"/>
                <w:color w:val="auto"/>
              </w:rPr>
            </w:pPr>
            <w:r>
              <w:rPr>
                <w:rFonts w:ascii="Arial" w:cs="Arial" w:eastAsia="Arial" w:hAnsi="Arial"/>
                <w:sz w:val="18"/>
                <w:szCs w:val="18"/>
                <w:b w:val="1"/>
                <w:bCs w:val="1"/>
                <w:color w:val="auto"/>
              </w:rPr>
              <w:t>September 30, 2021</w:t>
            </w:r>
          </w:p>
        </w:tc>
      </w:tr>
      <w:tr>
        <w:trPr>
          <w:trHeight w:val="195"/>
        </w:trPr>
        <w:tc>
          <w:tcPr>
            <w:tcW w:w="8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30"/>
              <w:spacing w:after="0" w:line="195" w:lineRule="exact"/>
              <w:rPr>
                <w:sz w:val="20"/>
                <w:szCs w:val="20"/>
                <w:color w:val="auto"/>
              </w:rPr>
            </w:pPr>
            <w:r>
              <w:rPr>
                <w:rFonts w:ascii="Arial" w:cs="Arial" w:eastAsia="Arial" w:hAnsi="Arial"/>
                <w:sz w:val="18"/>
                <w:szCs w:val="18"/>
                <w:b w:val="1"/>
                <w:bCs w:val="1"/>
                <w:color w:val="auto"/>
              </w:rPr>
              <w:t>As</w:t>
            </w:r>
          </w:p>
        </w:tc>
        <w:tc>
          <w:tcPr>
            <w:tcW w:w="100" w:type="dxa"/>
            <w:vAlign w:val="bottom"/>
            <w:gridSpan w:val="2"/>
          </w:tcPr>
          <w:p>
            <w:pPr>
              <w:spacing w:after="0"/>
              <w:rPr>
                <w:sz w:val="16"/>
                <w:szCs w:val="16"/>
                <w:color w:val="auto"/>
              </w:rPr>
            </w:pPr>
          </w:p>
        </w:tc>
      </w:tr>
      <w:tr>
        <w:trPr>
          <w:trHeight w:val="271"/>
        </w:trPr>
        <w:tc>
          <w:tcPr>
            <w:tcW w:w="828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Actual</w:t>
            </w:r>
          </w:p>
        </w:tc>
        <w:tc>
          <w:tcPr>
            <w:tcW w:w="22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90"/>
              <w:spacing w:after="0" w:line="271" w:lineRule="exact"/>
              <w:rPr>
                <w:sz w:val="20"/>
                <w:szCs w:val="20"/>
                <w:color w:val="auto"/>
              </w:rPr>
            </w:pPr>
            <w:r>
              <w:rPr>
                <w:rFonts w:ascii="Arial" w:cs="Arial" w:eastAsia="Arial" w:hAnsi="Arial"/>
                <w:sz w:val="18"/>
                <w:szCs w:val="18"/>
                <w:b w:val="1"/>
                <w:bCs w:val="1"/>
                <w:color w:val="auto"/>
                <w:w w:val="89"/>
              </w:rPr>
              <w:t>Adjusted</w:t>
            </w:r>
            <w:r>
              <w:rPr>
                <w:rFonts w:ascii="Arial" w:cs="Arial" w:eastAsia="Arial" w:hAnsi="Arial"/>
                <w:sz w:val="29"/>
                <w:szCs w:val="29"/>
                <w:b w:val="1"/>
                <w:bCs w:val="1"/>
                <w:color w:val="auto"/>
                <w:w w:val="89"/>
                <w:vertAlign w:val="superscript"/>
              </w:rPr>
              <w:t>(3)</w:t>
            </w:r>
          </w:p>
        </w:tc>
        <w:tc>
          <w:tcPr>
            <w:tcW w:w="100" w:type="dxa"/>
            <w:vAlign w:val="bottom"/>
            <w:tcBorders>
              <w:bottom w:val="single" w:sz="8" w:color="CCEEFF"/>
            </w:tcBorders>
            <w:gridSpan w:val="2"/>
          </w:tcPr>
          <w:p>
            <w:pPr>
              <w:spacing w:after="0"/>
              <w:rPr>
                <w:sz w:val="23"/>
                <w:szCs w:val="23"/>
                <w:color w:val="auto"/>
              </w:rPr>
            </w:pPr>
          </w:p>
        </w:tc>
      </w:tr>
      <w:tr>
        <w:trPr>
          <w:trHeight w:val="237"/>
        </w:trPr>
        <w:tc>
          <w:tcPr>
            <w:tcW w:w="828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Notes payable to related party</w:t>
            </w:r>
            <w:r>
              <w:rPr>
                <w:rFonts w:ascii="Arial" w:cs="Arial" w:eastAsia="Arial" w:hAnsi="Arial"/>
                <w:sz w:val="27"/>
                <w:szCs w:val="27"/>
                <w:color w:val="auto"/>
                <w:vertAlign w:val="superscript"/>
              </w:rPr>
              <w:t>(1)</w:t>
            </w:r>
          </w:p>
        </w:tc>
        <w:tc>
          <w:tcPr>
            <w:tcW w:w="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100,091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r>
      <w:tr>
        <w:trPr>
          <w:trHeight w:val="229"/>
        </w:trPr>
        <w:tc>
          <w:tcPr>
            <w:tcW w:w="8280" w:type="dxa"/>
            <w:vAlign w:val="bottom"/>
          </w:tcPr>
          <w:p>
            <w:pPr>
              <w:spacing w:after="0"/>
              <w:rPr>
                <w:sz w:val="20"/>
                <w:szCs w:val="20"/>
                <w:color w:val="auto"/>
              </w:rPr>
            </w:pPr>
            <w:r>
              <w:rPr>
                <w:rFonts w:ascii="Arial" w:cs="Arial" w:eastAsia="Arial" w:hAnsi="Arial"/>
                <w:sz w:val="18"/>
                <w:szCs w:val="18"/>
                <w:color w:val="auto"/>
              </w:rPr>
              <w:t>Deferred underwriting commissions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8,750,000</w:t>
            </w:r>
          </w:p>
        </w:tc>
        <w:tc>
          <w:tcPr>
            <w:tcW w:w="80" w:type="dxa"/>
            <w:vAlign w:val="bottom"/>
          </w:tcPr>
          <w:p>
            <w:pPr>
              <w:spacing w:after="0"/>
              <w:rPr>
                <w:sz w:val="19"/>
                <w:szCs w:val="19"/>
                <w:color w:val="auto"/>
              </w:rPr>
            </w:pPr>
          </w:p>
        </w:tc>
      </w:tr>
      <w:tr>
        <w:trPr>
          <w:trHeight w:val="185"/>
        </w:trPr>
        <w:tc>
          <w:tcPr>
            <w:tcW w:w="8280" w:type="dxa"/>
            <w:vAlign w:val="bottom"/>
            <w:tcBorders>
              <w:top w:val="single" w:sz="8" w:color="CCEEFF"/>
            </w:tcBorders>
            <w:shd w:val="clear" w:color="auto" w:fill="CCEEFF"/>
          </w:tcPr>
          <w:p>
            <w:pPr>
              <w:spacing w:after="0" w:line="185" w:lineRule="exact"/>
              <w:rPr>
                <w:sz w:val="20"/>
                <w:szCs w:val="20"/>
                <w:color w:val="auto"/>
              </w:rPr>
            </w:pPr>
            <w:r>
              <w:rPr>
                <w:rFonts w:ascii="Arial" w:cs="Arial" w:eastAsia="Arial" w:hAnsi="Arial"/>
                <w:sz w:val="18"/>
                <w:szCs w:val="18"/>
                <w:color w:val="auto"/>
                <w:w w:val="97"/>
              </w:rPr>
              <w:t>Class A common stock subject to possible redemption; -0- and 25,000,000 shares, actual and as Adjusted,</w:t>
            </w: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67"/>
        </w:trPr>
        <w:tc>
          <w:tcPr>
            <w:tcW w:w="8280" w:type="dxa"/>
            <w:vAlign w:val="bottom"/>
            <w:shd w:val="clear" w:color="auto" w:fill="CCEEFF"/>
          </w:tcPr>
          <w:p>
            <w:pPr>
              <w:ind w:left="180"/>
              <w:spacing w:after="0" w:line="267" w:lineRule="exact"/>
              <w:rPr>
                <w:sz w:val="20"/>
                <w:szCs w:val="20"/>
                <w:color w:val="auto"/>
              </w:rPr>
            </w:pPr>
            <w:r>
              <w:rPr>
                <w:rFonts w:ascii="Arial" w:cs="Arial" w:eastAsia="Arial" w:hAnsi="Arial"/>
                <w:sz w:val="18"/>
                <w:szCs w:val="18"/>
                <w:color w:val="auto"/>
              </w:rPr>
              <w:t>respectively, are subject to possible redemption, respectively</w:t>
            </w:r>
            <w:r>
              <w:rPr>
                <w:rFonts w:ascii="Arial" w:cs="Arial" w:eastAsia="Arial" w:hAnsi="Arial"/>
                <w:sz w:val="29"/>
                <w:szCs w:val="29"/>
                <w:color w:val="auto"/>
                <w:vertAlign w:val="superscript"/>
              </w:rPr>
              <w:t>(2)</w:t>
            </w:r>
          </w:p>
        </w:tc>
        <w:tc>
          <w:tcPr>
            <w:tcW w:w="1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253,750,000</w:t>
            </w:r>
          </w:p>
        </w:tc>
        <w:tc>
          <w:tcPr>
            <w:tcW w:w="80" w:type="dxa"/>
            <w:vAlign w:val="bottom"/>
            <w:shd w:val="clear" w:color="auto" w:fill="CCEEFF"/>
          </w:tcPr>
          <w:p>
            <w:pPr>
              <w:spacing w:after="0"/>
              <w:rPr>
                <w:sz w:val="23"/>
                <w:szCs w:val="23"/>
                <w:color w:val="auto"/>
              </w:rPr>
            </w:pPr>
          </w:p>
        </w:tc>
      </w:tr>
      <w:tr>
        <w:trPr>
          <w:trHeight w:val="202"/>
        </w:trPr>
        <w:tc>
          <w:tcPr>
            <w:tcW w:w="8280" w:type="dxa"/>
            <w:vAlign w:val="bottom"/>
          </w:tcPr>
          <w:p>
            <w:pPr>
              <w:spacing w:after="0" w:line="201" w:lineRule="exact"/>
              <w:rPr>
                <w:sz w:val="20"/>
                <w:szCs w:val="20"/>
                <w:color w:val="auto"/>
              </w:rPr>
            </w:pPr>
            <w:r>
              <w:rPr>
                <w:rFonts w:ascii="Arial" w:cs="Arial" w:eastAsia="Arial" w:hAnsi="Arial"/>
                <w:sz w:val="18"/>
                <w:szCs w:val="18"/>
                <w:color w:val="auto"/>
                <w:w w:val="94"/>
              </w:rPr>
              <w:t>Preferred stock, $0.0001 par value, 1,000,000 shares authorized; none issued and outstanding, actual and as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280" w:type="dxa"/>
            <w:vAlign w:val="bottom"/>
          </w:tcPr>
          <w:p>
            <w:pPr>
              <w:ind w:left="180"/>
              <w:spacing w:after="0"/>
              <w:rPr>
                <w:sz w:val="20"/>
                <w:szCs w:val="20"/>
                <w:color w:val="auto"/>
              </w:rPr>
            </w:pPr>
            <w:r>
              <w:rPr>
                <w:rFonts w:ascii="Arial" w:cs="Arial" w:eastAsia="Arial" w:hAnsi="Arial"/>
                <w:sz w:val="18"/>
                <w:szCs w:val="18"/>
                <w:color w:val="auto"/>
              </w:rPr>
              <w:t>adjusted</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02"/>
        </w:trPr>
        <w:tc>
          <w:tcPr>
            <w:tcW w:w="8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Class A common stock, $0.0001 par value, 280,000,000 shares authorized, 0 and 1,179,500 shares issued and</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actual and as adjusted, respectively</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r>
      <w:tr>
        <w:trPr>
          <w:trHeight w:val="205"/>
        </w:trPr>
        <w:tc>
          <w:tcPr>
            <w:tcW w:w="8280" w:type="dxa"/>
            <w:vAlign w:val="bottom"/>
          </w:tcPr>
          <w:p>
            <w:pPr>
              <w:spacing w:after="0" w:line="206" w:lineRule="exact"/>
              <w:rPr>
                <w:sz w:val="20"/>
                <w:szCs w:val="20"/>
                <w:color w:val="auto"/>
              </w:rPr>
            </w:pPr>
            <w:r>
              <w:rPr>
                <w:rFonts w:ascii="Arial" w:cs="Arial" w:eastAsia="Arial" w:hAnsi="Arial"/>
                <w:sz w:val="18"/>
                <w:szCs w:val="18"/>
                <w:color w:val="auto"/>
                <w:w w:val="90"/>
              </w:rPr>
              <w:t>Class B common stock, $0.0001 par value, 20,000,000 shares authorized, 9,487,500 and 8,250,000 shares issued</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67"/>
        </w:trPr>
        <w:tc>
          <w:tcPr>
            <w:tcW w:w="8280" w:type="dxa"/>
            <w:vAlign w:val="bottom"/>
          </w:tcPr>
          <w:p>
            <w:pPr>
              <w:ind w:left="180"/>
              <w:spacing w:after="0" w:line="267" w:lineRule="exact"/>
              <w:rPr>
                <w:sz w:val="20"/>
                <w:szCs w:val="20"/>
                <w:color w:val="auto"/>
              </w:rPr>
            </w:pPr>
            <w:r>
              <w:rPr>
                <w:rFonts w:ascii="Arial" w:cs="Arial" w:eastAsia="Arial" w:hAnsi="Arial"/>
                <w:sz w:val="18"/>
                <w:szCs w:val="18"/>
                <w:color w:val="auto"/>
              </w:rPr>
              <w:t>and outstanding, actual and as adjusted, respectively</w:t>
            </w:r>
            <w:r>
              <w:rPr>
                <w:rFonts w:ascii="Arial" w:cs="Arial" w:eastAsia="Arial" w:hAnsi="Arial"/>
                <w:sz w:val="29"/>
                <w:szCs w:val="29"/>
                <w:color w:val="auto"/>
                <w:vertAlign w:val="superscript"/>
              </w:rPr>
              <w:t>(3)</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949</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825</w:t>
            </w: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24,051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29"/>
        </w:trPr>
        <w:tc>
          <w:tcPr>
            <w:tcW w:w="8280" w:type="dxa"/>
            <w:vAlign w:val="bottom"/>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(7,576,443)</w:t>
            </w:r>
          </w:p>
        </w:tc>
      </w:tr>
      <w:tr>
        <w:trPr>
          <w:trHeight w:val="210"/>
        </w:trPr>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(7,575,500</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23"/>
        </w:trPr>
        <w:tc>
          <w:tcPr>
            <w:tcW w:w="8280" w:type="dxa"/>
            <w:vAlign w:val="bottom"/>
          </w:tcPr>
          <w:p>
            <w:pPr>
              <w:spacing w:after="0"/>
              <w:rPr>
                <w:sz w:val="20"/>
                <w:szCs w:val="20"/>
                <w:color w:val="auto"/>
              </w:rPr>
            </w:pPr>
            <w:r>
              <w:rPr>
                <w:rFonts w:ascii="Arial" w:cs="Arial" w:eastAsia="Arial" w:hAnsi="Arial"/>
                <w:sz w:val="18"/>
                <w:szCs w:val="18"/>
                <w:color w:val="auto"/>
              </w:rPr>
              <w:t>Total capitalization</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124,591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254,924,500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0" w:hanging="332"/>
        <w:spacing w:after="0" w:line="286" w:lineRule="auto"/>
        <w:tabs>
          <w:tab w:leader="none" w:pos="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sponsor has agreed to loan us up to $300,000 to be used for a portion of the expenses of this offering. The “as adjusted” information gives effect to the repayment of any loans made under this note out of the proceeds from this offering and the sale of the placement units. As of September 30, 2021, we had borrowed $100,091 (of up to $300,000 available to us) under the promissory note with our sponsor.</w:t>
      </w:r>
    </w:p>
    <w:p>
      <w:pPr>
        <w:spacing w:after="0" w:line="165" w:lineRule="exact"/>
        <w:rPr>
          <w:rFonts w:ascii="Arial" w:cs="Arial" w:eastAsia="Arial" w:hAnsi="Arial"/>
          <w:sz w:val="17"/>
          <w:szCs w:val="17"/>
          <w:color w:val="auto"/>
        </w:rPr>
      </w:pPr>
    </w:p>
    <w:p>
      <w:pPr>
        <w:ind w:left="340" w:right="120" w:hanging="332"/>
        <w:spacing w:after="0" w:line="273" w:lineRule="auto"/>
        <w:tabs>
          <w:tab w:leader="none" w:pos="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Upon the completion of our initial business combination, we will provide our stockholders with the opportunity to redeem their public shares for cash up to $10.15 per share or equal to their pro rata share of the aggregate amount then on deposit in the trust account as of two business days prior to the consummation of the initial business combination including interest earned on the funds held in the trust account and not previously released to us to pay our taxes, subject to the limitations described herein whereby redemptions cannot cause our Class A common stock to become a “penny stock” either prior to or upon consummation of an initial business combination and any limitations (including, but not limited to, cash requirements) created by the terms of the proposed initial business combination.</w:t>
      </w:r>
    </w:p>
    <w:p>
      <w:pPr>
        <w:spacing w:after="0" w:line="177" w:lineRule="exact"/>
        <w:rPr>
          <w:rFonts w:ascii="Arial" w:cs="Arial" w:eastAsia="Arial" w:hAnsi="Arial"/>
          <w:sz w:val="17"/>
          <w:szCs w:val="17"/>
          <w:color w:val="auto"/>
        </w:rPr>
      </w:pPr>
    </w:p>
    <w:p>
      <w:pPr>
        <w:ind w:left="340" w:right="160" w:hanging="332"/>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Actual share amount is prior to any forfeiture of founder shares held by our initial stockholders, including the representative, and as adjusted amount assumes no exercise of the underwriters’ over-allotment option and includes the representative shares.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are a newly-organized blank check company incorporated as a Delaware corporation and formed for the purpose of effecting a merger, capital stock exchange, asset acquisition, stock purchase, reorganization or similar business combination with one or more businesses. While our efforts to identify a target business may span many industries and regions worldwide, we intend to focus our search for prospects within the technology industry in the Americas. We have not selected any specific business combination target and we have not, nor has anyone on our behalf, initiated any substantive discussions, directly or indirectly, with any business combination target. We intend to effectuate our initial business combination using cash from the proceeds of this offering and the sale of the placement units, the proceeds of the sale of our shares in connection with our initial business combination (including pursuant to backstop agreements we may enter into following the consummation of this offering or otherwise), shares issued to the owners of the target, debt issued to bank or other lenders or the owners of the target, or a combination of the foregoing.</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issuance of additional shares in connection with an initial business combination to the owners of the target or other investors:</w:t>
      </w:r>
    </w:p>
    <w:p>
      <w:pPr>
        <w:spacing w:after="0" w:line="225" w:lineRule="exact"/>
        <w:rPr>
          <w:sz w:val="20"/>
          <w:szCs w:val="20"/>
          <w:color w:val="auto"/>
        </w:rPr>
      </w:pPr>
    </w:p>
    <w:p>
      <w:pPr>
        <w:ind w:left="660" w:right="60" w:hanging="328"/>
        <w:spacing w:after="0" w:line="34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may significantly dilute the equity interest of investors in this offering, which dilution would increase if the anti-dilution provisions in the Class B common stock resulted in the issuance of Class A shares on a greater than one-to-one basis upon conversion of the Class B common stock;</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may subordinate the rights of holders of our common stock if preferred stock is issued with rights senior to those afforded our common stock;</w:t>
      </w:r>
    </w:p>
    <w:p>
      <w:pPr>
        <w:spacing w:after="0" w:line="248" w:lineRule="exact"/>
        <w:rPr>
          <w:rFonts w:ascii="Arial" w:cs="Arial" w:eastAsia="Arial" w:hAnsi="Arial"/>
          <w:sz w:val="16"/>
          <w:szCs w:val="16"/>
          <w:color w:val="auto"/>
        </w:rPr>
      </w:pPr>
    </w:p>
    <w:p>
      <w:pPr>
        <w:ind w:left="660" w:right="40" w:hanging="328"/>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could cause a change in control if a substantial number of shares of our common stock is issued, which may affect, among other things, our ability to use our net operating loss carry forwards, if any, and could result in the resignation or removal of our present officers and directors;</w:t>
      </w:r>
    </w:p>
    <w:p>
      <w:pPr>
        <w:spacing w:after="0" w:line="146" w:lineRule="exact"/>
        <w:rPr>
          <w:rFonts w:ascii="Arial" w:cs="Arial" w:eastAsia="Arial" w:hAnsi="Arial"/>
          <w:sz w:val="17"/>
          <w:szCs w:val="17"/>
          <w:color w:val="auto"/>
        </w:rPr>
      </w:pPr>
    </w:p>
    <w:p>
      <w:pPr>
        <w:ind w:left="660" w:right="3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stock ownership or voting rights of a person seeking to obtain control of us;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common stock and/or warrants.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Similarly, if we issue debt securities or otherwise incur significant debt to bank or other lenders or the owners of a target, it could result in:</w:t>
      </w:r>
    </w:p>
    <w:p>
      <w:pPr>
        <w:spacing w:after="0" w:line="237"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default and foreclosure on our assets if our operating revenues after an initial business combination are insufficient to repay our debt obligations;</w:t>
      </w:r>
    </w:p>
    <w:p>
      <w:pPr>
        <w:spacing w:after="0" w:line="248" w:lineRule="exact"/>
        <w:rPr>
          <w:rFonts w:ascii="Arial" w:cs="Arial" w:eastAsia="Arial" w:hAnsi="Arial"/>
          <w:sz w:val="16"/>
          <w:szCs w:val="16"/>
          <w:color w:val="auto"/>
        </w:rPr>
      </w:pPr>
    </w:p>
    <w:p>
      <w:pPr>
        <w:ind w:left="660" w:right="540" w:hanging="328"/>
        <w:spacing w:after="0" w:line="342"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6" w:name="page87"/>
    <w:bookmarkEnd w:id="86"/>
    <w:p>
      <w:pPr>
        <w:ind w:left="660" w:right="260" w:hanging="328"/>
        <w:spacing w:after="0" w:line="342"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using a substantial portion of our cash flow to pay principal and interest on our debt, which will reduce the funds available for dividends on our common stock if declared, our ability to pay expenses, make capital expenditures and acquisitions, and fund other general corporate purposes;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25" w:lineRule="exact"/>
        <w:rPr>
          <w:rFonts w:ascii="Arial" w:cs="Arial" w:eastAsia="Arial" w:hAnsi="Arial"/>
          <w:sz w:val="18"/>
          <w:szCs w:val="18"/>
          <w:color w:val="auto"/>
        </w:rPr>
      </w:pPr>
    </w:p>
    <w:p>
      <w:pPr>
        <w:ind w:left="660" w:right="74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and execution of our strategy;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purposes and other disadvantages compared to our competitors who have less debt.</w:t>
      </w:r>
    </w:p>
    <w:p>
      <w:pPr>
        <w:spacing w:after="0" w:line="225"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As indicated in the accompanying financial statements, at September 30, 2021, we had $25,100 cash and deferred offering costs of $166,001. Further, we expect to continue to incur significant costs in the pursuit of our initial business combination plans. We cannot assure you that our plans to raise capital or to complete our initial business combination will be successful.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expenses as we conduct due diligence on prospective business combination candidates. We expect our expenses to increase substantially after the closing of this offering.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As indicated in the accompanying financial statements, at September 30, 2021, we had cash of $25,100 and a working capital deficit of $141,501. Further, we have incurred and expect to continue to incur significant costs in pursuit of our financing and acquisition plans. We cannot assure you that our plans to raise capital or to consummate an initial business combination will be successful. These factors, among others, raise substantial doubt about our ability to continue as a going concern.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liquidity needs have been satisfied prior to the completion of this offering through a capital contribution from our sponsor of $25,000 for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founder shares and up to $300,000 in loans available from our sponsor under an unsecured promissory note. We estimate that the net proceeds from (i)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sale of the units in this offering, after deducting offering expenses of approximately $645,000, underwriting commissions of $2,500,000 ($2,875,000 if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underwriters’ over-allotment option is exercised in full) (excluding deferred underwriting commissions of $8,750,000 (or $10,062,500 if the underwriters’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over-allotment option is exercised in full)), and (ii) the sale of the placement units for a purchase price of $8,045,000 (or $8,982,500 if the underwriters’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over-allotment option is exercised in full), will be $254,900,000 (or $292,962,500 if the underwriters’ over-allotment option is exercised in full). Of this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amount, $253,750,000 (or $291,812,500 if the underwriters’ over-allotment option is exercised in full) will be held in the trust account, which includes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$8,750,000 (or $10,062,500 if the underwriters’ over-allotment option is exercised in full) of deferred underwriting commissions. The proceeds held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trust account will be invested only in U.S. government treasury obligations with a maturity of 185 days or less or in money market funds meeting certain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conditions under Rule 2a-7 under the Investment Company Act which invest only in direct U.S. government treasury obligations. The remaining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approximately $1,150,000 will not be held in the trust account. In the event that our offering expenses exceed our estimate of $645,000, we may fund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excess with funds not to be held in the trust account. In such case, the amount of funds we intend to be held outside the trust account would decrease by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corresponding amount. Conversely, in the event that the offering expenses are less than our estimate of $645,000, the amount of funds we intend to be held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outside the trust account would increase by a corresponding amount.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7" w:name="page88"/>
    <w:bookmarkEnd w:id="87"/>
    <w:p>
      <w:pPr>
        <w:ind w:left="340"/>
        <w:spacing w:after="0"/>
        <w:rPr>
          <w:sz w:val="20"/>
          <w:szCs w:val="20"/>
          <w:color w:val="auto"/>
        </w:rPr>
      </w:pPr>
      <w:r>
        <w:rPr>
          <w:rFonts w:ascii="Arial" w:cs="Arial" w:eastAsia="Arial" w:hAnsi="Arial"/>
          <w:sz w:val="16"/>
          <w:szCs w:val="16"/>
          <w:color w:val="auto"/>
        </w:rPr>
        <w:t>We intend to use substantially all of the funds held in the trust account, including any amounts representing interest earned on the trust account (less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deferred underwriting commissions), to complete our initial business combination. We may withdraw interest to pay taxes. We estimate our annual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franchise tax obligations, based on the number of shares of our common stock authorized and outstanding after the completion of this offering, to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$200,000, which is the maximum amount of annual franchise taxes payable by us as a Delaware corporation per annum, which we may pay from funds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this offering held outside of the trust account or from interest earned on the funds held in our trust account and released to us for this purpose.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annual income tax obligations will depend on the amount of interest and other income earned on the amounts held in the trust account. We expect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earned on the amount in the trust account will be sufficient to pay our income taxes. To the extent that our capital stock or debt is used, in whole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part, as consideration to complete our initial business combination, the remaining proceeds held in the trust account will be used as working capital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finance the operations of the target business or businesses, make other acquisitions and pursue our growth strategies.</w:t>
      </w:r>
    </w:p>
    <w:p>
      <w:pPr>
        <w:spacing w:after="0" w:line="211"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Prior to the completion of our initial business combination, we will have available to us the approximately $1,150,000 of proceeds held outside the trust account. We will use these funds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an initial business combination.</w:t>
      </w:r>
    </w:p>
    <w:p>
      <w:pPr>
        <w:spacing w:after="0" w:line="157"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order to fund working capital deficiencies or finance transaction costs in connection with an intended initial business combination, our sponsor or an affiliate of our sponsor or certain of our officers and directors may, but are not obligated to, loan us funds on a non-interest bearing basis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Up to $1,500,000 of the loans made by our sponsor, our officers and directors, or our or their affiliates to us prior to or in connection with our initial business combination may be convertible into units, at a price of $10.00 per unit at the option of the lender, upon consummation of our initial business combination. The units would be identical to the placement units. Other than as described above, the terms of such loans by our sponsor, our officers and directors or their affiliates, if any, have not been determined and no written agreements exist with respect to such loans. We do not expect to seek loans from parties other than our sponsor, our officers or directors or an affiliate of theirs as we do not believe third parties will be willing to loan such funds and provide a waiver against any and all rights to seek access to funds in our trust account.</w:t>
      </w:r>
    </w:p>
    <w:p>
      <w:pPr>
        <w:spacing w:after="0" w:line="168"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We expect our primary liquidity requirements during that period to include approximately $200,000 for legal, accounting, due diligence, travel and other expenses associated with structuring, negotiating and documenting successful business combinations; $400,000 for director and officer liability insurance premiums; $110,000 for legal and accounting fees related to regulatory reporting requirements; $150,000 for office space, utilities and secretarial and administrative support; and approximately $290,000 for working capital that will be used for miscellaneous expenses and reserves.</w:t>
      </w:r>
    </w:p>
    <w:p>
      <w:pPr>
        <w:spacing w:after="0" w:line="157"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These amounts are estimates and may differ materially from our actual expenses. In addition, we could use a portion of the funds not being placed in trust to pay commitment fees for financing, fees to consultants to assist us with our search for a target business or as a down payment or to fund a “no-shop” provision (a provision designed to keep target businesses from “shopping” around for transactions with other companies or investors on terms more favorable to such target businesses) with respect to a particular proposed initial business combination, although we do not have any current intention to do so. If we entered into an agreement where we paid for the right to receive exclusivity from a target business, the amount that would be used as a down payment or to fund a “no-shop”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8" w:name="page89"/>
    <w:bookmarkEnd w:id="88"/>
    <w:p>
      <w:pPr>
        <w:ind w:right="20" w:firstLine="324"/>
        <w:spacing w:after="0" w:line="269" w:lineRule="auto"/>
        <w:rPr>
          <w:sz w:val="20"/>
          <w:szCs w:val="20"/>
          <w:color w:val="auto"/>
        </w:rPr>
      </w:pPr>
      <w:r>
        <w:rPr>
          <w:rFonts w:ascii="Arial" w:cs="Arial" w:eastAsia="Arial" w:hAnsi="Arial"/>
          <w:sz w:val="17"/>
          <w:szCs w:val="17"/>
          <w:color w:val="auto"/>
        </w:rPr>
        <w:t>We do not believe we will need to raise additional funds following this offering in order to meet the expenditures required for operating our business.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Moreover, we may need to obtain additional financing either to complete our initial business combination or because we become obligated to redeem a significant number of our public shares upon completion of our initial business combination, in which case we may issue additional securities or incur debt in connection with such business combination. In addition, we intend to target businesses larger than we could acquire with the net proceeds of this offering and the sale of the placement units, and may as a result be required to seek additional financing to complete such proposed initial business combination. Subject to compliance with applicable securities laws, we would only complete such financing simultaneously with the 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Controls and Procedures</w:t>
      </w:r>
    </w:p>
    <w:p>
      <w:pPr>
        <w:spacing w:after="0" w:line="22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2022. Only in the event that we are deemed to be a large accelerated filer or an accelerated filer would we be required to comply with the independent registered public accounting firm attestation requirement.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64"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Prior to the closing of this offering, we have not completed an assessment, nor has our independent registered public accounting firm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192"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staffing for financial, accounting and external reporting areas, including segregation of duties;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documentation of processes, assumptions and conclusions underlying significant estimates;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225" w:lineRule="exact"/>
        <w:rPr>
          <w:sz w:val="20"/>
          <w:szCs w:val="20"/>
          <w:color w:val="auto"/>
        </w:rPr>
      </w:pPr>
    </w:p>
    <w:p>
      <w:pPr>
        <w:jc w:val="both"/>
        <w:ind w:right="100" w:firstLine="324"/>
        <w:spacing w:after="0" w:line="279" w:lineRule="auto"/>
        <w:rPr>
          <w:sz w:val="20"/>
          <w:szCs w:val="20"/>
          <w:color w:val="auto"/>
        </w:rPr>
      </w:pPr>
      <w:r>
        <w:rPr>
          <w:rFonts w:ascii="Arial" w:cs="Arial" w:eastAsia="Arial" w:hAnsi="Arial"/>
          <w:sz w:val="17"/>
          <w:szCs w:val="17"/>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71"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Once our management’s report on internal controls is complete, we will retain our independent registered public accounting firm to audit and render an opinion on such report when required by Section 404 of the Sarbanes-Oxley Act. The independent registered public accounting firm may identify additional issues concerning a target business’s internal controls while performing their audit of internal control over financial reporting.</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net proceeds of this offering and the sale of the placement units held in the trust account will be invested in U.S. government treasury bills with a maturity of 185 days or less or in money market funds meeting certain conditions under Rule 2a-7 under the Investment Company Act which invest only in direct U.S. government treasury obligations. Due to the short-term nature of these investments, we believe there will be no associated material exposure to interest rate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On May 21, 2021, our sponsor purchased 8,625,000 founder shares for an aggregate purchase price of $25,000. On September 24, 2021, the Company issued 862,500 shares of Class B common stock in connection with a 1.1 stock split, resulting in an aggregate of 9,487,500 shares of Class B common stock outstanding, or approximately $0.003 per share. The number of founder shares issued was determined based on the expectation that such founder shares would represent 24.81% of the outstanding shares upon completion of this offering (excluding the shares of Class A common stock to be issued to the representative or its designees upon consummation of this offering, the placement units and securities underlying the placement units and assuming the initial stockholders do not purchase units in this offering). The per share purchase price of the founder shares was determined by dividing the amount of cash contributed to the company by the aggregate number of founder shares issued. If we increase or decrease the size of the offering we will effect a stock dividend or a share contribution back to capital or other appropriate mechanism, as applicable, with respect to our Class B common stock immediately prior to the consummation of the offering in such amount as to maintain the ownership of our initial stockholders at 24.81% of the issued and outstanding shares of our common stock (excluding the shares of Class A common stock to be issued to the representative or its designees upon consummation of this offering, the placement units and securities underlying the placement units and assuming the initial stockholders do not purchase units in this offering) upon the consummation of this offering. Up to 1,237,500 founder shares held by our sponsor are subject to forfeiture by our initial stockholders depending on the extent to which the underwriters’ over-allotment option is exercised. The founder shares (including the Class A common stock issuable upon exercise thereof) may not, subject to certain limited exceptions, be transferred, assigned or sold by the holder.</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or directors or our or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18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Prior to the consummation of this offering, our sponsor has agreed to loan us up to $300,000 to be used for a portion of the expenses of this offering. These loans are non-interest bearing, unsecured and are due at the earlier of December 31, 2021 or the closing of this offering. The loan will be repaid upon the closing of this offering out of the $645,000 of offering proceeds that has been allocated to the payment of offering expenses (other than underwriting commissions).</w:t>
      </w:r>
    </w:p>
    <w:p>
      <w:pPr>
        <w:spacing w:after="0" w:line="187"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w:t>
      </w:r>
    </w:p>
    <w:p>
      <w:pPr>
        <w:spacing w:after="0" w:line="157" w:lineRule="exact"/>
        <w:rPr>
          <w:sz w:val="20"/>
          <w:szCs w:val="20"/>
          <w:color w:val="auto"/>
        </w:rPr>
      </w:pPr>
    </w:p>
    <w:p>
      <w:pPr>
        <w:ind w:right="260" w:firstLine="324"/>
        <w:spacing w:after="0" w:line="273" w:lineRule="auto"/>
        <w:rPr>
          <w:sz w:val="20"/>
          <w:szCs w:val="20"/>
          <w:color w:val="auto"/>
        </w:rPr>
      </w:pPr>
      <w:r>
        <w:rPr>
          <w:rFonts w:ascii="Arial" w:cs="Arial" w:eastAsia="Arial" w:hAnsi="Arial"/>
          <w:sz w:val="17"/>
          <w:szCs w:val="17"/>
          <w:color w:val="auto"/>
        </w:rPr>
        <w:t>Up to $1,500,000 of the loans made by our sponsor, our officers and directors, or our or their affiliates to us prior to or in connection with our initial business combination may be convertible into units, at a price of $10.00 per unit at the option of the lender, upon consummation of our initial business combination. The units would be identical to the placement units. Except as described herein, the terms of such loans by our sponsor, our officers and directors, or their affiliates, if any, have not been determined and no written agreements exist with respect to such loans. We do not expect to seek loans from parties other than our sponsor, our officers and directors or an affiliate of theirs as we do not believe third parties will be willing to loan such funds and provide a waiver against any and all rights to seek access to funds in our trust account.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ind w:right="700" w:firstLine="324"/>
        <w:spacing w:after="0" w:line="291" w:lineRule="auto"/>
        <w:rPr>
          <w:sz w:val="20"/>
          <w:szCs w:val="20"/>
          <w:color w:val="auto"/>
        </w:rPr>
      </w:pPr>
      <w:r>
        <w:rPr>
          <w:rFonts w:ascii="Arial" w:cs="Arial" w:eastAsia="Arial" w:hAnsi="Arial"/>
          <w:sz w:val="16"/>
          <w:szCs w:val="16"/>
          <w:color w:val="auto"/>
        </w:rPr>
        <w:t>Our sponsor has agreed to purchase an aggregate of 804,500 placement units at a price of $10.00 per unit for an aggregate purchase price of $8,045,000. If the over-allotment option is exercised in full, the amount of placement units sold will be 898,250 for an aggregate purchase price of</w:t>
      </w:r>
    </w:p>
    <w:p>
      <w:pPr>
        <w:ind w:right="80"/>
        <w:spacing w:after="0" w:line="252" w:lineRule="auto"/>
        <w:rPr>
          <w:sz w:val="20"/>
          <w:szCs w:val="20"/>
          <w:color w:val="auto"/>
        </w:rPr>
      </w:pPr>
      <w:r>
        <w:rPr>
          <w:rFonts w:ascii="Arial" w:cs="Arial" w:eastAsia="Arial" w:hAnsi="Arial"/>
          <w:sz w:val="18"/>
          <w:szCs w:val="18"/>
          <w:color w:val="auto"/>
        </w:rPr>
        <w:t>$8,982,500. Each placement unit consists of one share of Class A common stock and one warrant. Each warrant is exercisable to purchase one whole share of common stock at $11.50 per share. There will be no redemption rights or liquidating distributions from the trust account with respect to the founder shares, the placement shares or the placement warrants, which will expire worthless if we do not consummate a business combination within 15 months from the closing of this offering. The placement units are identical to the units sold in this offering except that the placement units and their component securities will not be transferable, assignable or saleable until 30 days after the consummation of our initial business combination except to permitted transferees, and will be entitled to registration rights.</w:t>
      </w:r>
    </w:p>
    <w:p>
      <w:pPr>
        <w:spacing w:after="0" w:line="194"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Our initial stockholders have agreed to waive their redemption rights with respect to their founder shares and placement shares (i) in connection with the consummation of a business combination, (ii) in connection with a stockholder vote to amend our amended and restated certificate of incorporation to modify the substance or timing of our obligation to allow redemption in connection with our initial business combination or certain amendments to our charter prior thereto or to redeem 100% of our public shares if we do not complete our initial business combination within 15 months from the completion of this offering and (iii) if we fail to consummate a business combination within 15 months from the completion of this offering or if we liquidate prior to the expiration of the allotted time period. However, our initial stockholders will be entitled to redemption rights with respect to any public shares held by them if we fail to consummate a business combination or liquidate within the allotted time period. In addition, the holders of the representative shares have agreed (i) to waive their redemption rights (or right to participate in any tender offer) with respect to such shares in connection with the completion of our initial business combination and (ii) to waive their rights to liquidating distributions from the trust account with respect to such shares if we fail to complete our initial business combination within 15 months from the closing of this offering.</w:t>
      </w:r>
    </w:p>
    <w:p>
      <w:pPr>
        <w:spacing w:after="0" w:line="18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Pursuant to a registration rights agreement we will enter into with our initial stockholders and the representative on or prior to the closing of this offering, we may be required to register certain securities for sale under the Securities Act. These holders, and holders of units issued upon conversion of working capital loans, if any, are entitled under the registration rights agreement to make up to three demands that we register certain of our securities held by them for sale under the Securities Act and to have the securities covered thereby registered for resale pursuant to Rule 415 under the Securities Act. In addition, these holders have the right to include their securities in other registration statements filed by us. We will bear the costs and expenses of filing any such registration statements. See the section of this prospectus entitled “Certain Relationships and Related Party Transactions.”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Commitments and Contractual Obligations; Quarterly Results</w:t>
      </w:r>
    </w:p>
    <w:p>
      <w:pPr>
        <w:spacing w:after="0" w:line="229"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As of September 30, 2021, we did not have any off-balance sheet arrangements as defined in Item 303(a)(4)(ii) of Regulation S-K and did not have any commitments or contractual obligations. No unaudited quarterly operating data is included in this prospectus, as we have conducted no operations to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On April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78"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independent registered public accounting firm’s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report of independent registered public accounting firm providing additional information about the audit and the financial statements (auditor discussion and analysis), and (iv) disclose certain executive compensation related items such as the correlation between executive compensation and performance and comparisons of the Chief Executive Officers’ compensation to median employee compensation. These exemptions will apply for a period of five years following the completion of this offering or until we are no longer an “emerging growth company,” whichever is earlier.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1" w:name="page92"/>
    <w:bookmarkEnd w:id="91"/>
    <w:p>
      <w:pPr>
        <w:jc w:val="center"/>
        <w:ind w:right="-59"/>
        <w:spacing w:after="0"/>
        <w:rPr>
          <w:sz w:val="20"/>
          <w:szCs w:val="20"/>
          <w:color w:val="auto"/>
        </w:rPr>
      </w:pPr>
      <w:r>
        <w:rPr>
          <w:rFonts w:ascii="Arial" w:cs="Arial" w:eastAsia="Arial" w:hAnsi="Arial"/>
          <w:sz w:val="18"/>
          <w:szCs w:val="18"/>
          <w:b w:val="1"/>
          <w:bCs w:val="1"/>
          <w:color w:val="auto"/>
        </w:rPr>
        <w:t>PROPOSED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are a Delaware blank check company incorporated on March 2, 2021, formed for the purpose of effecting a merger, capital stock exchange, asset acquisition, stock purchase, recapitalization, reorganization or similar business combination with one or more businesses, which we refer to throughout this prospectus as our initial business combination. We have not selected any specific business combination target and we have not, nor has anyone on our behalf, initiated any substantive discussions, formal or otherwise, directly or indirectly, with respect to such a transaction, with any business combination target.</w:t>
      </w:r>
    </w:p>
    <w:p>
      <w:pPr>
        <w:spacing w:after="0" w:line="188"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We intend to capitalize on the ability of our management team to identify, acquire and operate a business in any industry or sector; however, given the experience of our founders, we expect to focus on acquiring a business that participates within the retail, lifestyle, hospitality, technology or real estate markets. We believe the experience of our management team makes us well situated to identify, source, negotiate and execute an initial business combination with an attractive company or business within these markets, where our management team has significant expertise.</w:t>
      </w:r>
    </w:p>
    <w:p>
      <w:pPr>
        <w:spacing w:after="0" w:line="171"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We intend to identify and acquire a business that could benefit from a partner that has extensive operational, capital markets and investment management experience in our areas of focus, and that presents potential for an attractive return to our investors. We believe that by optimizing its capital structure and allocating capital efficiently, and by operating under a deliberate long-term strategy, we can rapidly scale or bring about a transformation in our target business’ operations. Additionally, our management team has deep insight in building ecosystems and brands, consumer buying patterns and technologies required to put together powerful solutions and business models.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Team</w:t>
      </w:r>
    </w:p>
    <w:p>
      <w:pPr>
        <w:spacing w:after="0" w:line="229" w:lineRule="exact"/>
        <w:rPr>
          <w:sz w:val="20"/>
          <w:szCs w:val="20"/>
          <w:color w:val="auto"/>
        </w:rPr>
      </w:pPr>
    </w:p>
    <w:p>
      <w:pPr>
        <w:ind w:right="480" w:firstLine="324"/>
        <w:spacing w:after="0" w:line="308" w:lineRule="auto"/>
        <w:rPr>
          <w:sz w:val="20"/>
          <w:szCs w:val="20"/>
          <w:color w:val="auto"/>
        </w:rPr>
      </w:pPr>
      <w:r>
        <w:rPr>
          <w:rFonts w:ascii="Arial" w:cs="Arial" w:eastAsia="Arial" w:hAnsi="Arial"/>
          <w:sz w:val="17"/>
          <w:szCs w:val="17"/>
          <w:color w:val="auto"/>
        </w:rPr>
        <w:t>Our management team is led by Shahal Khan, our Chairman and Chief Executive Officer, Isaac Chetrit, our President, Roman Livson, our Chief Financial Officer, Payel Farasat, our Chief Investment Officer and Christopher Schroeder, our Chief Marketing Officer.</w:t>
      </w:r>
    </w:p>
    <w:p>
      <w:pPr>
        <w:spacing w:after="0" w:line="142" w:lineRule="exact"/>
        <w:rPr>
          <w:sz w:val="20"/>
          <w:szCs w:val="20"/>
          <w:color w:val="auto"/>
        </w:rPr>
      </w:pPr>
    </w:p>
    <w:p>
      <w:pPr>
        <w:ind w:right="240" w:firstLine="324"/>
        <w:spacing w:after="0" w:line="281" w:lineRule="auto"/>
        <w:rPr>
          <w:sz w:val="20"/>
          <w:szCs w:val="20"/>
          <w:color w:val="auto"/>
        </w:rPr>
      </w:pPr>
      <w:r>
        <w:rPr>
          <w:rFonts w:ascii="Arial" w:cs="Arial" w:eastAsia="Arial" w:hAnsi="Arial"/>
          <w:sz w:val="17"/>
          <w:szCs w:val="17"/>
          <w:b w:val="1"/>
          <w:bCs w:val="1"/>
          <w:color w:val="auto"/>
        </w:rPr>
        <w:t xml:space="preserve">Shahal M. Khan </w:t>
      </w:r>
      <w:r>
        <w:rPr>
          <w:rFonts w:ascii="Arial" w:cs="Arial" w:eastAsia="Arial" w:hAnsi="Arial"/>
          <w:sz w:val="17"/>
          <w:szCs w:val="17"/>
          <w:color w:val="auto"/>
        </w:rPr>
        <w:t>is our Chairman of the Board of Directors and Chief Executive Officer. Mr. Khan’s career as an investor, entrepreneur and social</w:t>
      </w:r>
      <w:r>
        <w:rPr>
          <w:rFonts w:ascii="Arial" w:cs="Arial" w:eastAsia="Arial" w:hAnsi="Arial"/>
          <w:sz w:val="17"/>
          <w:szCs w:val="17"/>
          <w:b w:val="1"/>
          <w:bCs w:val="1"/>
          <w:color w:val="auto"/>
        </w:rPr>
        <w:t xml:space="preserve"> </w:t>
      </w:r>
      <w:r>
        <w:rPr>
          <w:rFonts w:ascii="Arial" w:cs="Arial" w:eastAsia="Arial" w:hAnsi="Arial"/>
          <w:sz w:val="17"/>
          <w:szCs w:val="17"/>
          <w:color w:val="auto"/>
        </w:rPr>
        <w:t>venture capitalist spans over 22 years, with investments encompassing telecoms, real estate, energy, natural resources, technology (specific emphasis on Internet-related communications technologies and advanced cyber security solutions) as well as various other industrial sectors. He has been directly responsible for syndication of over $5 billion in equity for projects as a principal through his family trust.</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2" w:name="page93"/>
    <w:bookmarkEnd w:id="92"/>
    <w:p>
      <w:pPr>
        <w:ind w:right="20" w:firstLine="324"/>
        <w:spacing w:after="0" w:line="284" w:lineRule="auto"/>
        <w:rPr>
          <w:sz w:val="20"/>
          <w:szCs w:val="20"/>
          <w:color w:val="auto"/>
        </w:rPr>
      </w:pPr>
      <w:r>
        <w:rPr>
          <w:rFonts w:ascii="Arial" w:cs="Arial" w:eastAsia="Arial" w:hAnsi="Arial"/>
          <w:sz w:val="16"/>
          <w:szCs w:val="16"/>
          <w:color w:val="auto"/>
        </w:rPr>
        <w:t>Mr. Khan is the founder and since its inception in January 2021, serves as chief executive officer and as a director of Burkhan World Investments LLC, a holding company with diversified investments focusing on reinvesting gains from portfolio investments into companies that have the potential so accelerate sustainability. Mr. Khan is a shareholder of CYVOLVE, a pioneering Cyber security company based out of New York City and London with four patents in data security. Since 2019, Mr. Khan has served as chief exectuive officer and Chairman of the Board of Trinity Hospitality Group LLC based out of New York City, which is currently developing a hotel property in New York City which will be a fully tech-enabled live and work destination in New York City with WIRED, a Condé Naste company. Trinity is currently developing over two billion dollars of a pipeline of “Digital Nomad” properties.</w:t>
      </w:r>
    </w:p>
    <w:p>
      <w:pPr>
        <w:spacing w:after="0" w:line="4"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Mr. Khan was chairman of the board of directors for Global Data Sentinel, Inc., a data security company, from 2018 through 2019. He is also the founder of Trinity White City Ventures RAK UAE (“White City”), an advisory boutique and family office based in Dubai and was a director from 2012 until 2014. White City made a bid to buy the Plaza Hotel in 2018, closed the transaction, then agreed to the sale of the hotel to the Qatari SWF.</w:t>
      </w:r>
    </w:p>
    <w:p>
      <w:pPr>
        <w:spacing w:after="0" w:line="173" w:lineRule="exact"/>
        <w:rPr>
          <w:sz w:val="20"/>
          <w:szCs w:val="20"/>
          <w:color w:val="auto"/>
        </w:rPr>
      </w:pPr>
    </w:p>
    <w:p>
      <w:pPr>
        <w:ind w:right="60" w:firstLine="324"/>
        <w:spacing w:after="0" w:line="284" w:lineRule="auto"/>
        <w:rPr>
          <w:sz w:val="20"/>
          <w:szCs w:val="20"/>
          <w:color w:val="auto"/>
        </w:rPr>
      </w:pPr>
      <w:r>
        <w:rPr>
          <w:rFonts w:ascii="Arial" w:cs="Arial" w:eastAsia="Arial" w:hAnsi="Arial"/>
          <w:sz w:val="16"/>
          <w:szCs w:val="16"/>
          <w:color w:val="auto"/>
        </w:rPr>
        <w:t>Mr. Khan was the founding member of CRME (Colt Middle East) in 2012, a mining company which held gold, copper and lithium concessions in Pakistan and Afghanistan. From 2004 to 2008, he was a board member and shareholder of The Quimera Project, a research and development cluster based in Barcelona, Spain, comprised of over 60 technology companies as well as leading universities with the aim of commercializing technologies that have a positive impact on environmental sustainability. He also has a joint venture with American Ethane Corporation of Houston to invest in up to 6,000 megawatts of power projects in Pakistan in collaboration with General Electric. Mr. Khan was one of the founders of the tier one bank in Bahrain - Fortune Investment House and was focused on real estate investments in Bahrain and other countries in the Middle East. He was also founder of Global Voice Telecom, one of the first companies to receive a license for voice over the Internet in 1997 which subsequently merged into a Nasdaq listed company.</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Mr. Khan was the chief executive officer of Centile, a software company located in the South of France, which was sold to the European Development Bank in 2008. In 2009 Mr. Khan founded Zebasolar, one of the first developers of Solar power in India. Mr. Khan also served as a director on the boards of GD360 from 2017 through 2019,</w:t>
      </w:r>
    </w:p>
    <w:p>
      <w:pPr>
        <w:spacing w:after="0" w:line="190"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Mr. Khan is currently appointed senator of the World Business Angels Investment Forum (“WBAF”), as an affiliated partner of the G20 Global Partnership for Financial Inclusion (GPFI). WBAF is committed to collaborating globally to empowering the economic development of the world. He is also a commissioner of the US Council on Competitiveness, which is a nonpartisan, leadership organization composed of CEOs, university presidents, labor leaders, and national lab directors committed to ensuring that the United States remains the world leader in innovation .. The Council has one main goal: to strengthen America’s competitive advantage by acting as a catalyst for innovative public policy solutions. Mr. Khan was born in New York and has a Bachelor of Arts in Economics from American University and studied business management at Johns Hopkins University in Washington DC.</w:t>
      </w:r>
    </w:p>
    <w:p>
      <w:pPr>
        <w:spacing w:after="0" w:line="160"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b w:val="1"/>
          <w:bCs w:val="1"/>
          <w:color w:val="auto"/>
        </w:rPr>
        <w:t xml:space="preserve">Isaac Chetrit </w:t>
      </w:r>
      <w:r>
        <w:rPr>
          <w:rFonts w:ascii="Arial" w:cs="Arial" w:eastAsia="Arial" w:hAnsi="Arial"/>
          <w:sz w:val="17"/>
          <w:szCs w:val="17"/>
          <w:color w:val="auto"/>
        </w:rPr>
        <w:t>is our President. Mr. Chetrit is a real estate veteran with a background in architecture and electrical engineering. Mr. Chetrit is currently</w:t>
      </w:r>
      <w:r>
        <w:rPr>
          <w:rFonts w:ascii="Arial" w:cs="Arial" w:eastAsia="Arial" w:hAnsi="Arial"/>
          <w:sz w:val="17"/>
          <w:szCs w:val="17"/>
          <w:b w:val="1"/>
          <w:bCs w:val="1"/>
          <w:color w:val="auto"/>
        </w:rPr>
        <w:t xml:space="preserve"> </w:t>
      </w:r>
      <w:r>
        <w:rPr>
          <w:rFonts w:ascii="Arial" w:cs="Arial" w:eastAsia="Arial" w:hAnsi="Arial"/>
          <w:sz w:val="17"/>
          <w:szCs w:val="17"/>
          <w:color w:val="auto"/>
        </w:rPr>
        <w:t>the chief executive officer and a director of Monti Consulting Services, a real estate consulting firm, which positions he has held since 2015. Monti Consulting specializes in retail and hospitality real estate, property technology and management services. In addition, since 2019, Mr. Chetrit has been the president and a director of the Trinity Hospitality Group, a real estate management, consulting, and development firm. Mr. Chetrit began his real estate career under the belt of The Taubman Company, where he built a reputation across major cities in the US. He was instrumental during his career with Taubman in making Dolphin Mall an institution in the industry and led the expansion and business development of many other luxury high end brands, restaurants, and entertainment venues in the USA and overseas. He has cemented valuable credibility in the Real Estate industry through his continuous involvement in functional management areas, project development, and consistently developing projects and brands that have become staples and powerhouses, both in the USA and globally.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3" w:name="page94"/>
    <w:bookmarkEnd w:id="93"/>
    <w:p>
      <w:pPr>
        <w:ind w:right="200" w:firstLine="324"/>
        <w:spacing w:after="0" w:line="273" w:lineRule="auto"/>
        <w:rPr>
          <w:sz w:val="20"/>
          <w:szCs w:val="20"/>
          <w:color w:val="auto"/>
        </w:rPr>
      </w:pPr>
      <w:r>
        <w:rPr>
          <w:rFonts w:ascii="Arial" w:cs="Arial" w:eastAsia="Arial" w:hAnsi="Arial"/>
          <w:sz w:val="17"/>
          <w:szCs w:val="17"/>
          <w:color w:val="auto"/>
        </w:rPr>
        <w:t>Mr. Chetrit has also spent the last 20 years merchandising malls, shopping centers, hotels, and specializing in location assessment and negotiations. Later as the vice president of Westfield, Mr. Chetrit was solely responsible for high-end retail and entertainment development for the eastern U.S. During the last two decades, Mr. Chetrit has procured hundreds of millions of dollars in transactions across the U.S. and other parts of the world. For the past couple years, Mr. Chetrit has deep dived into the fintech and proptech space to develop the next generation hospitality and real estate industries, with the objective to leverage these innovations within these industries to address continuing technologically progressive market demands. Mr. Chetrit has a bachelor of science degree in architecture and electrical engineering from ORT Toulouse, France.</w:t>
      </w:r>
    </w:p>
    <w:p>
      <w:pPr>
        <w:spacing w:after="0" w:line="17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b w:val="1"/>
          <w:bCs w:val="1"/>
          <w:color w:val="auto"/>
        </w:rPr>
        <w:t xml:space="preserve">Roman V. Livson </w:t>
      </w:r>
      <w:r>
        <w:rPr>
          <w:rFonts w:ascii="Arial" w:cs="Arial" w:eastAsia="Arial" w:hAnsi="Arial"/>
          <w:sz w:val="17"/>
          <w:szCs w:val="17"/>
          <w:color w:val="auto"/>
        </w:rPr>
        <w:t>is our Chief Financial Officer. Since February 2021, Mr. Livson has been the Chief Financial Officer of Burkhan World, a family</w:t>
      </w:r>
      <w:r>
        <w:rPr>
          <w:rFonts w:ascii="Arial" w:cs="Arial" w:eastAsia="Arial" w:hAnsi="Arial"/>
          <w:sz w:val="17"/>
          <w:szCs w:val="17"/>
          <w:b w:val="1"/>
          <w:bCs w:val="1"/>
          <w:color w:val="auto"/>
        </w:rPr>
        <w:t xml:space="preserve"> </w:t>
      </w:r>
      <w:r>
        <w:rPr>
          <w:rFonts w:ascii="Arial" w:cs="Arial" w:eastAsia="Arial" w:hAnsi="Arial"/>
          <w:sz w:val="17"/>
          <w:szCs w:val="17"/>
          <w:color w:val="auto"/>
        </w:rPr>
        <w:t>office investment company. Mr. Livson is also the Managing Member of BurTech LP, LLC, our Sponsor. Since July 2014, Mr. Livson has been serving as the Chief Compliance Officer at Katalyst Securities LLC, an investment banking firm. Mr. Livson started his professional career in the corporate finance department of PriceWaterhouseCoopers in London and Moscow where he focused on real estate, energy, metals and mining, shipping and logistics and telecommunications sectors. He subsequently worked in the investment banking department of Hagstromer and Qviberg, a leading Swedish brokerage firm. After moving to the US in 2000, Mr. Livson established an investment banking advisory firm to assist companies from Europe and BRIC countries in going public in the US, raising capital and engaging in cross-border mergers and acquisitions transactions. Mr. Livson served as Chief Financial Officer of a US public company where he was responsible for raising capital, structuring acquisitions and divestitures and financial reporting. Mr. Livson raised over $100 million for Oil &amp; Gas, technology and biotechnology companies. Mr. Livson holds Series 7, 24, and 63 registrations with the FINRA. Mr. Livson has a Master’s degree in Mathematical Finance from Columbia University, a Masters in Physics from Moscow Institute Of Electronics Engineering, and a Banking and Financing Degree from The London School of Economics.</w:t>
      </w:r>
    </w:p>
    <w:p>
      <w:pPr>
        <w:spacing w:after="0" w:line="182" w:lineRule="exact"/>
        <w:rPr>
          <w:sz w:val="20"/>
          <w:szCs w:val="20"/>
          <w:color w:val="auto"/>
        </w:rPr>
      </w:pPr>
    </w:p>
    <w:p>
      <w:pPr>
        <w:ind w:right="80" w:firstLine="324"/>
        <w:spacing w:after="0" w:line="285" w:lineRule="auto"/>
        <w:rPr>
          <w:sz w:val="20"/>
          <w:szCs w:val="20"/>
          <w:color w:val="auto"/>
        </w:rPr>
      </w:pPr>
      <w:r>
        <w:rPr>
          <w:rFonts w:ascii="Arial" w:cs="Arial" w:eastAsia="Arial" w:hAnsi="Arial"/>
          <w:sz w:val="16"/>
          <w:szCs w:val="16"/>
          <w:b w:val="1"/>
          <w:bCs w:val="1"/>
          <w:color w:val="auto"/>
        </w:rPr>
        <w:t xml:space="preserve">Payel Farasat </w:t>
      </w:r>
      <w:r>
        <w:rPr>
          <w:rFonts w:ascii="Arial" w:cs="Arial" w:eastAsia="Arial" w:hAnsi="Arial"/>
          <w:sz w:val="16"/>
          <w:szCs w:val="16"/>
          <w:color w:val="auto"/>
        </w:rPr>
        <w:t>is our Chief Investment Officer. Since December 2020, Ms. Farasat has been the Chief Investment Officer (CIO) of Burkhan World</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Investments LLC (“Burkhan”) and the Co-founder and Managing Partner of V4 Capital LLC, a bespoke consultancy and private equity firm that specializes in investing with purpose, impact and heart. Since December 2017, Ms. Farasat has been the Managing Principal of Farasat Consulting Group LLC (“FCG”), a business and management consulting firm. Ms. Farasat is also the Founder &amp; Master Coach of Project Me Coaching, a transformational coaching and advisory organization which she founded in June 2017. Ms. Farasat has over 20 years of experience, intuition, and conviction in asset management and financial advising. This combination enables Ms. Farasat to quickly capture data, patterns, and themes that shape her views on sentiment and positioning, as well as, inform her vision about the future relative to global economics and changing demographics. Consistently searching for new ways to interpret capital market dynamics, Ms. Farasat chairs Burkhan’s Investment Committee and curates investment policy and portfolio management for Burkhan’s global ecosystem of group companies. Deploying modern academic thinking that strives to improve expected returns, manage risk, and reduce costs, Ms. Farasat researches and analyzes the landscape of rapid growth companies in the InfraTech/PropTech/FinTech, Artificial Intelligence/Quantum Computing, MediaTech/eSports/eGaming, BioTech, Healthcare, HospitalityTech, Alternative Energy, Blockchain, and Cryptocurrency sectors - searching for exceptional businesses to invest in and grow. Ms. Farasat guides the process of infusing capital into innovative ventures that bring revolutionary technologies and experiences expected to have long-term positive impact on the world and our future. In this process, she creates custom capital raise solutions for Burkhan’s portfolio companies. Ms. Farasat is passionate about enabling democratized access to private equity investments and tailors custom participation strategies for institutional and accredited investors interested in co-investing in companies that Burkhan is taking public. "See the entire landscape with a diverse set of eyes within an endless feedback loop - Iterate, Rinse, Repeat.” is Ms. Farasat’s mantra for financial consciousness, profitability, growth, and sustainable global impact.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4" w:name="page95"/>
    <w:bookmarkEnd w:id="94"/>
    <w:p>
      <w:pPr>
        <w:ind w:right="40" w:firstLine="324"/>
        <w:spacing w:after="0" w:line="283" w:lineRule="auto"/>
        <w:rPr>
          <w:sz w:val="20"/>
          <w:szCs w:val="20"/>
          <w:color w:val="auto"/>
        </w:rPr>
      </w:pPr>
      <w:r>
        <w:rPr>
          <w:rFonts w:ascii="Arial" w:cs="Arial" w:eastAsia="Arial" w:hAnsi="Arial"/>
          <w:sz w:val="16"/>
          <w:szCs w:val="16"/>
          <w:color w:val="auto"/>
        </w:rPr>
        <w:t>Prior to Burkhan, from February 2015 to November 2017, Ms. Farasat was the Chief Investment Officer of Loring Ward Securities Inc. (“Loring Ward”), a Turnkey Asset Management Provider and The SA Funds, Loring Ward’s proprietary mutual fund family with over $16 Billion in assets under management. Payel chaired Loring Ward’s Investment Committee (that included Noble-laureate Dr. Harry Markowitz) and led the investment division. On the executive team, she was directly responsible for the firm’s investment philosophy, policy, portfolio management, and messaging. She also managed the development of all investment strategy, methodology, performance, risk attribution analysis, 3rd party manager oversight, board reporting, fintech solutions, public relations, and public commentaries. Prior to Loring Ward, Ms. Farasat was at Charles Schwab &amp; Co., Inc. (“Schwab”) from September 2007 through February 2015, as the Regional Vice President of Charles Schwab Investment Management (“CSIM”), and earlier as Senior Manager of the Strategic Trading Group (“STG”), where she specialized in complex hedging and advanced trading strategies for ultra-high net worth investors and financial advisors. Before joining Schwab, Ms. Farasat was an independent Advanced Financial Advisor with Ameriprise Financial Services, Inc. (“Ameriprise”) where she provided comprehensive financial planning and asset management to clients, businesses, and 401(k)s from</w:t>
      </w:r>
    </w:p>
    <w:p>
      <w:pPr>
        <w:spacing w:after="0" w:line="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July 2002 to September 2007. Ms. Farasat is on the Board of The Centre for Responsible Leadership (CRL) and is responsible for leading CRL’s Empowerment initiatives. CRL is a global non-profit and NGO. Ms. Farasat earned a Bachelors in Economics from University of California at Berkeley, with a double minor in Computer Science and Business Administration, from the Haas School of Business, Summa cum Laude, and a Master’s of Science in Financial Analysis (MScFA) from University of San Francisco, Magna cum Laude. Ms. Farasat is also ICF Certified Coach and a PHI Certified Pranic Healer.</w:t>
      </w:r>
    </w:p>
    <w:p>
      <w:pPr>
        <w:spacing w:after="0" w:line="187"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b w:val="1"/>
          <w:bCs w:val="1"/>
          <w:color w:val="auto"/>
        </w:rPr>
        <w:t xml:space="preserve">Christopher Schroeder </w:t>
      </w:r>
      <w:r>
        <w:rPr>
          <w:rFonts w:ascii="Arial" w:cs="Arial" w:eastAsia="Arial" w:hAnsi="Arial"/>
          <w:sz w:val="17"/>
          <w:szCs w:val="17"/>
          <w:color w:val="auto"/>
        </w:rPr>
        <w:t>is our Chief Marketing Officer. Over the last 30 years, Mr. Schroeder has also been an interactive media pioneer, visionary</w:t>
      </w:r>
      <w:r>
        <w:rPr>
          <w:rFonts w:ascii="Arial" w:cs="Arial" w:eastAsia="Arial" w:hAnsi="Arial"/>
          <w:sz w:val="17"/>
          <w:szCs w:val="17"/>
          <w:b w:val="1"/>
          <w:bCs w:val="1"/>
          <w:color w:val="auto"/>
        </w:rPr>
        <w:t xml:space="preserve"> </w:t>
      </w:r>
      <w:r>
        <w:rPr>
          <w:rFonts w:ascii="Arial" w:cs="Arial" w:eastAsia="Arial" w:hAnsi="Arial"/>
          <w:sz w:val="17"/>
          <w:szCs w:val="17"/>
          <w:color w:val="auto"/>
        </w:rPr>
        <w:t>resort developer, brand creator and marketing leader for globally recognized brands. He brings and award-winning background in creating and implementing large scale marketing, branding, and development projects for globally recognized organizations including American Express, California Tourism Commission, UMUSIC Hotels and MGM Resorts. Since November of 2019, Mr. Schroeder has served as the chief executive officer of Experiential Ventures, LLC, a leading experiential hotel brand development company, where Mr. Schroeder manages all aspects of the business. From February 2016 through July 2019, Mr. Schroeder served as the managing partner and a director of Dakia Entertainment &amp; Hospitality. He was a founding partner of the UMUSIC hotel and entertainment center concept that is a partnership with the world’s largest music company, Universal Music Group. He is also a key player in its expansion, creating iconic projects. Mr. Schroeder is also leading the creation and expansion of the WIRED Hotel brand, having an exclusive license to the brand. Mr. Schroeder is also leading the creation and expansion of other major projects with legacy brands including Sports Illustrated, Condé Nast, Authentic Brands Group and Emmitt Smith.</w:t>
      </w:r>
    </w:p>
    <w:p>
      <w:pPr>
        <w:spacing w:after="0" w:line="181"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From 2013 to 2015, Mr. Schroeder previously served as chief marketing officer for Veremonte, a multi-billion-dollar investment company based in London, where he worked to create the largest leisure development in Europe, bringing partnerships with Hard Rock Hotels and Cirque du Soleil. He also worked to incubate and launch Formula E, the first fully electric racing championship in the world, with such notable partners as Leonardo di Caprio, Michael Andretti, Alain Prost, and Virgin Racing. Races are held in iconic cities including Paris, London, and New York.</w:t>
      </w:r>
    </w:p>
    <w:p>
      <w:pPr>
        <w:spacing w:after="0" w:line="17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As an interactive media pioneer, in 1995 Mr. Schroeder founded Reservation, the world’s leading internet development company for the hospitality industry at the time. From 1995 through 2003, he led the development of the first online reservation system of its kind in the travel industry for MGM Resorts and Hilton/Park Place Entertainment. During this time Mr. Schroeder also played a lead role in creating and implementing the largest rebranding and redevelopment campaign in history for MGM Resorts, which included developing multimedia roadshow to present to stockholders and Wall Street investors to secure funding to implement the massive project. Mr. Schroeder also served as president of the interactive division for Custom Marketing Group, the exclusive destination marketing group at the time for American Express, where he developed and managed digital media campaigns for over 20 leading tourism boards.</w:t>
      </w:r>
    </w:p>
    <w:p>
      <w:pPr>
        <w:spacing w:after="0" w:line="19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Mr. Schroeder has also been a leader in travel marketing, incentives, and loyalty, having created a patented rewards system and founding a leading incentive company that created proprietary products and long-term marketing campaigns for companies including Capital One, American Express, Bank of America, Samsonite, and Ford Motor Company. Many of his programs were ongoing and included massive cooperative marketing initiatives incorporating local tourism boards, corporate partners, attractions, media, airlines, and hotels. Schroeder also created the first custom travel offers for the Today Show, the #1 morning show in America, in addition to Fox and Friends, CBS, and others. Additionally, Schroeder, in partnership with Steve Burks, created a proprietary travel rewards system that multiple companies used including the world’s largest online travel company, Priceline/booking.com. During college, Mr. Schroeder founded one of the largest college travel and marketing companies in the country, with clients including Ocean Pacific, Miller Beer, Hawaiian Tropics and Ujena Swimwear. This led to him being hired directly out of college to serve as the National Marketing and Retail Director for the company owning Ujena Swimwear, Swimwear Illustrated and Runner’s World Magazines. Mr. Schroeder attended Texas State University, San Marcos.</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Our Director Nominees</w:t>
      </w:r>
    </w:p>
    <w:p>
      <w:pPr>
        <w:spacing w:after="0" w:line="225" w:lineRule="exact"/>
        <w:rPr>
          <w:sz w:val="20"/>
          <w:szCs w:val="20"/>
          <w:color w:val="auto"/>
        </w:rPr>
      </w:pPr>
    </w:p>
    <w:p>
      <w:pPr>
        <w:ind w:right="20" w:firstLine="324"/>
        <w:spacing w:after="0" w:line="281" w:lineRule="auto"/>
        <w:rPr>
          <w:sz w:val="20"/>
          <w:szCs w:val="20"/>
          <w:color w:val="auto"/>
        </w:rPr>
      </w:pPr>
      <w:r>
        <w:rPr>
          <w:rFonts w:ascii="Arial" w:cs="Arial" w:eastAsia="Arial" w:hAnsi="Arial"/>
          <w:sz w:val="17"/>
          <w:szCs w:val="17"/>
          <w:b w:val="1"/>
          <w:bCs w:val="1"/>
          <w:color w:val="auto"/>
        </w:rPr>
        <w:t xml:space="preserve">Leon Golden </w:t>
      </w:r>
      <w:r>
        <w:rPr>
          <w:rFonts w:ascii="Arial" w:cs="Arial" w:eastAsia="Arial" w:hAnsi="Arial"/>
          <w:sz w:val="17"/>
          <w:szCs w:val="17"/>
          <w:color w:val="auto"/>
        </w:rPr>
        <w:t>is one of our director nominees. Mr. Golden is a chartered public accountant and has worked as an accountant at ARG Associates, Inc.</w:t>
      </w:r>
      <w:r>
        <w:rPr>
          <w:rFonts w:ascii="Arial" w:cs="Arial" w:eastAsia="Arial" w:hAnsi="Arial"/>
          <w:sz w:val="17"/>
          <w:szCs w:val="17"/>
          <w:b w:val="1"/>
          <w:bCs w:val="1"/>
          <w:color w:val="auto"/>
        </w:rPr>
        <w:t xml:space="preserve"> </w:t>
      </w:r>
      <w:r>
        <w:rPr>
          <w:rFonts w:ascii="Arial" w:cs="Arial" w:eastAsia="Arial" w:hAnsi="Arial"/>
          <w:sz w:val="17"/>
          <w:szCs w:val="17"/>
          <w:color w:val="auto"/>
        </w:rPr>
        <w:t>an accounting firm in Brooklyn, New York since 1996. Mr. Golden has also been serving as a director for ARG Associates, Inc. since 1996. Mr. Golden has spent the past 25 years representing public and private companies in all areas of accounting practices. Through his expertise as a financial accountant, we believe he will be an integral part of the team. Mr. Golden has a CPA and a bachelor’s degree from Brooklyn College.</w:t>
      </w:r>
    </w:p>
    <w:p>
      <w:pPr>
        <w:spacing w:after="0" w:line="165"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b w:val="1"/>
          <w:bCs w:val="1"/>
          <w:color w:val="auto"/>
        </w:rPr>
        <w:t xml:space="preserve">Gene Zolotarev </w:t>
      </w:r>
      <w:r>
        <w:rPr>
          <w:rFonts w:ascii="Arial" w:cs="Arial" w:eastAsia="Arial" w:hAnsi="Arial"/>
          <w:sz w:val="16"/>
          <w:szCs w:val="16"/>
          <w:color w:val="auto"/>
        </w:rPr>
        <w:t>is one of our director nominees. In 2019 Mr. Zolotarev founded Baltic Technology Ventures JSC (NASDAQ:BTE1R), the Baltic</w:t>
      </w:r>
      <w:r>
        <w:rPr>
          <w:rFonts w:ascii="Arial" w:cs="Arial" w:eastAsia="Arial" w:hAnsi="Arial"/>
          <w:sz w:val="16"/>
          <w:szCs w:val="16"/>
          <w:b w:val="1"/>
          <w:bCs w:val="1"/>
          <w:color w:val="auto"/>
        </w:rPr>
        <w:t xml:space="preserve"> </w:t>
      </w:r>
      <w:r>
        <w:rPr>
          <w:rFonts w:ascii="Arial" w:cs="Arial" w:eastAsia="Arial" w:hAnsi="Arial"/>
          <w:sz w:val="16"/>
          <w:szCs w:val="16"/>
          <w:color w:val="auto"/>
        </w:rPr>
        <w:t>region's only publicly traded venture capital firm with an angel network, where he currently serves as the Chief Executive Officer and Director as Head of the Investment Committee. Baltic Tech Ventures focuses on venture capital investments in technology companies and innovation projects. Mr. Zolotarev founded Maximus Capital SA in 2008 where he still serves as Chairman of the Board. Maximus Capital is as a multi-family office with deep expertise in identifying special situation investment opportunities – both in liquid markets and private equity, based in Switzerland. Mr. Zolotarev is currently the Chairman of Baltic News, Ltd, publisher of the Baltic Times, the leading English-language daily newspaper for the Baltic region. For over 20 years, Mr. Zolotarev has held a number of senior executive and board positions at prominent U.S., Russian and Baltic commercial and investment banks including AP Anlage &amp; Privatbank, Switzerland, Parex Asset Management and Parex Bank, in Latvia, Republic Bank of New York and Arthur Andersen &amp; Co, among others. Since 1993 he had cultivated personal and business relationships with principals of many major industrial holdings in Central and Eastern Europe and Commonwealth of Independent States. Mr. Zolotarev is a prominent investor in European Property Holdings, a real estate investment and consulting company based in Monaco. European Property Holdings (“EPH”) invests in core and manage-to-core properties with growth potential and holds an extensive, geographically diversified property portfolio spanning office, hotel and mixed-use real estate with a total value of more than EUR 1.5 billion. Through investing in premium real estate in core European markets, EPH ensures long-term capital preservation and generates a stable, regular and risk-adjusted return for its stakeholders. Mr. Zolotarev has a degree in Electrical Engineering and Concentration in Business from Columbia University and an executive MBA from New York University, Sterns School of Business in Finance and International Business. Mr. Zolotarev later attended Harvard University - Kennedy School of International Affairs for an executive program on National Security and Diplomacy.</w:t>
      </w:r>
    </w:p>
    <w:p>
      <w:pPr>
        <w:spacing w:after="0" w:line="164"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b w:val="1"/>
          <w:bCs w:val="1"/>
          <w:color w:val="auto"/>
        </w:rPr>
        <w:t xml:space="preserve">Michael Penrod </w:t>
      </w:r>
      <w:r>
        <w:rPr>
          <w:rFonts w:ascii="Arial" w:cs="Arial" w:eastAsia="Arial" w:hAnsi="Arial"/>
          <w:sz w:val="16"/>
          <w:szCs w:val="16"/>
          <w:color w:val="auto"/>
        </w:rPr>
        <w:t>is one of our director nominees. Mr. Penrod has been in the hospitality industry for over 38 years. He has been the owner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famous "Elbo Room" in Fort Lauderdale since 1991; Elbo Room, founded in 1938, was one of the first places to open its doors to the world online with Web Cams and Live Chatrooms in 1996. Mr. Penrod took over the Elbo Room in 1991 and is an owner. Mr. Penrod is known for successfully building brands in the hospitality market, particularly Nikki Beach Worldwide, one of the leading luxury brands in entertainment with over twenty prestigious destinations around the world, including Miami Beach, USA; Saint Tropez, France; Saint Barth, Caribbean; Marbella, Spain; Koh Samui, Thailand; Mallorca, Spain; Ibiza, Spain; Monte Carlo, Monaco; Dubai, UAE; Versilia, Italy; Barbados, Caribbean; Costa Smeralda, Italy, and Montenegro, Tivat. Nikki Beach, founded by Mr. Penrod's father, Jack Penrod, in 1998 with its first "Café Nikki" in Miami's South Beach. Nikki Beach was the original luxury beach club concept that combines the elements of music, dining, entertainment, fashion, film, and art into one. It is known for its celebrity events such as Cannes Film Festival, Toronto Film Festival, Venice Film Festival, New Years' Eve Exclusive VIP events, and Music Festivals. Mr. Penrod was the Director of Worldwide Operations of the Nikki Beach Group from 2001 to 2015. He managed all operational and marketing divisions of the company in over 40 venues in 18 countries. Since 2016, Mr. Penrod has been the Senior Director of the Nikki Beach Family Office, where he manages all crypto investments, working on creative applications for Blockchain in the hospitality industry. In 2014 Mr. Penrod founder MVP Management, a hospitality, technology, and marketing company, where he continues to advise companies in the hospitality industry with a focus on maximizing technology platforms. Being a visionary, Mr. Penrod developed a distance learning platform with Roy Spear, founder of Home Shopping Network, from 1997 to 2000. Jim Clark recruited Mr. Penrod in 2000 to run his tech company, SeaScape, which he did until he joined his family to run Nikki Beach.</w:t>
      </w:r>
    </w:p>
    <w:p>
      <w:pPr>
        <w:spacing w:after="0" w:line="167"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b w:val="1"/>
          <w:bCs w:val="1"/>
          <w:color w:val="auto"/>
        </w:rPr>
        <w:t xml:space="preserve">Peter Plaut </w:t>
      </w:r>
      <w:r>
        <w:rPr>
          <w:rFonts w:ascii="Arial" w:cs="Arial" w:eastAsia="Arial" w:hAnsi="Arial"/>
          <w:sz w:val="17"/>
          <w:szCs w:val="17"/>
          <w:color w:val="auto"/>
        </w:rPr>
        <w:t>is one of our director nominees. Since August 2016, Mr. Plaut has been a director for AEDS Advisors Ltd, London UK, a consultant and</w:t>
      </w:r>
      <w:r>
        <w:rPr>
          <w:rFonts w:ascii="Arial" w:cs="Arial" w:eastAsia="Arial" w:hAnsi="Arial"/>
          <w:sz w:val="17"/>
          <w:szCs w:val="17"/>
          <w:b w:val="1"/>
          <w:bCs w:val="1"/>
          <w:color w:val="auto"/>
        </w:rPr>
        <w:t xml:space="preserve"> </w:t>
      </w:r>
      <w:r>
        <w:rPr>
          <w:rFonts w:ascii="Arial" w:cs="Arial" w:eastAsia="Arial" w:hAnsi="Arial"/>
          <w:sz w:val="17"/>
          <w:szCs w:val="17"/>
          <w:color w:val="auto"/>
        </w:rPr>
        <w:t>advisory and capital raising firm, which has signed over $10 billion real estate transactions in various real estate asset classes since the Covid -19 lockdown. Mr. Plaut is also an Executive Director at Wimmer Financial/Wimmer Family Office, in London, United Kingdom, a corporate advisory boutique investment bank with global reach through a network of partners and clients all over the world, where he has been an Executive Director since November 2018. Mr. Plaut is consistently recognized as a leader in the industry. Among his many achievements and awards, he was ranked as one of the Top 20 Rising Stars of Hedge Funds during the 2008 global financial crisis. More recently, since the Covid-19 Pandemic locked down the global economy, Mr. Plaut has signed over $5 billion of Engagements and/or Term Sheets across various real estate assets classes including residential, mixed use, office, and hospitality at Wimmer. Mr. Plaut has over 35 years investment banking, research, sales, trading, portfolio manager experience for some of the top tier global investment banks and private equity firms in New York, Washington DC and London, with significant experience in capital markets transactions in terms of debt and equity raises. From August 2016 through May 2018, Mr. Plaut served as an Executive Director and managed the Corporate Finance department for Swiss Invest in London, a capital origination and finance firm. Mr. Plaut has a bachelor of science in Management Information Systems from Rensselaer Polytechnic Institute.</w:t>
      </w:r>
    </w:p>
    <w:p>
      <w:pPr>
        <w:spacing w:after="0" w:line="179"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b w:val="1"/>
          <w:bCs w:val="1"/>
          <w:color w:val="auto"/>
        </w:rPr>
        <w:t xml:space="preserve">Ambassador Hans H. Hertell </w:t>
      </w:r>
      <w:r>
        <w:rPr>
          <w:rFonts w:ascii="Arial" w:cs="Arial" w:eastAsia="Arial" w:hAnsi="Arial"/>
          <w:sz w:val="16"/>
          <w:szCs w:val="16"/>
          <w:color w:val="auto"/>
        </w:rPr>
        <w:t>is one of our director nominees. Since 2009, Mr. Hertell has been the Chairman of the Board and Chief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of the Hertell Group LLC, a group of seasoned and qualified, ex government, corporate and financial sector principals, with proven backgrounds in legal, finance, engineering, management, government relations and international business. Mr. Hertell is a former United States Ambassador to the Dominican Republic where he served from 2001 to 2007. Mr. Hertell was a co-founder of Goldman, Antonetti, Ferraiuoli, Axtmayer and Hertell, from</w:t>
      </w:r>
    </w:p>
    <w:p>
      <w:pPr>
        <w:spacing w:after="0" w:line="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1982 to 1989, which at the time was the third largest full service law firm in Puerto Rico. Mr. Hertell was also involved with the operations and investments of the Barrick Gold Corporation in the Dominican Republic. He was the Chairman of the Board at U.S. Precious Metals, Inc. from 2013 to 2015, and Colt Resources Inc. in 2015. Mr. Hertell was managing director for the Caribbean and Latin America affairs at Black, Kelly, Scruggs &amp; Healey, a government and public affairs company based in Washington, D.C. from 1992-1996. In 1989, he served as a member of the Commission to Review U.S. Magistrates for Reappointment of the U.S. District Court for the District of Puerto Rico. Between 1982 to 1984, he served as political and legal advisor to the Governor of Puerto Rico, as well as to the Attorney General, the Secretary of Agriculture and the Secretary of the Treasury of the Commonwealth of Puerto Rico.</w:t>
      </w:r>
    </w:p>
    <w:p>
      <w:pPr>
        <w:spacing w:after="0" w:line="4" w:lineRule="exact"/>
        <w:rPr>
          <w:sz w:val="20"/>
          <w:szCs w:val="20"/>
          <w:color w:val="auto"/>
        </w:rPr>
      </w:pPr>
    </w:p>
    <w:p>
      <w:pPr>
        <w:jc w:val="both"/>
        <w:ind w:right="420"/>
        <w:spacing w:after="0" w:line="323" w:lineRule="auto"/>
        <w:rPr>
          <w:sz w:val="20"/>
          <w:szCs w:val="20"/>
          <w:color w:val="auto"/>
        </w:rPr>
      </w:pPr>
      <w:r>
        <w:rPr>
          <w:rFonts w:ascii="Arial" w:cs="Arial" w:eastAsia="Arial" w:hAnsi="Arial"/>
          <w:sz w:val="16"/>
          <w:szCs w:val="16"/>
          <w:color w:val="auto"/>
        </w:rPr>
        <w:t>Mr. Hertell has also served on the board for Interenergy, Inc., Valisoft, Demex and Fundacion Boerman Segarra. Mr. Hertell has a law degree from the University of Puerto Rico and a Bachelor of Science in Economics from Fordham University, and an insurance degree from the College of Insurance.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686" w:gutter="0" w:footer="0" w:header="0"/>
        </w:sectPr>
      </w:pPr>
    </w:p>
    <w:bookmarkStart w:id="96" w:name="page97"/>
    <w:bookmarkEnd w:id="96"/>
    <w:p>
      <w:pPr>
        <w:ind w:left="340"/>
        <w:spacing w:after="0"/>
        <w:rPr>
          <w:sz w:val="20"/>
          <w:szCs w:val="20"/>
          <w:color w:val="auto"/>
        </w:rPr>
      </w:pPr>
      <w:r>
        <w:rPr>
          <w:rFonts w:ascii="Arial" w:cs="Arial" w:eastAsia="Arial" w:hAnsi="Arial"/>
          <w:sz w:val="18"/>
          <w:szCs w:val="18"/>
          <w:b w:val="1"/>
          <w:bCs w:val="1"/>
          <w:color w:val="auto"/>
        </w:rPr>
        <w:t>Our Advisors</w:t>
      </w:r>
    </w:p>
    <w:p>
      <w:pPr>
        <w:spacing w:after="0" w:line="225"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b w:val="1"/>
          <w:bCs w:val="1"/>
          <w:color w:val="auto"/>
        </w:rPr>
        <w:t xml:space="preserve">His Highness Sheikh Ahmed Dalmook Al Maktoum </w:t>
      </w:r>
      <w:r>
        <w:rPr>
          <w:rFonts w:ascii="Arial" w:cs="Arial" w:eastAsia="Arial" w:hAnsi="Arial"/>
          <w:sz w:val="16"/>
          <w:szCs w:val="16"/>
          <w:color w:val="auto"/>
        </w:rPr>
        <w:t>is one of our advisors. HH Sheikh Maktoum is a member of the Ruling Royal Family of Dubai,</w:t>
      </w:r>
      <w:r>
        <w:rPr>
          <w:rFonts w:ascii="Arial" w:cs="Arial" w:eastAsia="Arial" w:hAnsi="Arial"/>
          <w:sz w:val="16"/>
          <w:szCs w:val="16"/>
          <w:b w:val="1"/>
          <w:bCs w:val="1"/>
          <w:color w:val="auto"/>
        </w:rPr>
        <w:t xml:space="preserve"> </w:t>
      </w:r>
      <w:r>
        <w:rPr>
          <w:rFonts w:ascii="Arial" w:cs="Arial" w:eastAsia="Arial" w:hAnsi="Arial"/>
          <w:sz w:val="16"/>
          <w:szCs w:val="16"/>
          <w:color w:val="auto"/>
        </w:rPr>
        <w:t>United Arab Emirates. HH Sheikh Maktoum is Founder and Chairman of The Private Office of His Highness Sheikh Ahmed Dalmook Al Maktoum and owns a portfolio of privately held group of companies that focuses mainly on energy projects, large scale infrastructure development including setting up of LNG terminals, oil and commodity trading, healthcare, water desalination as well as education and agriculture projects operated throughout Africa, South Asia, Russia and the Middle East. Through his strategic vision, international relationships and strategic partnerships, his group companies are well positioned to deliver a best-in-class turnkey solution by bringing in investment and ensure faultless execution and project implementation.</w:t>
      </w:r>
    </w:p>
    <w:p>
      <w:pPr>
        <w:spacing w:after="0" w:line="160"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b w:val="1"/>
          <w:bCs w:val="1"/>
          <w:color w:val="auto"/>
        </w:rPr>
        <w:t xml:space="preserve">Mohammad Shaikh </w:t>
      </w:r>
      <w:r>
        <w:rPr>
          <w:rFonts w:ascii="Arial" w:cs="Arial" w:eastAsia="Arial" w:hAnsi="Arial"/>
          <w:sz w:val="16"/>
          <w:szCs w:val="16"/>
          <w:color w:val="auto"/>
        </w:rPr>
        <w:t>is one of our advisors. Mr. Shaikh is the Head of Blockchain Strategic Partnerships for Facebook, responsible for global</w:t>
      </w:r>
      <w:r>
        <w:rPr>
          <w:rFonts w:ascii="Arial" w:cs="Arial" w:eastAsia="Arial" w:hAnsi="Arial"/>
          <w:sz w:val="16"/>
          <w:szCs w:val="16"/>
          <w:b w:val="1"/>
          <w:bCs w:val="1"/>
          <w:color w:val="auto"/>
        </w:rPr>
        <w:t xml:space="preserve"> </w:t>
      </w:r>
      <w:r>
        <w:rPr>
          <w:rFonts w:ascii="Arial" w:cs="Arial" w:eastAsia="Arial" w:hAnsi="Arial"/>
          <w:sz w:val="16"/>
          <w:szCs w:val="16"/>
          <w:color w:val="auto"/>
        </w:rPr>
        <w:t>partnerships and strategy. Mr. Shaikh has over a decade of multi-national financial services and blockchain/crypto experience. Previously, Mo Shaikh was the Founder and CEO of Meridio, a ConsenSys-backed, blockchain-based company that issued the world’s first fractional share of real estate. He also founded ConsenSys’ Middle East Office. Prior to Meridio, Mr. Shaikh consulted Sovereign Wealth Funds, energy and telecom companies with BCG’s Private Equity practice. Mr. Shaikh helped found BlackRock’s sustainability committee while he worked at the firm’s Real Estate Alternative Asset group. Mr. Shaikh is a two time founder and has advised several blockchain companies across the web3 stack. He has been invited by the World Economic Forum to consult on their global blockchain strategy including Central Bank Digital Currency (CBDCs). He is an active angel investor and serves on the board of two logistics companies. Mr. Shaikh holds a Bachelor’s Degree from Hunter College and an MBA from the University of Rochester.</w:t>
      </w:r>
    </w:p>
    <w:p>
      <w:pPr>
        <w:spacing w:after="0" w:line="159"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b w:val="1"/>
          <w:bCs w:val="1"/>
          <w:color w:val="auto"/>
        </w:rPr>
        <w:t xml:space="preserve">Scott Young </w:t>
      </w:r>
      <w:r>
        <w:rPr>
          <w:rFonts w:ascii="Arial" w:cs="Arial" w:eastAsia="Arial" w:hAnsi="Arial"/>
          <w:sz w:val="17"/>
          <w:szCs w:val="17"/>
          <w:color w:val="auto"/>
        </w:rPr>
        <w:t>is one of our advisors. Since January 2010, Mr. Young has served as a Senior Advisor and director of Dial Partners LLP, And advisory</w:t>
      </w:r>
      <w:r>
        <w:rPr>
          <w:rFonts w:ascii="Arial" w:cs="Arial" w:eastAsia="Arial" w:hAnsi="Arial"/>
          <w:sz w:val="17"/>
          <w:szCs w:val="17"/>
          <w:b w:val="1"/>
          <w:bCs w:val="1"/>
          <w:color w:val="auto"/>
        </w:rPr>
        <w:t xml:space="preserve"> </w:t>
      </w:r>
      <w:r>
        <w:rPr>
          <w:rFonts w:ascii="Arial" w:cs="Arial" w:eastAsia="Arial" w:hAnsi="Arial"/>
          <w:sz w:val="17"/>
          <w:szCs w:val="17"/>
          <w:color w:val="auto"/>
        </w:rPr>
        <w:t>firm specializing in mergers and acquisitions and corporate finance. Mr. Young was one of the three founding board members of Cambridge Quantum Computing Ltd, in Cambridge, England (“Cambridge”), serving from April of 2015 through October of 2017. After the recent announcement of a merger with Honeywell Quantum Solutions, Cambridge has become one of the world’s leading integrated Quantum Computing company, incorporating Quantum software, Honeywell’s leading Quantum hardware, and the world’s only Quantum Operating System which was developed by Cambridge Quantum. Key attributes of the combined entity are Quantum-enabled Cybersecurity solutions, Quantum chemistry for accelerated drug discovery and securities and commodities trading enhancement, all with the incorporation of Artificial Intelligence, Machine Learning and other technologies. Mr. Young also served as a director of Globomass Holdings Ltd. From January 2012 until October 2016. Mr. Young has served as a director of Omnicyte Limited since November of 2003 and is currently a member of its Nominating and Corporate Governance Committee.</w:t>
      </w:r>
    </w:p>
    <w:p>
      <w:pPr>
        <w:spacing w:after="0" w:line="17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Mr. Young provides strategic advice to a wide range of entities, including private businesses, multinational companies, family offices, private equity groups and sovereign wealth funds. He is particularly focusing on companies that have developed proven and pioneering technologies with a tangible positive impact ( for example, on the environment, communications, health and wellbeing), that are highly relevant and scalable on a worldwide basis, have exceptional management teams, and which are supported by robust commercial business models. Mr. Young was previously with Morgan Stanley &amp; Company in New York in the International Capital Markets group where his responsibilities included assisting sovereign governments in raising debt on the international capital markets, working with large investment groups such as Templeton, JP Morgan Investment Management, Fidelity and Soros in providing investment advice and hedging strategies. He worked closely with Morgan Stanley’s Wealth Management group worldwide in identifying outperforming international investment strategies for its clients. Earlier positions include Corporate Finance, Fixed Income and Equity Sales and Syndication with the securities trading and merchant banking firm LF Rothschild &amp; Co in New York, one of the leading firms in providing financing, stock exchange listings and mergers &amp; acquisitions advice to companies primarily in the Technology and Biotech sectors. Mr. Young worked with the US office of the Organization for Economic Co-operation and Development in New York, providing guidance to the US Government as well as a wide range of multinational companies with inter-European and EU policy and regulations governing financial services, labor practices, information sharing between police forces and security-related issues, space cooperation and other key areas. Mr. Young has a Bachelor of Science in Economics &amp; International Studies, as well as a Juris Doctorate in Law and Masters in Business Administration from the University of North Carolina – Chapel Hill.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ind w:firstLine="324"/>
        <w:spacing w:after="0" w:line="254" w:lineRule="auto"/>
        <w:rPr>
          <w:sz w:val="20"/>
          <w:szCs w:val="20"/>
          <w:color w:val="auto"/>
        </w:rPr>
      </w:pPr>
      <w:r>
        <w:rPr>
          <w:rFonts w:ascii="Arial" w:cs="Arial" w:eastAsia="Arial" w:hAnsi="Arial"/>
          <w:sz w:val="18"/>
          <w:szCs w:val="18"/>
          <w:b w:val="1"/>
          <w:bCs w:val="1"/>
          <w:color w:val="auto"/>
        </w:rPr>
        <w:t xml:space="preserve">Alexis Johnson </w:t>
      </w:r>
      <w:r>
        <w:rPr>
          <w:rFonts w:ascii="Arial" w:cs="Arial" w:eastAsia="Arial" w:hAnsi="Arial"/>
          <w:sz w:val="18"/>
          <w:szCs w:val="18"/>
          <w:color w:val="auto"/>
        </w:rPr>
        <w:t>is one of our advisors. Ms. Johnson has over five years of experience in real estate development and construction management ranging</w:t>
      </w:r>
      <w:r>
        <w:rPr>
          <w:rFonts w:ascii="Arial" w:cs="Arial" w:eastAsia="Arial" w:hAnsi="Arial"/>
          <w:sz w:val="18"/>
          <w:szCs w:val="18"/>
          <w:b w:val="1"/>
          <w:bCs w:val="1"/>
          <w:color w:val="auto"/>
        </w:rPr>
        <w:t xml:space="preserve"> </w:t>
      </w:r>
      <w:r>
        <w:rPr>
          <w:rFonts w:ascii="Arial" w:cs="Arial" w:eastAsia="Arial" w:hAnsi="Arial"/>
          <w:sz w:val="18"/>
          <w:szCs w:val="18"/>
          <w:color w:val="auto"/>
        </w:rPr>
        <w:t>from high-end residential to commercial and healthcare, with a total value from the projects totaling over $2 billion. Ms. Johnson launched her media company in 2015 targeting niche industries and communities. Ms. Johnson began passively investing in cryptocurrencies in early 2017, and during Spring 2018 launched the Light Node Media a new division, an events, public relations and media company which targets the Blockchain community. In Summer 2019 Ms. Johnson founded Legends Investment Network. Ms. Johnson serves as President and Board member of the Johns Hopkins Blockchain and Fintech network which connects students, alumni and professors that work or express interest within the Blockchain space. Ms. Johnson graduated with Cum Laude distinction from Loomis Chaffee, an independent boarding school in Windsor, CT and part of Ten Schools Admissions Organization. A recipient of the Little Rock 9 Scholarship, Ms. Johnson holds a bachelors in Civil Engineering from Johns Hopkins University's Whiting School of Engineering.</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Affiliated SPACS.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March 2021, BurTech LP LLC, our Sponsor, founded GSD Quantum AI Acquisition Corp., which changed its name to BurTech Acquisition Corp.</w:t>
      </w:r>
    </w:p>
    <w:p>
      <w:pPr>
        <w:spacing w:after="0" w:line="46" w:lineRule="exact"/>
        <w:rPr>
          <w:sz w:val="20"/>
          <w:szCs w:val="20"/>
          <w:color w:val="auto"/>
        </w:rPr>
      </w:pPr>
    </w:p>
    <w:p>
      <w:pPr>
        <w:ind w:right="60" w:firstLine="8"/>
        <w:spacing w:after="0" w:line="284" w:lineRule="auto"/>
        <w:tabs>
          <w:tab w:leader="none" w:pos="165" w:val="left"/>
        </w:tabs>
        <w:numPr>
          <w:ilvl w:val="0"/>
          <w:numId w:val="45"/>
        </w:numPr>
        <w:rPr>
          <w:rFonts w:ascii="Arial" w:cs="Arial" w:eastAsia="Arial" w:hAnsi="Arial"/>
          <w:sz w:val="16"/>
          <w:szCs w:val="16"/>
          <w:color w:val="auto"/>
        </w:rPr>
      </w:pPr>
      <w:r>
        <w:rPr>
          <w:rFonts w:ascii="Arial" w:cs="Arial" w:eastAsia="Arial" w:hAnsi="Arial"/>
          <w:sz w:val="16"/>
          <w:szCs w:val="16"/>
          <w:color w:val="auto"/>
        </w:rPr>
        <w:t>on October 5, 2021 (“BurTech II”), a blank check company incorporated for the purposes of effecting a business combination. BurTech II is expected to complete its initial public offering either before or after this offering. In March 2021, our Sponsor founded Bridge Media Acquisition Corp. (“Bridge”) a blank check company incorporated for the purposes of effecting a business combination. Bridge is expected to complete its initial public offering after this offering. Certain of our executive officers also serve as executive officers for BurTech II and Bridge. Our officers and directors may have conflicts of interest with other entities to which they owe fiduciary or contractual obligations with respect to initial business combination opportunities, including for our officers with respect to BurTech II and Bridge, collectively which we refer to as the “Affiliated SPACs”. None of our officers or directors, our sponsor, nor any of its respective officers, directors, employees, or affiliates, have had management experience with blank check companies or special purpose acquisition corporations in the past. In order to minimize potential conflicts of interest which may arise from multiple affiliations, our officers who are also officers of any of the Affiliated SPACs may be required to present all suitable target businesses to the Affiliated SPACs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 For a list of our officers and directors and entities for which a conflict of interest may or does exist between such officers or directors and the company, as well as the priority and preference that such entity has with respect to performance of obligations and presentation of business opportunities to us, please refer to the table and subsequent explanatory paragraph under “Management — Conflicts of Interest”. Although conflicts of interest in pursuing an acquisition target may arise among the Affiliated SPACS, we do not believe that any potential conflicts would materially affect our ability to complete our initial business combination.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Our strategy is to utilize our management team’s investing and operating experience to identify and acquire a business within our sectors of interest. Upon a successful business combination, we intend to have a hands-on approach towards growing the business organically and through acquisitions, improve operations, raise capital and optimize the business’ capital structure. Our investing style is deep-rooted in disciplined fundamental analysis, taking a long-term view towards shareholder value creation and improving the business’ operating performance. We currently expect that we will leverage our management team’s knowledge, experience and longstanding relationships within various industries towards identifying business combination opportunities. Furthermore, we intend to source initial business combination opportunities through our management team’s network of investors, operating partners, financial firms, brokers and lenders. Upon completion of this offering, members of our management team will communicate with their networks our target acquisition criteria and business strategy to begin the process of pursuing and reviewing potentially interesting ideas.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Thesis</w:t>
      </w:r>
    </w:p>
    <w:p>
      <w:pPr>
        <w:spacing w:after="0" w:line="229"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We are seeing emerging trends of industry crossovers and overlapping technologies and policies across the infrastructure, property, and fintech spaces. The convergence of information, transactions, and management is enabling the rapid growth of the infratech, proptech, and fintech industries - from smart homes to construction/property management/business tech.</w:t>
      </w:r>
    </w:p>
    <w:p>
      <w:pPr>
        <w:spacing w:after="0" w:line="18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Technology prices and risks are falling while big data and artificial intelligence are rapidly growing. It is no longer enough to just capture data, we have to make sense of it and create new opportunities for people and businesses with it. We also have to streamline services like automated valuations. Connectivity is increasingly crucial for tomorrow's modern life, and with work life shifting due to the pandemic - work, home, and leisure is merging more and more.</w:t>
      </w:r>
    </w:p>
    <w:p>
      <w:pPr>
        <w:spacing w:after="0" w:line="187"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Social housing needs are rapidly increasing within our changing demographics, and we expect these needs to keep growing. Whether it be micro-housing in high density urban areas or it be multi-generational housing, co-living or community-living, we are seeing these important evolutionary trends across retirees as well as young millennials. Blurring of the use of properties and converting them into multi-function spaces is the next frontier of helping the world increase productivity, comfort, and fun - through spaces where work, rest, and play meet seamlessly.</w:t>
      </w:r>
    </w:p>
    <w:p>
      <w:pPr>
        <w:spacing w:after="0" w:line="171"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The rise of the "digital nomad” is also giving rise to a brand new property demand: global properties with lightning fast broadband, print facilities, luxurious bedding, and group dinners that promote intermingling with peers and brainstorming on new ventures and ideas … all before ‘nomading' off to another part of the world for the next few months.</w:t>
      </w:r>
    </w:p>
    <w:p>
      <w:pPr>
        <w:spacing w:after="0" w:line="18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This evolution in how we live, play, and work is making the industry rethink how we use space wisely. The sharing economy has emerged, and we are the leading experts in bringing to the world meaningful, sustainable, energy-efficient, and timely changes in how we use properties in the future and also how their economic models need to evolve over time. We believe that our capabilities in technology developments across infrastructure, real estate, fintech, and blockchain will give us unparalleled advantages in bringing viable and diverse options for the entire spectrum of investors, businesses, travelers, renters, and owners. Our reputation and experience along with our acute abilities to leverage, source, value, perform due-diligence, and execute provides us a significant pipeline of opportunities from which we evaluate and select businesses that will benefit from our expertise with regards to their profitability and productivity.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While we will not be limited to a particular industry or geographic region, given the experience of our management team, we expect to focus on acquiring a business that participates within the consumer, financial services, lifestyle, infrastructure, technology or real estate markets and gain the benefit of our team’s deep knowledge in cloud connectivity and services that can be leveraged in those markets We believe that significant opportunity exists in bringing scale, increased market penetration and cloud connected technology solutions to businesses that benefit from strong core offerings and have access to large addressable markets. Our management team will look to identify business combination targets that are in need of strategic growth capital, will benefit from becoming a publicly listed company or will benefit from our management team’s experience and relationships towards scaling existing platforms. We intend to seek candidates with an enterprise value of between $500 million and $1.5 billion, where we believe our management team has the strongest network to identify opportunities.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Acquisition Criteria</w:t>
      </w:r>
    </w:p>
    <w:p>
      <w:pPr>
        <w:spacing w:after="0" w:line="229"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We will seek to identify companies that have compelling growth potential and a combination of the following characteristics. We will use these criteria and guidelines in evaluating acquisition opportunities, but we may decide to enter our initial business combination with a target business that does not meet these criteria and guidelines. We intend to acquire companies or assets that we believe have the following attributes:</w:t>
      </w:r>
    </w:p>
    <w:p>
      <w:pPr>
        <w:spacing w:after="0" w:line="165" w:lineRule="exact"/>
        <w:rPr>
          <w:sz w:val="20"/>
          <w:szCs w:val="20"/>
          <w:color w:val="auto"/>
        </w:rPr>
      </w:pPr>
    </w:p>
    <w:p>
      <w:pPr>
        <w:ind w:left="660" w:right="380" w:hanging="328"/>
        <w:spacing w:after="0" w:line="311"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Scalability and large addressable markets. </w:t>
      </w:r>
      <w:r>
        <w:rPr>
          <w:rFonts w:ascii="Arial" w:cs="Arial" w:eastAsia="Arial" w:hAnsi="Arial"/>
          <w:sz w:val="16"/>
          <w:szCs w:val="16"/>
          <w:color w:val="auto"/>
        </w:rPr>
        <w:t>We intend to seek candidates that operate in large markets where small increases in cloud</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connectivity penetration can translate into rapid and significant financial benefits. We intend to evaluate each market based on several factors, including competitive dynamics, demand drivers, macroeconomic trends, and the potential to build a sustainable competitive edge.</w:t>
      </w:r>
    </w:p>
    <w:p>
      <w:pPr>
        <w:spacing w:after="0" w:line="148" w:lineRule="exact"/>
        <w:rPr>
          <w:rFonts w:ascii="Arial" w:cs="Arial" w:eastAsia="Arial" w:hAnsi="Arial"/>
          <w:sz w:val="16"/>
          <w:szCs w:val="16"/>
          <w:color w:val="auto"/>
        </w:rPr>
      </w:pPr>
    </w:p>
    <w:p>
      <w:pPr>
        <w:jc w:val="both"/>
        <w:ind w:left="660" w:right="18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Attractive customer demographics. </w:t>
      </w:r>
      <w:r>
        <w:rPr>
          <w:rFonts w:ascii="Arial" w:cs="Arial" w:eastAsia="Arial" w:hAnsi="Arial"/>
          <w:sz w:val="18"/>
          <w:szCs w:val="18"/>
          <w:color w:val="auto"/>
        </w:rPr>
        <w:t>Our management team has deep insights into the consumer and enterprise customer’s behavior and buying</w:t>
      </w:r>
      <w:r>
        <w:rPr>
          <w:rFonts w:ascii="Arial" w:cs="Arial" w:eastAsia="Arial" w:hAnsi="Arial"/>
          <w:sz w:val="18"/>
          <w:szCs w:val="18"/>
          <w:i w:val="1"/>
          <w:iCs w:val="1"/>
          <w:color w:val="auto"/>
        </w:rPr>
        <w:t xml:space="preserve"> </w:t>
      </w:r>
      <w:r>
        <w:rPr>
          <w:rFonts w:ascii="Arial" w:cs="Arial" w:eastAsia="Arial" w:hAnsi="Arial"/>
          <w:sz w:val="18"/>
          <w:szCs w:val="18"/>
          <w:color w:val="auto"/>
        </w:rPr>
        <w:t>patterns in a range of global markets. We expect to capitalize on shifting demographic trends to build a sustainable business enterprise with clear understandings of global market trends.</w:t>
      </w:r>
    </w:p>
    <w:p>
      <w:pPr>
        <w:spacing w:after="0" w:line="183"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Brands serving high growth markets. </w:t>
      </w:r>
      <w:r>
        <w:rPr>
          <w:rFonts w:ascii="Arial" w:cs="Arial" w:eastAsia="Arial" w:hAnsi="Arial"/>
          <w:sz w:val="18"/>
          <w:szCs w:val="18"/>
          <w:color w:val="auto"/>
        </w:rPr>
        <w:t>We intend to seek candidates where we believe that customer connection with the business’ brands in their</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matters and will continue to matter. We believe that building global brand recognition with an awareness of the ultimate brand value in the markets we will serve is a significant driver of shareholder value.</w:t>
      </w:r>
    </w:p>
    <w:p>
      <w:pPr>
        <w:spacing w:after="0" w:line="183" w:lineRule="exact"/>
        <w:rPr>
          <w:rFonts w:ascii="Arial" w:cs="Arial" w:eastAsia="Arial" w:hAnsi="Arial"/>
          <w:sz w:val="18"/>
          <w:szCs w:val="18"/>
          <w:color w:val="auto"/>
        </w:rPr>
      </w:pPr>
    </w:p>
    <w:p>
      <w:pPr>
        <w:ind w:left="660" w:right="140" w:hanging="328"/>
        <w:spacing w:after="0" w:line="301"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Ecosystem-oriented and technology-centric. </w:t>
      </w:r>
      <w:r>
        <w:rPr>
          <w:rFonts w:ascii="Arial" w:cs="Arial" w:eastAsia="Arial" w:hAnsi="Arial"/>
          <w:sz w:val="16"/>
          <w:szCs w:val="16"/>
          <w:color w:val="auto"/>
        </w:rPr>
        <w:t>We intend to seek candidates that have a potential to provide the business’ customers with</w:t>
      </w:r>
      <w:r>
        <w:rPr>
          <w:rFonts w:ascii="Arial" w:cs="Arial" w:eastAsia="Arial" w:hAnsi="Arial"/>
          <w:sz w:val="16"/>
          <w:szCs w:val="16"/>
          <w:i w:val="1"/>
          <w:iCs w:val="1"/>
          <w:color w:val="auto"/>
        </w:rPr>
        <w:t xml:space="preserve"> </w:t>
      </w:r>
      <w:r>
        <w:rPr>
          <w:rFonts w:ascii="Arial" w:cs="Arial" w:eastAsia="Arial" w:hAnsi="Arial"/>
          <w:sz w:val="16"/>
          <w:szCs w:val="16"/>
          <w:color w:val="auto"/>
        </w:rPr>
        <w:t>comprehensive benefits within a cloud connected ecosystem. Our management team has expertise in identifying and investing in scalable growth businesses. The team has experience in using partnerships to drive value creation, scale and entry into new global markets. Furthermore, our management team has experience deploying capital into companies to propel growth and physical presence across global markets.</w:t>
      </w:r>
    </w:p>
    <w:p>
      <w:pPr>
        <w:spacing w:after="0" w:line="157" w:lineRule="exact"/>
        <w:rPr>
          <w:rFonts w:ascii="Arial" w:cs="Arial" w:eastAsia="Arial" w:hAnsi="Arial"/>
          <w:sz w:val="16"/>
          <w:szCs w:val="16"/>
          <w:color w:val="auto"/>
        </w:rPr>
      </w:pPr>
    </w:p>
    <w:p>
      <w:pPr>
        <w:ind w:left="660" w:right="80" w:hanging="328"/>
        <w:spacing w:after="0" w:line="279"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 xml:space="preserve">Sustainable Development Goal (SDG) measurements. </w:t>
      </w:r>
      <w:r>
        <w:rPr>
          <w:rFonts w:ascii="Arial" w:cs="Arial" w:eastAsia="Arial" w:hAnsi="Arial"/>
          <w:sz w:val="17"/>
          <w:szCs w:val="17"/>
          <w:color w:val="auto"/>
        </w:rPr>
        <w:t>We intend to seek candidates that have business models and solutions that have positive</w:t>
      </w:r>
      <w:r>
        <w:rPr>
          <w:rFonts w:ascii="Arial" w:cs="Arial" w:eastAsia="Arial" w:hAnsi="Arial"/>
          <w:sz w:val="17"/>
          <w:szCs w:val="17"/>
          <w:i w:val="1"/>
          <w:iCs w:val="1"/>
          <w:color w:val="auto"/>
        </w:rPr>
        <w:t xml:space="preserve"> </w:t>
      </w:r>
      <w:r>
        <w:rPr>
          <w:rFonts w:ascii="Arial" w:cs="Arial" w:eastAsia="Arial" w:hAnsi="Arial"/>
          <w:sz w:val="17"/>
          <w:szCs w:val="17"/>
          <w:color w:val="auto"/>
        </w:rPr>
        <w:t>impact as measured against the United Nations Sustainable Development Goals and that showcase good stewardship of the planet. Our management team is uniquely qualified in this area and has been involved in global advocacy of the SDGs as well as part of enterprises with clear metrics and measurements to show how companies can be measured for their positive impact on the SDGs.</w:t>
      </w:r>
    </w:p>
    <w:p>
      <w:pPr>
        <w:spacing w:after="0" w:line="171" w:lineRule="exact"/>
        <w:rPr>
          <w:rFonts w:ascii="Arial" w:cs="Arial" w:eastAsia="Arial" w:hAnsi="Arial"/>
          <w:sz w:val="17"/>
          <w:szCs w:val="17"/>
          <w:color w:val="auto"/>
        </w:rPr>
      </w:pPr>
    </w:p>
    <w:p>
      <w:pPr>
        <w:ind w:left="660" w:right="200" w:hanging="328"/>
        <w:spacing w:after="0" w:line="311"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Strong target management teams. </w:t>
      </w:r>
      <w:r>
        <w:rPr>
          <w:rFonts w:ascii="Arial" w:cs="Arial" w:eastAsia="Arial" w:hAnsi="Arial"/>
          <w:sz w:val="16"/>
          <w:szCs w:val="16"/>
          <w:color w:val="auto"/>
        </w:rPr>
        <w:t>We intend to seek candidates that have strong management teams with a track record of driving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growth, enhancing profitability and generating strong free cash flow. We will spend significant time assessing a target company’s leadership and personnel across the organization and evaluating how we can build a stronger team with requisite skill sets to execute on business strategy.</w:t>
      </w:r>
    </w:p>
    <w:p>
      <w:pPr>
        <w:spacing w:after="0" w:line="148" w:lineRule="exact"/>
        <w:rPr>
          <w:rFonts w:ascii="Arial" w:cs="Arial" w:eastAsia="Arial" w:hAnsi="Arial"/>
          <w:sz w:val="16"/>
          <w:szCs w:val="16"/>
          <w:color w:val="auto"/>
        </w:rPr>
      </w:pPr>
    </w:p>
    <w:p>
      <w:pPr>
        <w:ind w:left="660" w:right="14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Opportunity to benefit from our management team’s expertise. </w:t>
      </w:r>
      <w:r>
        <w:rPr>
          <w:rFonts w:ascii="Arial" w:cs="Arial" w:eastAsia="Arial" w:hAnsi="Arial"/>
          <w:sz w:val="18"/>
          <w:szCs w:val="18"/>
          <w:color w:val="auto"/>
        </w:rPr>
        <w:t>We intend to seek candidates whose performance can be augmented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team’s investing, operating expertise, and global enterprise networks. Our management team has actively recruited and retained key operational human capital into companies.</w:t>
      </w:r>
    </w:p>
    <w:p>
      <w:pPr>
        <w:spacing w:after="0" w:line="183" w:lineRule="exact"/>
        <w:rPr>
          <w:rFonts w:ascii="Arial" w:cs="Arial" w:eastAsia="Arial" w:hAnsi="Arial"/>
          <w:sz w:val="18"/>
          <w:szCs w:val="18"/>
          <w:color w:val="auto"/>
        </w:rPr>
      </w:pPr>
    </w:p>
    <w:p>
      <w:pPr>
        <w:ind w:left="660" w:right="820" w:hanging="328"/>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 xml:space="preserve">Opportunity for operational improvements. </w:t>
      </w:r>
      <w:r>
        <w:rPr>
          <w:rFonts w:ascii="Arial" w:cs="Arial" w:eastAsia="Arial" w:hAnsi="Arial"/>
          <w:sz w:val="17"/>
          <w:szCs w:val="17"/>
          <w:color w:val="auto"/>
        </w:rPr>
        <w:t>We will seek to identify businesses that we believe would benefit from our ability to drive</w:t>
      </w:r>
      <w:r>
        <w:rPr>
          <w:rFonts w:ascii="Arial" w:cs="Arial" w:eastAsia="Arial" w:hAnsi="Arial"/>
          <w:sz w:val="17"/>
          <w:szCs w:val="17"/>
          <w:i w:val="1"/>
          <w:iCs w:val="1"/>
          <w:color w:val="auto"/>
        </w:rPr>
        <w:t xml:space="preserve"> </w:t>
      </w:r>
      <w:r>
        <w:rPr>
          <w:rFonts w:ascii="Arial" w:cs="Arial" w:eastAsia="Arial" w:hAnsi="Arial"/>
          <w:sz w:val="17"/>
          <w:szCs w:val="17"/>
          <w:color w:val="auto"/>
        </w:rPr>
        <w:t>improvements in the target company’s revenue models, cost structure, brand awareness and product offerings.</w:t>
      </w:r>
    </w:p>
    <w:p>
      <w:pPr>
        <w:spacing w:after="0" w:line="146" w:lineRule="exact"/>
        <w:rPr>
          <w:rFonts w:ascii="Arial" w:cs="Arial" w:eastAsia="Arial" w:hAnsi="Arial"/>
          <w:sz w:val="17"/>
          <w:szCs w:val="17"/>
          <w:color w:val="auto"/>
        </w:rPr>
      </w:pPr>
    </w:p>
    <w:p>
      <w:pPr>
        <w:ind w:left="660" w:right="32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Growth opportunities through capital investment. </w:t>
      </w:r>
      <w:r>
        <w:rPr>
          <w:rFonts w:ascii="Arial" w:cs="Arial" w:eastAsia="Arial" w:hAnsi="Arial"/>
          <w:sz w:val="18"/>
          <w:szCs w:val="18"/>
          <w:color w:val="auto"/>
        </w:rPr>
        <w:t>We intend to seek candidates that will benefit from additional capital investment through a</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combination and technology enhancing solutions. These opportunities may include investment in existing and new facilities to drive growth.</w:t>
      </w:r>
    </w:p>
    <w:p>
      <w:pPr>
        <w:spacing w:after="0" w:line="183" w:lineRule="exact"/>
        <w:rPr>
          <w:rFonts w:ascii="Arial" w:cs="Arial" w:eastAsia="Arial" w:hAnsi="Arial"/>
          <w:sz w:val="18"/>
          <w:szCs w:val="18"/>
          <w:color w:val="auto"/>
        </w:rPr>
      </w:pPr>
    </w:p>
    <w:p>
      <w:pPr>
        <w:ind w:left="660" w:right="16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Opportunities for add-on acquisitions. </w:t>
      </w:r>
      <w:r>
        <w:rPr>
          <w:rFonts w:ascii="Arial" w:cs="Arial" w:eastAsia="Arial" w:hAnsi="Arial"/>
          <w:sz w:val="18"/>
          <w:szCs w:val="18"/>
          <w:color w:val="auto"/>
        </w:rPr>
        <w:t>We will seek to acquire one or more businesses or assets that we can grow both organically and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In addition, we believe that our ability to source proprietary opportunities will be valuable as we continue to build upon a robust public company platform post initial business combination.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ind w:left="660" w:right="64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Appropriate valuations. </w:t>
      </w:r>
      <w:r>
        <w:rPr>
          <w:rFonts w:ascii="Arial" w:cs="Arial" w:eastAsia="Arial" w:hAnsi="Arial"/>
          <w:sz w:val="18"/>
          <w:szCs w:val="18"/>
          <w:color w:val="auto"/>
        </w:rPr>
        <w:t>We will seek to be disciplined and bring our fundamental investing approach towards valuing potential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targets.</w:t>
      </w:r>
    </w:p>
    <w:p>
      <w:pPr>
        <w:spacing w:after="0" w:line="170"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may deem relevant. In the event that we decide to enter into our initial business combination with a target business that does not meet some or all of the above criteria and guidelines, we will disclose that the target business does not meet such criteria in our stockholder communications related to our initial business combination, which, as discussed in this prospectus, would be in the form of tender offer documents or proxy solicitation materials that we would file with the SEC.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Experienced Management Team with Diverse Deal Sourcing Network</w:t>
      </w:r>
    </w:p>
    <w:p>
      <w:pPr>
        <w:spacing w:after="0" w:line="225"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Our management team’s contacts and relationships are extensive across the targeted industries, providing superior access to private companies. With regard to real estate, infrastructure, financial services, lifestyle brands, our network includes private equity, venture capital, technology entrepreneurs, and individual owners and founders of space-as-a-service operators, clean energy, cloud services, real estate technology companies, hotels, retailers, and restaurant groups. This network extends beyond the United States into Europe, Asia, the Middle East, South America, and Sub-Saharan Africa. We intend to leverage this network to gain exclusive access to and identify attractive target businesses which have the opportunity to scale up, transition services and customers, and grow.</w:t>
      </w:r>
    </w:p>
    <w:p>
      <w:pPr>
        <w:spacing w:after="0" w:line="19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addition, we anticipate that target business candidates may be brought to our attention from various unaffiliated sources, including real estate market participants, private equity and venture capital groups, investment banking firms, consultants, legal and accounting firms and large business enterprises. Upon completion of this offering, members of our management team will communicate actively with their networks of relationships to articulate parameters for a potential business combination target.</w:t>
      </w:r>
    </w:p>
    <w:p>
      <w:pPr>
        <w:spacing w:after="0" w:line="187"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In addition to supporting us in the areas of, assessment of key risks and opportunities and due diligence, members of our board of directors may also advise us after the completion of our business combination in overseeing our strategy and value creation plan where relevant expertise exists.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Past performance of our management team is not a guarantee either (i) of success with respect to any business combination we may consummate or</w:t>
      </w:r>
    </w:p>
    <w:p>
      <w:pPr>
        <w:spacing w:after="0" w:line="46" w:lineRule="exact"/>
        <w:rPr>
          <w:sz w:val="20"/>
          <w:szCs w:val="20"/>
          <w:color w:val="auto"/>
        </w:rPr>
      </w:pPr>
    </w:p>
    <w:p>
      <w:pPr>
        <w:ind w:right="40" w:firstLine="8"/>
        <w:spacing w:after="0" w:line="251" w:lineRule="auto"/>
        <w:tabs>
          <w:tab w:leader="none" w:pos="26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that we will be able to identify a suitable candidate for our initial business combination. You should not rely on the historical performance record of our management team as indicative of our future performance. Additionally, in the course of their respective careers, members of our management team have been involved in businesses and deals that were unsuccessful. Our officers and directors have no experience with special purpose acquisition companies. In addition, our officers and directors may have conflicts of interest and non-compete agreements with other entities to which they owe fiduciary or contractual obligations with respect to initial business combination opportunities. For a list of our officers and directors and entities for which a conflict of interest may or does exist between such persons and the company, as well as the priority and preference that such entity has with respect to performance of obligations and presentation of business opportunities to us, please refer to the table and subsequent explanatory paragraph under “Management — Conflicts of Interest”.</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Management Experience and understandings of Governmental policy and work with Universities on Innovation programs.</w:t>
      </w:r>
    </w:p>
    <w:p>
      <w:pPr>
        <w:spacing w:after="0" w:line="225" w:lineRule="exact"/>
        <w:rPr>
          <w:sz w:val="20"/>
          <w:szCs w:val="20"/>
          <w:color w:val="auto"/>
        </w:rPr>
      </w:pPr>
    </w:p>
    <w:p>
      <w:pPr>
        <w:ind w:right="380" w:firstLine="324"/>
        <w:spacing w:after="0" w:line="296" w:lineRule="auto"/>
        <w:rPr>
          <w:sz w:val="20"/>
          <w:szCs w:val="20"/>
          <w:color w:val="auto"/>
        </w:rPr>
      </w:pPr>
      <w:r>
        <w:rPr>
          <w:rFonts w:ascii="Arial" w:cs="Arial" w:eastAsia="Arial" w:hAnsi="Arial"/>
          <w:sz w:val="16"/>
          <w:szCs w:val="16"/>
          <w:color w:val="auto"/>
        </w:rPr>
        <w:t>Our management team brings significant experience working with Governmental groups and organizations on policy and programs to enhance the reach of U.S. companies in developing markets in areas of technology and infrastructure. Our management team also works closely with leading Universities in the United States on programs to enhance the opportunity and access of technology and innovation for new markets both in the United States and in Developing Markets. This understanding and experience with the role of Governmental policies and strong University programs play in opening and enhancing global market opportunities for our businesses we feel is a unique competitive strength of our management team.</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1" w:name="page102"/>
    <w:bookmarkEnd w:id="101"/>
    <w:p>
      <w:pPr>
        <w:ind w:left="340"/>
        <w:spacing w:after="0"/>
        <w:rPr>
          <w:sz w:val="20"/>
          <w:szCs w:val="20"/>
          <w:color w:val="auto"/>
        </w:rPr>
      </w:pPr>
      <w:r>
        <w:rPr>
          <w:rFonts w:ascii="Arial" w:cs="Arial" w:eastAsia="Arial" w:hAnsi="Arial"/>
          <w:sz w:val="18"/>
          <w:szCs w:val="18"/>
          <w:i w:val="1"/>
          <w:iCs w:val="1"/>
          <w:color w:val="auto"/>
        </w:rPr>
        <w:t>Management Experience Identifying and Investing in Scalable Businesses</w:t>
      </w:r>
    </w:p>
    <w:p>
      <w:pPr>
        <w:spacing w:after="0" w:line="22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Our management team brings recent experience in working with rapidly scaling businesses. The complementary skillset of our management team is well suited to working with companies and brands that can grow rapidly with the addition of, or access to capital. Helping companies grow physical presence by utilizing our management team’s knowledge of global real estate markets, real estate operations, and the capital markets is a core competitive strength.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Business Combination</w:t>
      </w:r>
    </w:p>
    <w:p>
      <w:pPr>
        <w:spacing w:after="0" w:line="229"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will obtain an opinion from an independent investment banking firm or another independent entity that commonly renders valuation opinions with respect to the satisfaction of such criteria.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a target’s assets or prospects. Additionally, pursuant to Nasdaq rules, any initial business combination must be approved by a majority of our independent directors.</w:t>
      </w:r>
    </w:p>
    <w:p>
      <w:pPr>
        <w:spacing w:after="0" w:line="166"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We will have until 15 months from the closing of this offering to consummate an initial business combination. Up to $1,500,000 of the loans made by our sponsor, our officers and directors, or our or their affiliates to us prior to or in connection with our initial business combination (including loans made to extend our time period for consummating a business combination) may be convertible into units at a price of $10.00 per unit at the option of the lender.</w:t>
      </w:r>
    </w:p>
    <w:p>
      <w:pPr>
        <w:spacing w:after="0" w:line="149"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anticipate structuring our initial business combination so that the post-transaction company in which our public stockholders own shares will own or acquire 100% of the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prior owners of the target business, the target management team or stockholders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Even if the post-transaction company owns or acquires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shares or other equity interests of a target. In this case, we would acquire a 100% controlling interest in the target. However, as a result of the issuance of a substantial number of new shares, our stockholders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fair market value test. If the business combination involves more than one target business, the 80% fair market value test will be based on the aggregate value of all of the target businesses and we will treat the target businesses together as our initial business combination for purposes of a tender offer or for seeking stockholder approval, as applicable.</w:t>
      </w:r>
    </w:p>
    <w:p>
      <w:pPr>
        <w:spacing w:after="0" w:line="176"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Our sponsor, officers, directors, and their respective affiliates may participate in the formation of, or become an officer or director of, any other blank check company prior to completion of our initial business combination. In particular, certain of our executive officers and directors also serve as executive officers or directors of an Affiliated SPAC, which is focused on searching for businesses that may provide significant opportunities for attractive investor returns in industries similar to the industries in which our search is focused. As a result, our sponsor, officers or directors could have conflicts of interest in determining whether to present business combination opportunities to us or to any other blank check company with which they may become involved.</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2" w:name="page103"/>
    <w:bookmarkEnd w:id="102"/>
    <w:p>
      <w:pPr>
        <w:ind w:firstLine="324"/>
        <w:spacing w:after="0" w:line="289" w:lineRule="auto"/>
        <w:rPr>
          <w:sz w:val="20"/>
          <w:szCs w:val="20"/>
          <w:color w:val="auto"/>
        </w:rPr>
      </w:pPr>
      <w:r>
        <w:rPr>
          <w:rFonts w:ascii="Arial" w:cs="Arial" w:eastAsia="Arial" w:hAnsi="Arial"/>
          <w:sz w:val="16"/>
          <w:szCs w:val="16"/>
          <w:color w:val="auto"/>
        </w:rPr>
        <w:t>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including an Affiliated SPAC.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such opportunity is one we are legally and contractually permitted to undertake and would otherwise be reasonable for us to pursue, and to the extent the director or officer is permitted to refer that opportunity to us without violating another legal obligation. Accordingly, if any of our officers or directors becomes aware of a business combination opportunity which is suitable for one or more entities to which he or she has fiduciary, contractual or other obligations or duties, including an Affiliated SPAC, he or she will honor these obligations and duties to present such business combination opportunity to such entities first, and only present it to us if such entities reject the opportunity and he or she determines to present the opportunity to us.</w:t>
      </w:r>
    </w:p>
    <w:p>
      <w:pPr>
        <w:spacing w:after="0" w:line="166"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16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Combination Process</w:t>
      </w:r>
    </w:p>
    <w:p>
      <w:pPr>
        <w:spacing w:after="0" w:line="22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In evaluating prospective business combinations, we expect to conduct a thorough due diligence review process that will encompass, among other things, a review of historical and projected financial and operating data, meetings with management and their advisors (if applicable), on-site inspection of facilities and assets, discussion with customers and suppliers, legal reviews and other reviews as we deem appropriate. We will also utilize the expertise of our management team in analyzing companies and evaluating operating projections, financial projections and determining the appropriate return expectations given the risk profile of the target business.</w:t>
      </w:r>
    </w:p>
    <w:p>
      <w:pPr>
        <w:spacing w:after="0" w:line="188"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We are not prohibited from pursuing an initial business combination with a company that is affiliated with our sponsor, officers or directors. In the event we seek to complete our initial business combination with a company that is affiliated with our sponsor, officers or directors we, or a committee of independent directors, will obtain an opinion from an independent investment banking firm or another independent entity that commonly renders valuation opinions that our initial business combination is fair to our company from a financial point of view.</w:t>
      </w:r>
    </w:p>
    <w:p>
      <w:pPr>
        <w:spacing w:after="0" w:line="17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Members of our management team may directly or indirectly own our founders shares, common stock and/or private placement warrants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were to be included by a target business as a condition to any agreement with respect to our initial business combination. We have not selected any specific business combination target and we have not, nor has anyone on our behalf, initiated any substantive discussions, directly or indirectly, with any business combination target.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3" w:name="page104"/>
    <w:bookmarkEnd w:id="103"/>
    <w:p>
      <w:pPr>
        <w:ind w:right="20" w:firstLine="324"/>
        <w:spacing w:after="0" w:line="291" w:lineRule="auto"/>
        <w:rPr>
          <w:sz w:val="20"/>
          <w:szCs w:val="20"/>
          <w:color w:val="auto"/>
        </w:rPr>
      </w:pPr>
      <w:r>
        <w:rPr>
          <w:rFonts w:ascii="Arial" w:cs="Arial" w:eastAsia="Arial" w:hAnsi="Arial"/>
          <w:sz w:val="16"/>
          <w:szCs w:val="16"/>
          <w:color w:val="auto"/>
        </w:rPr>
        <w:t>Some of our officers and directors presently have, and any of them in the future may have additional, fiduciary or contractual obligations to other entities pursuant to which such officer or director is or will be required to present a business combination opportunity. Accordingly, if any of our officers or directors becomes aware of a business combination opportunity which is suitable for an entity to which he or she has then-current fiduciary or contractual obligations to present the opportunity to such entity, he or she will honor his or her fiduciary or contractual obligations to present such opportunity to such entity. We believe, however, that the fiduciary duties or contractual obligations of our officers or directors will not materially affect our ability to complete our initial business combination, as we believe any such opportunities presented would be smaller than what we are interested in, in different fields than what we would be interested in, and that our obligations are to entities that are not themselves in the business of engaging in business combinations.</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and to the extent the director or officer is permitted to refer that opportunity to us without violating another legal obligation.</w:t>
      </w:r>
    </w:p>
    <w:p>
      <w:pPr>
        <w:spacing w:after="0" w:line="18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a Public Company</w:t>
      </w:r>
    </w:p>
    <w:p>
      <w:pPr>
        <w:spacing w:after="0" w:line="229"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We believe our structure will make us an attractive business combination partner to target businesses. As a public company, we offer a target business an alternative to the traditional initial public offering through a merger or other business combination with us. Following an initial business combination, we believe the target business would have greater access to capital and additional means of creating management incentives that are better aligned with stockholders’ interests than it would as a private company. A target business can further benefit by augmenting its profile among potential new customers and vendors and aid in attracting talented employees. In a business combination transaction with us, the owners of the target business may, for example, exchange their shares of stock in the target business for our shares of Class A common stock (or shares of a new holding company) or for a combination of our shares of Class A common stock and cash, allowing us to tailor the consideration to the specific needs of the sellers.</w:t>
      </w:r>
    </w:p>
    <w:p>
      <w:pPr>
        <w:spacing w:after="0" w:line="16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Although there are various costs and obligations associated with being a public company, we believe target businesses will find this method a more expeditious and cost effective method to becoming a public company than the typical initial public offering. The typical initial public offering process takes a significantly longer period of time than the typical business combination transaction process, and there are significant expenses in the initial public offering process, including underwriting discounts and commissions, marketing and road show efforts that may not be present to the same extent in connection with an initial business combination with us.</w:t>
      </w:r>
    </w:p>
    <w:p>
      <w:pPr>
        <w:spacing w:after="0" w:line="188"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Furthermore, once a proposed initial business combination is completed, the target business will have effectively become public, whereas an initial public offering is always subject to the underwriters’ ability to complete the offering, as well as general market conditions, which could delay or prevent the offering from occurring or could have negative valuation consequences. Following an initial business combination, we believe the target business would then have greater access to capital and an additional means of providing management incentives consistent with stockholders’ interests and the ability to use its shares as currency for acquisitions. Being a public company can offer further benefits by augmenting a company’s profile among potential new customers and vendors and aid in attracting talented employees.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4" w:name="page105"/>
    <w:bookmarkEnd w:id="104"/>
    <w:p>
      <w:pPr>
        <w:ind w:right="420" w:firstLine="324"/>
        <w:spacing w:after="0" w:line="263" w:lineRule="auto"/>
        <w:rPr>
          <w:sz w:val="20"/>
          <w:szCs w:val="20"/>
          <w:color w:val="auto"/>
        </w:rPr>
      </w:pPr>
      <w:r>
        <w:rPr>
          <w:rFonts w:ascii="Arial" w:cs="Arial" w:eastAsia="Arial" w:hAnsi="Arial"/>
          <w:sz w:val="18"/>
          <w:szCs w:val="18"/>
          <w:color w:val="auto"/>
        </w:rPr>
        <w:t>While we believe that our structure and our management team’s backgrounds will make us an attractive business partner, some potential target businesses may view our status as a blank check company, such as our lack of an operating history and our ability to seek stockholder approval of any proposed initial business combination, negatively.</w:t>
      </w:r>
    </w:p>
    <w:p>
      <w:pPr>
        <w:spacing w:after="0" w:line="184"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77" w:lineRule="exact"/>
        <w:rPr>
          <w:sz w:val="20"/>
          <w:szCs w:val="20"/>
          <w:color w:val="auto"/>
        </w:rPr>
      </w:pPr>
    </w:p>
    <w:p>
      <w:pPr>
        <w:ind w:right="420" w:firstLine="324"/>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w:t>
      </w:r>
    </w:p>
    <w:p>
      <w:pPr>
        <w:spacing w:after="0" w:line="209" w:lineRule="auto"/>
        <w:rPr>
          <w:sz w:val="20"/>
          <w:szCs w:val="20"/>
          <w:color w:val="auto"/>
        </w:rPr>
      </w:pPr>
      <w:r>
        <w:rPr>
          <w:rFonts w:ascii="Arial" w:cs="Arial" w:eastAsia="Arial" w:hAnsi="Arial"/>
          <w:sz w:val="18"/>
          <w:szCs w:val="18"/>
          <w:color w:val="auto"/>
        </w:rPr>
        <w:t>which means the market value of our Class A common stock that is held by non-affiliates exceeds $700 million as of the prior June 30</w:t>
      </w:r>
      <w:r>
        <w:rPr>
          <w:rFonts w:ascii="Arial" w:cs="Arial" w:eastAsia="Arial" w:hAnsi="Arial"/>
          <w:sz w:val="29"/>
          <w:szCs w:val="29"/>
          <w:color w:val="auto"/>
          <w:vertAlign w:val="superscript"/>
        </w:rPr>
        <w:t>th</w:t>
      </w:r>
      <w:r>
        <w:rPr>
          <w:rFonts w:ascii="Arial" w:cs="Arial" w:eastAsia="Arial" w:hAnsi="Arial"/>
          <w:sz w:val="18"/>
          <w:szCs w:val="18"/>
          <w:color w:val="auto"/>
        </w:rPr>
        <w:t>, and (2) the date on which we have issued more than $1.0 billion in non-convertible debt securities during the prior three-year period.</w:t>
      </w:r>
    </w:p>
    <w:p>
      <w:pPr>
        <w:spacing w:after="0" w:line="204"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equals or exceeds $250</w:t>
      </w:r>
    </w:p>
    <w:p>
      <w:pPr>
        <w:spacing w:after="0" w:line="2"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million as of the end of the prior June 30</w:t>
      </w:r>
      <w:r>
        <w:rPr>
          <w:rFonts w:ascii="Arial" w:cs="Arial" w:eastAsia="Arial" w:hAnsi="Arial"/>
          <w:sz w:val="29"/>
          <w:szCs w:val="29"/>
          <w:color w:val="auto"/>
          <w:vertAlign w:val="superscript"/>
        </w:rPr>
        <w:t>th</w:t>
      </w:r>
      <w:r>
        <w:rPr>
          <w:rFonts w:ascii="Arial" w:cs="Arial" w:eastAsia="Arial" w:hAnsi="Arial"/>
          <w:sz w:val="18"/>
          <w:szCs w:val="18"/>
          <w:color w:val="auto"/>
        </w:rPr>
        <w:t>, or (2) our annual revenues equaled or exceeded $100 million during such completed fiscal year and the market value of our common stock held by non-affiliates exceeds $700 million as of the prior June 30</w:t>
      </w:r>
      <w:r>
        <w:rPr>
          <w:rFonts w:ascii="Arial" w:cs="Arial" w:eastAsia="Arial" w:hAnsi="Arial"/>
          <w:sz w:val="29"/>
          <w:szCs w:val="29"/>
          <w:color w:val="auto"/>
          <w:vertAlign w:val="superscript"/>
        </w:rPr>
        <w:t>th</w:t>
      </w:r>
      <w:r>
        <w:rPr>
          <w:rFonts w:ascii="Arial" w:cs="Arial" w:eastAsia="Arial" w:hAnsi="Arial"/>
          <w:sz w:val="18"/>
          <w:szCs w:val="18"/>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29"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With funds available from the public offering (excluding any proceeds from the private placement) for an initial business combination initially in the amount of $241,250,000, after payment of $8,750,000 of deferred underwriting fees (or $277,437,500 after payment of $10,062,500 of deferred underwriting fees if the underwriters’ over-allotment option is exercised in full), in each case before fees and expenses associated with our initial business combination (other than deferred underwriting fees), we offer a target business a variety of options such as creating a liquidity event for its owners, providing capital for the potential growth and expansion of its operations or strengthening its balance sheet by reducing its debt or leverage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 party financing and there can be no assurance it will be available to us.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Lack of Business Diversification</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In addition, we intend to focus our search for an initial business combination in a single industry. By completing our initial business combination with only a single entity, our lack of diversification may:</w:t>
      </w:r>
    </w:p>
    <w:p>
      <w:pPr>
        <w:spacing w:after="0" w:line="188" w:lineRule="exact"/>
        <w:rPr>
          <w:sz w:val="20"/>
          <w:szCs w:val="20"/>
          <w:color w:val="auto"/>
        </w:rPr>
      </w:pPr>
    </w:p>
    <w:p>
      <w:pPr>
        <w:ind w:left="980" w:right="14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Ability to Evaluate the Target’s Management Team</w:t>
      </w:r>
    </w:p>
    <w:p>
      <w:pPr>
        <w:spacing w:after="0" w:line="229"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Although we intend to closely scrutinize the management of a prospective target business when evaluating the desirability of effecting our initial business combination with that business, our assessment of the target business’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The determination as to whether any of the members of our management team will remain with the combined company will be made at the time of our initial business combination.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spacing w:after="0" w:line="178"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124" w:lineRule="exact"/>
        <w:rPr>
          <w:sz w:val="20"/>
          <w:szCs w:val="20"/>
          <w:color w:val="auto"/>
        </w:rPr>
      </w:pPr>
    </w:p>
    <w:p>
      <w:pPr>
        <w:ind w:right="560" w:firstLine="324"/>
        <w:spacing w:after="0" w:line="263" w:lineRule="auto"/>
        <w:rPr>
          <w:sz w:val="20"/>
          <w:szCs w:val="20"/>
          <w:color w:val="auto"/>
        </w:rPr>
      </w:pPr>
      <w:r>
        <w:rPr>
          <w:rFonts w:ascii="Arial" w:cs="Arial" w:eastAsia="Arial" w:hAnsi="Arial"/>
          <w:sz w:val="18"/>
          <w:szCs w:val="18"/>
          <w:color w:val="auto"/>
        </w:rPr>
        <w:t>Following an initial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May Not Have the Ability to Approve Our Initial Business Combination</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may conduct redemptions without a stockholder vote pursuant to the tender offer rules of the SEC. However, we will seek stockholder approval if it is required by applicable law or applicable stock exchange listing requirements, or we may decide to seek stockholder approval for business or other legal reasons. Presented in the table below is a graphic explanation of the types of initial business combinations we may consider and whether stockholder approval is currently required under Delaware law for each such transaction.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4"/>
              </w:rPr>
              <w:t>Whether</w:t>
            </w:r>
          </w:p>
        </w:tc>
      </w:tr>
      <w:tr>
        <w:trPr>
          <w:trHeight w:val="216"/>
        </w:trPr>
        <w:tc>
          <w:tcPr>
            <w:tcW w:w="52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8"/>
              </w:rPr>
              <w:t>Stockholder</w:t>
            </w:r>
          </w:p>
        </w:tc>
      </w:tr>
      <w:tr>
        <w:trPr>
          <w:trHeight w:val="216"/>
        </w:trPr>
        <w:tc>
          <w:tcPr>
            <w:tcW w:w="52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9"/>
              </w:rPr>
              <w:t>Approval is</w:t>
            </w:r>
          </w:p>
        </w:tc>
      </w:tr>
      <w:tr>
        <w:trPr>
          <w:trHeight w:val="234"/>
        </w:trPr>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Type of Transaction</w:t>
            </w:r>
          </w:p>
        </w:tc>
        <w:tc>
          <w:tcPr>
            <w:tcW w:w="46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Required</w:t>
            </w: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Purchase of assets</w:t>
            </w:r>
          </w:p>
        </w:tc>
        <w:tc>
          <w:tcPr>
            <w:tcW w:w="4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w w:val="96"/>
              </w:rPr>
              <w:t>Purchase of stock of target not involving a merger with the company</w:t>
            </w: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Merger of target into a subsidiary of the company</w:t>
            </w:r>
          </w:p>
        </w:tc>
        <w:tc>
          <w:tcPr>
            <w:tcW w:w="4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Merger of the company with a target</w:t>
            </w:r>
          </w:p>
        </w:tc>
        <w:tc>
          <w:tcPr>
            <w:tcW w:w="4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634"/>
        </w:trPr>
        <w:tc>
          <w:tcPr>
            <w:tcW w:w="522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jc w:val="right"/>
              <w:ind w:right="405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t>Under Nasdaq’s listing rules, stockholder approval would be required for our initial business combination if, for example:</w:t>
      </w:r>
    </w:p>
    <w:p>
      <w:pPr>
        <w:spacing w:after="0" w:line="225" w:lineRule="exact"/>
        <w:rPr>
          <w:sz w:val="20"/>
          <w:szCs w:val="20"/>
          <w:color w:val="auto"/>
        </w:rPr>
      </w:pPr>
    </w:p>
    <w:p>
      <w:pPr>
        <w:ind w:left="640" w:right="20" w:hanging="324"/>
        <w:spacing w:after="0" w:line="277" w:lineRule="auto"/>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issue shares of Class A common stock that will be equal to or in excess of 20% of the number of shares of our Class A common stock then outstanding (other than in a public offering);</w:t>
      </w:r>
    </w:p>
    <w:p>
      <w:pPr>
        <w:spacing w:after="0" w:line="170" w:lineRule="exact"/>
        <w:rPr>
          <w:rFonts w:ascii="Arial" w:cs="Arial" w:eastAsia="Arial" w:hAnsi="Arial"/>
          <w:sz w:val="18"/>
          <w:szCs w:val="18"/>
          <w:color w:val="auto"/>
        </w:rPr>
      </w:pPr>
    </w:p>
    <w:p>
      <w:pPr>
        <w:ind w:left="640" w:hanging="324"/>
        <w:spacing w:after="0" w:line="311" w:lineRule="auto"/>
        <w:tabs>
          <w:tab w:leader="none" w:pos="6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any of our directors, officers or substantial stockholders (as defined by Nasdaq rules) has a 5% or greater interest (or such persons collectively have a 10% or greater interest), directly or indirectly, in the target business or assets to be acquired or otherwise and the present or potential issuance of common stock could result in an increase in outstanding common stock or voting power of 5% or more; or</w:t>
      </w:r>
    </w:p>
    <w:p>
      <w:pPr>
        <w:spacing w:after="0" w:line="148" w:lineRule="exact"/>
        <w:rPr>
          <w:rFonts w:ascii="Arial" w:cs="Arial" w:eastAsia="Arial" w:hAnsi="Arial"/>
          <w:sz w:val="16"/>
          <w:szCs w:val="16"/>
          <w:color w:val="auto"/>
        </w:rPr>
      </w:pPr>
    </w:p>
    <w:p>
      <w:pPr>
        <w:ind w:left="640" w:hanging="324"/>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issuance or potential issuance of common stock will result in our undergoing a change of control.</w:t>
      </w:r>
    </w:p>
    <w:p>
      <w:pPr>
        <w:spacing w:after="0" w:line="200" w:lineRule="exact"/>
        <w:rPr>
          <w:sz w:val="20"/>
          <w:szCs w:val="20"/>
          <w:color w:val="auto"/>
        </w:rPr>
      </w:pPr>
    </w:p>
    <w:p>
      <w:pPr>
        <w:spacing w:after="0" w:line="24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0"/>
          </w:cols>
          <w:pgMar w:left="660" w:top="908" w:right="35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Permitted Purchases of our Securities</w:t>
      </w:r>
    </w:p>
    <w:p>
      <w:pPr>
        <w:spacing w:after="0" w:line="22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If we seek stockholder approval of our initial business combination and we do not conduct redemptions in connection with our initial business combination pursuant to the tender offer rules, our sponsor, initial stockholders, directors, officers, advisors or their affiliates may purchase public shares or public warrants in privately negotiated transactions or in the open market either prior to or following the completion of our initial business combination. There is no limit on the number of shares our initial stockholders, directors, officers or their affiliates may purchase in such transactions, subject to compliance with applicable law and Nasdaq rules. However, they have no current commitments, plans or intentions to engage in such transactions and have not formulated any terms or conditions for any such transactions. If they engage in such transactions, they will not make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Any such purchases will be reported pursuant to Section 13 and Section 16 of the Exchange Act to the extent such purchasers are subject to such reporting requirements. None of the funds held in the trust account will be used to purchase shares or public warrants in such transactions prior to completion of our initial business combination.</w:t>
      </w:r>
    </w:p>
    <w:p>
      <w:pPr>
        <w:spacing w:after="0" w:line="168"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The purpose of any such purchases of shares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In addition, if such purchases are made, the public “float” of our shares of Class A common stock or warrants may be reduced and the number of beneficial holders of our securities may be reduced, which may make it difficult to maintain or obtain the quotation, listing or trading of our securities on a national securities exchange.</w:t>
      </w:r>
    </w:p>
    <w:p>
      <w:pPr>
        <w:spacing w:after="0" w:line="165" w:lineRule="exact"/>
        <w:rPr>
          <w:sz w:val="20"/>
          <w:szCs w:val="20"/>
          <w:color w:val="auto"/>
        </w:rPr>
      </w:pPr>
    </w:p>
    <w:p>
      <w:pPr>
        <w:ind w:right="220" w:firstLine="324"/>
        <w:spacing w:after="0" w:line="291" w:lineRule="auto"/>
        <w:rPr>
          <w:sz w:val="20"/>
          <w:szCs w:val="20"/>
          <w:color w:val="auto"/>
        </w:rPr>
      </w:pPr>
      <w:r>
        <w:rPr>
          <w:rFonts w:ascii="Arial" w:cs="Arial" w:eastAsia="Arial" w:hAnsi="Arial"/>
          <w:sz w:val="16"/>
          <w:szCs w:val="16"/>
          <w:color w:val="auto"/>
        </w:rPr>
        <w:t>Our sponsor, officers, directors and/or their affiliates anticipate that they may identify the stockholders with whom our sponsor, officers, directors or their affiliates may pursue privately negotiated purchases by either the stockholders contacting us directly or by our receipt of redemption requests submitted by stockholders following our mailing of proxy materials in connection with our initial business combination. To the extent that our sponsor, officers, directors or their affiliates enter into a private purchase, they would identify and contact only potential selling stockholders who have expressed their election to redeem their shares for a pro rata share of the trust account or vote against our initial business combination, whether or not such stockholder has already submitted a proxy with respect to our initial business combination. Our sponsor, officers, directors or their affiliates will only purchase public shares if such purchases comply with Regulation M under the Exchange Act and the other federal securities laws.</w:t>
      </w:r>
    </w:p>
    <w:p>
      <w:pPr>
        <w:spacing w:after="0" w:line="166"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Any purchases by our sponsor, officers, directors and/or their affiliates who are affiliated purchasers under Rule 10b-18 under the Exchange Act will only be made to the extent such purchases are able to be made in compliance with Rule 10b-18, which is a safe harbor from liability for manipulation under Section 9(a)(2) and Rule 10b-5 of the Exchange Act. Rule 10b-18 has certain technical requirements that must be complied with in order for the safe harbor to be available to the purchaser. Our sponsor, officers, directors and/or their affiliates will not make purchases of common stock if the purchases would violate Section 9(a)(2) or Rule 10b-5 of the Exchange Act. We expect that any such purchases will be reported pursuant to Section 13 and Section 16 of the Exchange Act to the extent such purchases are subject to such reporting requirements.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Redemption Rights for Public Stockholders upon Completion of our Initial Business Combination</w:t>
      </w:r>
    </w:p>
    <w:p>
      <w:pPr>
        <w:spacing w:after="0" w:line="229"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We will provide our public stockholders with the opportunity to redeem all or a portion of their shares of Class A common stock upon the completion of our initial business combination at a per-share price, payable in cash, equal to the aggregate amount then on deposit in the trust account as of two business days prior to the consummation of the initial business combination including interest earned on the funds held in the trust account and not previously released to us to pay our taxes, divided by the number of then outstanding public shares, subject to the limitations described herein. The amount in the trust account is initially anticipated to be approximately $10.15 per public share. The per-share amount we will distribute to investors who properly redeem their shares will not be reduced by the deferred underwriting commissions we will pay to the underwriters. Our sponsor, officers and directors have entered into a letter agreement with us, pursuant to which they have agreed to waive their redemption rights with respect to any founder shares and placement shares and any public shares held by them in connection with the completion of our initial business combination.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Manner of Conducting Redemptions</w:t>
      </w:r>
    </w:p>
    <w:p>
      <w:pPr>
        <w:spacing w:after="0" w:line="225" w:lineRule="exact"/>
        <w:rPr>
          <w:sz w:val="20"/>
          <w:szCs w:val="20"/>
          <w:color w:val="auto"/>
        </w:rPr>
      </w:pPr>
    </w:p>
    <w:p>
      <w:pPr>
        <w:ind w:right="380" w:firstLine="324"/>
        <w:spacing w:after="0" w:line="291" w:lineRule="auto"/>
        <w:rPr>
          <w:sz w:val="20"/>
          <w:szCs w:val="20"/>
          <w:color w:val="auto"/>
        </w:rPr>
      </w:pPr>
      <w:r>
        <w:rPr>
          <w:rFonts w:ascii="Arial" w:cs="Arial" w:eastAsia="Arial" w:hAnsi="Arial"/>
          <w:sz w:val="16"/>
          <w:szCs w:val="16"/>
          <w:color w:val="auto"/>
        </w:rPr>
        <w:t>We will provide our public stockholders with the opportunity to redeem all or a portion of their public shares of Class A common stock upon the completion of our initial business combination either (i) in connection with a stockholder meeting called to approve the initial business combination or</w:t>
      </w:r>
    </w:p>
    <w:p>
      <w:pPr>
        <w:ind w:right="20" w:firstLine="8"/>
        <w:spacing w:after="0" w:line="268" w:lineRule="auto"/>
        <w:tabs>
          <w:tab w:leader="none" w:pos="265" w:val="left"/>
        </w:tabs>
        <w:numPr>
          <w:ilvl w:val="0"/>
          <w:numId w:val="51"/>
        </w:numPr>
        <w:rPr>
          <w:rFonts w:ascii="Arial" w:cs="Arial" w:eastAsia="Arial" w:hAnsi="Arial"/>
          <w:sz w:val="17"/>
          <w:szCs w:val="17"/>
          <w:color w:val="auto"/>
        </w:rPr>
      </w:pPr>
      <w:r>
        <w:rPr>
          <w:rFonts w:ascii="Arial" w:cs="Arial" w:eastAsia="Arial" w:hAnsi="Arial"/>
          <w:sz w:val="17"/>
          <w:szCs w:val="17"/>
          <w:color w:val="auto"/>
        </w:rPr>
        <w:t>by means of a tender offer. The decision as to whether we will seek stockholder approval of a proposed initial business combination or conduct a tender offer will be made by us, solely in our discretion, and will be based on a variety of factors such as the timing of the transaction and whether the terms of the transaction would require us to seek stockholder approval under the law or stock exchange listing requirement. Under Nasdaq rules, asset acquisitions and stock purchases would not typically require stockholder approval while direct mergers with our company where we do not survive and any transactions where we issue more than 20% of our outstanding common stock or seek to amend our amended and restated certificate of incorporation would require stockholder approval. If we structure an initial business combination with a target company in a manner that requires stockholder approval, we will not have discretion as to whether to seek a stockholder vote to approve the proposed initial business combination. We may conduct redemptions without a stockholder vote pursuant to the tender offer rules of the SEC unless stockholder approval is required by law or stock exchange listing requirements or we choose to seek stockholder approval for business or other legal reasons. So long as we obtain and maintain a listing for our securities on Nasdaq, we will be required to comply with such rules.</w:t>
      </w:r>
    </w:p>
    <w:p>
      <w:pPr>
        <w:spacing w:after="0" w:line="17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If stockholder approval of the transaction is required by law or stock exchange listing requirement, or we decide to obtain stockholder approval for business or other legal reasons, we will, pursuant to our amended and restated certificate of incorporation:</w:t>
      </w:r>
    </w:p>
    <w:p>
      <w:pPr>
        <w:spacing w:after="0" w:line="170" w:lineRule="exact"/>
        <w:rPr>
          <w:sz w:val="20"/>
          <w:szCs w:val="20"/>
          <w:color w:val="auto"/>
        </w:rPr>
      </w:pPr>
    </w:p>
    <w:p>
      <w:pPr>
        <w:ind w:left="980" w:right="560" w:hanging="324"/>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225"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In the event that we seek stockholder approval of our initial business combination, we will distribute proxy materials and, in connection therewith, provide our public stockholders with the redemption rights described above upon completion of the initial business combination.</w:t>
      </w:r>
    </w:p>
    <w:p>
      <w:pPr>
        <w:spacing w:after="0" w:line="14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If we seek stockholder approval, we will complete our initial business combination only if a majority of the outstanding shares of common stock present and entitled to vote at the meeting to approve the initial business combination when a quorum is present are voted in favor of the initial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 Our initial stockholders will count toward this quorum and pursuant to the letter agreement, our sponsor, officers and directors have agreed to vote any founder shares and placement shares held by them and any public shares acquired during or after this offering (including in open market and privately negotiated transactions) in favor of our initial business combination. For purposes of seeking approval of the majority of our outstanding shares of common stock voted, non-votes will have no effect on the approval of our initial business combination once a quorum is obtained. As a result, in addition to our initial stockholders’ founder shares and placement shares, we would need no additional public shares of the 25,000,000 public shares sold in this offering to be voted in favor of an initial business combination (assuming only the minimum number of shares representing a quorum are voted) in order to have our initial business combination approved (assuming the over-allotment option is not exercised, that the initial stockholders do not purchase any units in this offering or units or shares in the after-market and excluding the representative’s shares). In the event that all shares of our outstanding common stock are voted, we would need 8,160,251 or 32.64%, of the 25,000,000 public shares sold in this offering to be voted in favor of an initial business combination in order to have our initial business combination approved (assuming the over-allotment option is not exercised, that the initial stockholders do not purchase any units in this offering or units or shares in the after-market and excluding the representative’s shares).We intend to give approximately 30 days (but not less than 10 days nor more than 60 days) prior written notice of any such meeting, if required, at which a vote shall be taken to approve our initial business combination. These quorum and voting thresholds, and the voting agreements of our initial stockholders, may make it more likely that we will consummate our initial business combination. Each public stockholder may elect to redeem its public shares irrespective of whether they vote for or against the proposed transaction.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ind w:right="540" w:firstLine="324"/>
        <w:spacing w:after="0" w:line="277" w:lineRule="auto"/>
        <w:rPr>
          <w:sz w:val="20"/>
          <w:szCs w:val="20"/>
          <w:color w:val="auto"/>
        </w:rPr>
      </w:pPr>
      <w:r>
        <w:rPr>
          <w:rFonts w:ascii="Arial" w:cs="Arial" w:eastAsia="Arial" w:hAnsi="Arial"/>
          <w:sz w:val="18"/>
          <w:szCs w:val="18"/>
          <w:color w:val="auto"/>
        </w:rPr>
        <w:t>If a stockholder vote is not required and we do not decide to hold a stockholder vote for business or other legal reasons, we will, pursuant to our amended and restated certificate of incorporation:</w:t>
      </w:r>
    </w:p>
    <w:p>
      <w:pPr>
        <w:spacing w:after="0" w:line="170" w:lineRule="exact"/>
        <w:rPr>
          <w:sz w:val="20"/>
          <w:szCs w:val="20"/>
          <w:color w:val="auto"/>
        </w:rPr>
      </w:pPr>
    </w:p>
    <w:p>
      <w:pPr>
        <w:ind w:left="980" w:hanging="324"/>
        <w:spacing w:after="0"/>
        <w:tabs>
          <w:tab w:leader="none" w:pos="9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conduct the redemptions pursuant to Rule 13e-4 and Regulation 14E of the Exchange Act, which regulate issuer tender offers, and</w:t>
      </w:r>
    </w:p>
    <w:p>
      <w:pPr>
        <w:spacing w:after="0" w:line="23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Upon the public announcement of our initial business combination, we or our sponsor will terminate any plan established in accordance with</w:t>
      </w:r>
    </w:p>
    <w:p>
      <w:pPr>
        <w:spacing w:after="0" w:line="35"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Rule 10b5-1 to purchase shares of our Class A common stock in the open market if we elect to redeem our public shares through a tender offer, to comply with Rule 14e-5 under the Exchange Act.</w:t>
      </w:r>
    </w:p>
    <w:p>
      <w:pPr>
        <w:spacing w:after="0" w:line="185"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we will not redeem any public shares unless our net tangible assets will be at least $5,000,001 either immediately prior to or upon consummation of our initial business combination and after payment of underwriters’ fees and commissions (so that we are not subject to the SEC’s “penny stock” rules) or any greater net tangible asset or cash requirement which may be contained in the agreement relating to our initial business combination. If public stockholders tender more shares than we have offered to purchase, we will withdraw the tender offer and not complete the initial business combination.</w:t>
      </w:r>
    </w:p>
    <w:p>
      <w:pPr>
        <w:spacing w:after="0" w:line="19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Our amended and restated certificate of incorporation will provide that we may not redeem our public shares unless our net tangible assets are at least $5,000,001 either immediately prior to or upon consummation of our initial business combination and after payment of underwriters’ fees and commissions (so that we are not subject to the SEC’s “penny stock” rules) or any greater net tangible asset or cash requirement which may be contained in the agreement relating to our initial business combination. For example, the proposed initial business combination may require: (i) cash consideration to be paid to the target or its owners, (ii) cash to be transferred to the target for working capital or other general corporate purposes or (iii) the retention of cash to satisfy other conditions in accordance with the terms of the proposed initial business combination. In the event the aggregate cash consideration we would be required to pay for all shares of 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and all shares of Class A common stock submitted for redemption will be returned to the holders thereof.</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i w:val="1"/>
          <w:iCs w:val="1"/>
          <w:color w:val="auto"/>
        </w:rPr>
        <w:t>Limitation on Redemption upon Completion of our Initial Business Combination if we Seek Stockholder Approval</w:t>
      </w:r>
    </w:p>
    <w:p>
      <w:pPr>
        <w:spacing w:after="0" w:line="225"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Notwithstanding the foregoing, 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 of the shares sold in this offering, which we refer to as the “Excess Shares.” Such restriction shall also be applicable to our affiliates. We believe this restriction will discourage stockholders from accumulating large blocks of shares, and subsequent attempts by such holders to use their ability to exercise their redemption rights against a proposed initial business combination as a means to force us or our management to purchase their shares at a significant premium to the then-current market price or on other undesirable terms. By limiting our stockholders’ ability to redeem no more than 15% of the shares sold in this offering without our prior consent, we believe we will limit the ability of a small group of stockholders to unreasonably attempt to block our ability to complete our initial business combination, particularly in connection with an initial business combination with a target that requires as a closing condition that we have a minimum net worth or a certain amount of cash. However, we would not be restricting our stockholders’ ability to vote all of their shares (including Excess Shares) for or against our initial business combination.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Tendering Stock Certificates in Connection with Redemption Rights</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may require our public stockholders seeking to exercise their redemption rights, whether they are record holders or hold their shares in “street name,” to either tender their certificates to our transfer agent up to two business days prior to the vote on the proposal to approve the initial business combination, or to deliver their shares to the transfer agent electronically using the Depository Trust Company’s DWAC (Deposit/Withdrawal At Custodian) System, at the holder’s option. The proxy materials that we will furnish to holders of our public shares in connection with our initial business combination will indicate whether we are requiring public stockholders to satisfy such delivery requirements. Accordingly, a public stockholder would have up to two days prior to the vote on the initial business combination to tender its shares if it wishes to seek to exercise its redemption rights. Given the relatively short exercise period, it is advisable for stockholders to use electronic delivery of their public shares.</w:t>
      </w:r>
    </w:p>
    <w:p>
      <w:pPr>
        <w:spacing w:after="0" w:line="177"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There is a nominal cost associated with the above-referenced tendering process and the act of certificating the shares or delivering them through the DWAC System. The transfer agent will typically charge the tendering broker $80.00 and it would be up to the broker whether or not to pass this cost on to the redeeming holder. However, this fee would be incurred regardless of whether or not we require holders seeking to exercise redemption rights to tender their shares. The need to deliver shares is a requirement of exercising redemption rights regardless of the timing of when such delivery must be effectuated.</w:t>
      </w:r>
    </w:p>
    <w:p>
      <w:pPr>
        <w:spacing w:after="0" w:line="157"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The foregoing is different from the procedures used by many special purpose acquisition companies. In order to perfect redemption rights in connection with their business combinations, many blank check companies would distribute proxy materials for the stockholders’ vote on an initial business combination, and a holder could simply vote against a proposed initial business combination and check a box on the proxy card indicating such holder was seeking to exercise his or her redemption rights. After the initial business combination was approved, the company would contact such stockholder to arrange for him or her to deliver his or her certificate to verify ownership. As a result, the stockholder then had an “option window” after the completion of the initial business combination during which he or she could monitor the price of the company’s stock in the market. If the price rose above the redemption price, he or she could sell his or her shares in the open market before actually delivering his or her shares to the company for cancellation. As a result, the redemption rights, to which stockholders were aware they needed to commit before the stockholder meeting, would become “option” rights surviving past the completion of the initial business combination until the redeeming holder delivered its certificate. The requirement for physical or electronic delivery prior to the meeting ensures that a redeeming holder’s election to redeem is irrevocable once the initial business combination is approved.</w:t>
      </w:r>
    </w:p>
    <w:p>
      <w:pPr>
        <w:spacing w:after="0" w:line="19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Any request to redeem such shares, once made, may be withdrawn at any time up to the date of the stockholder meeting.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1" w:name="page112"/>
    <w:bookmarkEnd w:id="111"/>
    <w:p>
      <w:pPr>
        <w:ind w:right="100" w:firstLine="324"/>
        <w:spacing w:after="0" w:line="263" w:lineRule="auto"/>
        <w:rPr>
          <w:sz w:val="20"/>
          <w:szCs w:val="20"/>
          <w:color w:val="auto"/>
        </w:rPr>
      </w:pPr>
      <w:r>
        <w:rPr>
          <w:rFonts w:ascii="Arial" w:cs="Arial" w:eastAsia="Arial" w:hAnsi="Arial"/>
          <w:sz w:val="18"/>
          <w:szCs w:val="18"/>
          <w:color w:val="auto"/>
        </w:rPr>
        <w:t>If our initial business combination is not approved or completed for any reason, then our public stockholders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184"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If our initial proposed initial business combination is not completed, we may continue to try to complete an initial business combination with a different target until 15 months from the closing of this offering.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Public Shares and Liquidation if no Initial Business Combination</w:t>
      </w:r>
    </w:p>
    <w:p>
      <w:pPr>
        <w:spacing w:after="0" w:line="22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Our amended and restated certificate of incorporation will provide that we will have only 15 months from the closing of this offering to complete our initial business combination. If we are unable to complete our initial business combination within such allotted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the case of clauses (ii) and (iii) above to our obligations under Delaware law to provide for claims of creditors and the requirements of other applicable law. There will be no redemption rights or liquidating distributions with respect to our warrants, which will expire worthless if we fail to complete our initial business combination within the allotted time period.</w:t>
      </w:r>
    </w:p>
    <w:p>
      <w:pPr>
        <w:spacing w:after="0" w:line="16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sponsor, officers and directors have entered into a letter agreement with us, pursuant to which they have waived their rights to liquidating distributions from the trust account with respect to any founder shares and placement shares held by them if we fail to complete our initial business combination within 15 months from the closing of this offering. However, if our sponsor, officers or directors acquire public shares in or after this offering, they will be entitled to liquidating distributions from the trust account with respect to such public shares if we fail to complete our initial business combination within 15 months from the closing of this offering.</w:t>
      </w:r>
    </w:p>
    <w:p>
      <w:pPr>
        <w:spacing w:after="0" w:line="188"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Our sponsor, officers and directors have agreed, pursuant to a written agreement with us, that they will not propose any amendment to our amended and restated certificate of incorporation (i) to modify the substance or timing of our obligation to allow redemption in connection with our initial business combination or certain amendments to our charter prior thereto or to redeem 100% of our public shares if we do not complete our initial business combination within 15 months from the closing of this offering or (ii) with respect to any other provision relating to stockholders’ rights or pre-initial business combination activity, unless we provide our public stockholders with the opportunity to redeem their shares of Class A common stock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However, we may not redeem our public shares unless our net tangible assets are at least $5,000,001 either immediately prior to or upon consummation of our initial business combination and after payment of underwriters’ fees and commissions (so that we are not subject to the SEC’s “penny stock” rules). If this optional redemption right is exercised with respect to an excessive number of public shares such that we cannot satisfy the net tangible asset requirement (described above), we would not proceed with the amendment or the related redemption of our public shares at such time.</w:t>
      </w:r>
    </w:p>
    <w:p>
      <w:pPr>
        <w:spacing w:after="0" w:line="17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expect that all costs and expenses associated with implementing our plan of dissolution, as well as payments to any creditors, will be funded from amounts remaining out of the approximately $1,150,000 of proceeds held outside the trust account, although we cannot assure you that there will be sufficient funds for such purpose. We will depend on sufficient interest being earned on the proceeds held in the trust account to pay any tax obligations we may owe. However, if those funds are not sufficient to cover the costs and expenses associated with implementing our plan of dissolution, to the extent that there is any interest accrued in the trust account not required to pay taxes, we may request the trustee to release to us an additional amount of up to $100,000 of such accrued interest to pay those costs and expenses.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12" w:name="page113"/>
    <w:bookmarkEnd w:id="112"/>
    <w:p>
      <w:pPr>
        <w:ind w:firstLine="324"/>
        <w:spacing w:after="0" w:line="271" w:lineRule="auto"/>
        <w:rPr>
          <w:sz w:val="20"/>
          <w:szCs w:val="20"/>
          <w:color w:val="auto"/>
        </w:rPr>
      </w:pPr>
      <w:r>
        <w:rPr>
          <w:rFonts w:ascii="Arial" w:cs="Arial" w:eastAsia="Arial" w:hAnsi="Arial"/>
          <w:sz w:val="17"/>
          <w:szCs w:val="17"/>
          <w:color w:val="auto"/>
        </w:rPr>
        <w:t>If we were to expend all of the net proceeds of this offering and the sale of the placement units, other than the proceeds deposited in the trust account, and without taking into account interest, if any, earned on the trust account, the per-share redemption amount received by stockholders upon our dissolution would be approximately $10.15. The proceeds deposited in the trust account could, however, become subject to the claims of our creditors which would have higher priority than the claims of our public stockholders. We cannot assure you that the actual per-share redemption amount received by stockholders will not be substantially less than $10.15. Under Section 281(b) of the DGCL, our plan of dissolution must provide for all claims against us to be paid in full or make provision for payments to be made in full, as applicable, if there are sufficient assets. These claims must be paid or provided for before we make any distribution of our remaining assets to our stockholders. While we intend to pay such amounts, if any, we cannot assure you that we will have funds sufficient to pay or provide for all creditors’ claims.</w:t>
      </w:r>
    </w:p>
    <w:p>
      <w:pPr>
        <w:spacing w:after="0" w:line="178"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Although we will seek to have all vendors, service providers, prospective target businesses or other entities with which we do business execute agreements with us waiving any right, title, interest or claim of any kind in or to any monies held in the trust account for the benefit of our public stockholders,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Marcum LLP, our independent registered public accounting firm, and the underwriters of the offering, will not execute agreements with us waiving such claims to the monies held in the trust account.</w:t>
      </w:r>
    </w:p>
    <w:p>
      <w:pPr>
        <w:spacing w:after="0" w:line="168"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In addition, there is no guarantee that such entities will agree to waive any claims they may have in the future as a result of, or arising out of, any negotiations, contracts or agreements with us and will not seek recourse against the trust account for any reason. Our sponsor has agreed that it will be liable to us if and to the extent any claims by a third party for services rendered or products sold to us, or a prospective target business with which we have entered into a written letter of intent, confidentiality or similar agreement or business combination agreement, reduce the amount of funds in the trust account to below the lesser of (i) $10.15 per public share and (ii) the actual amount per public share held in the trust account as of the date of the liquidation of the trust account, if less than $10.15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believe that our sponsor’s only assets are securities of our company. Therefore, we cannot assure you that our sponsor would be able to satisfy those obligations. None of our officers or directors will indemnify us for claims by third parties including, without limitation, claims by vendors and prospective target businesses.</w:t>
      </w:r>
    </w:p>
    <w:p>
      <w:pPr>
        <w:spacing w:after="0" w:line="168"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In the event that the proceeds in the trust account are reduced below (i) $10.15 per public share or (ii) such lesser amount per public share held in the trust account as of the date of the liquidation of the trust account, due to reductions in value of the trust assets, in each case net of the amount of interest which may be withdrawn to pay taxes,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if, for example, the cost of such legal action is deemed by the independent directors to be too high relative to the amount recoverable or if the independent directors determine that a favorable outcome is not likely. We have not asked our sponsor to reserve for such indemnification obligations and we cannot assure you that our sponsor would be able to satisfy those obligations. Accordingly, we cannot assure you that due to claims of creditors the actual value of the per-share redemption price will not be less than $10.15 per public share.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13" w:name="page114"/>
    <w:bookmarkEnd w:id="113"/>
    <w:p>
      <w:pPr>
        <w:ind w:firstLine="324"/>
        <w:spacing w:after="0" w:line="269" w:lineRule="auto"/>
        <w:rPr>
          <w:sz w:val="20"/>
          <w:szCs w:val="20"/>
          <w:color w:val="auto"/>
        </w:rPr>
      </w:pPr>
      <w:r>
        <w:rPr>
          <w:rFonts w:ascii="Arial" w:cs="Arial" w:eastAsia="Arial" w:hAnsi="Arial"/>
          <w:sz w:val="17"/>
          <w:szCs w:val="17"/>
          <w:color w:val="auto"/>
        </w:rPr>
        <w:t>We will seek to reduce the possibility that our sponsor will have to indemnify the trust account due to claims of creditors by endeavoring to have all vendors, service providers,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this offering against certain liabilities, including liabilities under the Securities Act. We will have access to up to approximately $1,150,000 from the proceeds of this offering and the sale of the placement units with which to pay any such potential claims (in addition to the costs and expenses incurred in connection with our liquidation, currently estimated to be no more than approximately $100,000). In the event that we liquidate and it is subsequently determined that the reserve for claims and liabilities is insufficient, stockholders who received funds from our trust account could be liable for claims made by creditors. In the event that our offering expenses exceed our estimate of $645,000, we may fund such excess with funds from the funds not to be held in the trust account. In such case, the amount of funds we intend to be held outside the trust account would decrease by a corresponding amount. Conversely, in the event that the offering expenses are less than our estimate of $645,000, the amount of funds we intend to be held outside the trust account would increase by a corresponding amount.</w:t>
      </w:r>
    </w:p>
    <w:p>
      <w:pPr>
        <w:spacing w:after="0" w:line="182"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15 months from the closing of this offering may be considered a liquidating distribution under Delaware law. If the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w:t>
      </w:r>
    </w:p>
    <w:p>
      <w:pPr>
        <w:spacing w:after="0" w:line="165" w:lineRule="exact"/>
        <w:rPr>
          <w:sz w:val="20"/>
          <w:szCs w:val="20"/>
          <w:color w:val="auto"/>
        </w:rPr>
      </w:pPr>
    </w:p>
    <w:p>
      <w:pPr>
        <w:ind w:right="40" w:firstLine="324"/>
        <w:spacing w:after="0" w:line="284" w:lineRule="auto"/>
        <w:rPr>
          <w:sz w:val="20"/>
          <w:szCs w:val="20"/>
          <w:color w:val="auto"/>
        </w:rPr>
      </w:pPr>
      <w:r>
        <w:rPr>
          <w:rFonts w:ascii="Arial" w:cs="Arial" w:eastAsia="Arial" w:hAnsi="Arial"/>
          <w:sz w:val="16"/>
          <w:szCs w:val="16"/>
          <w:color w:val="auto"/>
        </w:rPr>
        <w:t>Furthermore, if the pro rata portion of our trust account distributed to our public stockholders upon the redemption of our public shares in the event we do not complete our initial business combination within 15 months from the closing of this offering, is not considered a liquidating distribution under Delaware law and such redemption distribution is deemed to be unlawful (potentially due to the imposition of legal proceedings that a party may bring or due to other circumstances that are currently unknown), then pursuant to Section 174 of the DGCL, the statute of limitations for claims of creditors could then be six years after the unlawful redemption distribution, instead of three years, as in the case of a liquidating distribution. If we are unable to complete our initial business combination within 15 months from the closing of this offering, we will: (i) cease all operations except for the purpose of winding up,</w:t>
      </w:r>
    </w:p>
    <w:p>
      <w:pPr>
        <w:spacing w:after="0" w:line="4" w:lineRule="exact"/>
        <w:rPr>
          <w:sz w:val="20"/>
          <w:szCs w:val="20"/>
          <w:color w:val="auto"/>
        </w:rPr>
      </w:pPr>
    </w:p>
    <w:p>
      <w:pPr>
        <w:ind w:firstLine="8"/>
        <w:spacing w:after="0" w:line="281" w:lineRule="auto"/>
        <w:tabs>
          <w:tab w:leader="none" w:pos="265" w:val="left"/>
        </w:tabs>
        <w:numPr>
          <w:ilvl w:val="0"/>
          <w:numId w:val="54"/>
        </w:numPr>
        <w:rPr>
          <w:rFonts w:ascii="Arial" w:cs="Arial" w:eastAsia="Arial" w:hAnsi="Arial"/>
          <w:sz w:val="16"/>
          <w:szCs w:val="16"/>
          <w:color w:val="auto"/>
        </w:rPr>
      </w:pPr>
      <w:r>
        <w:rPr>
          <w:rFonts w:ascii="Arial" w:cs="Arial" w:eastAsia="Arial" w:hAnsi="Arial"/>
          <w:sz w:val="16"/>
          <w:szCs w:val="16"/>
          <w:color w:val="auto"/>
        </w:rPr>
        <w:t>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the case of clauses (ii) and (iii) above to our obligations under Delaware law to provide for claims of creditors and the requirements of other applicable law. Accordingly, it is our intention to redeem our public shares as soon as reasonably possible</w:t>
      </w:r>
    </w:p>
    <w:p>
      <w:pPr>
        <w:spacing w:after="0" w:line="4" w:lineRule="exact"/>
        <w:rPr>
          <w:sz w:val="20"/>
          <w:szCs w:val="20"/>
          <w:color w:val="auto"/>
        </w:rPr>
      </w:pPr>
    </w:p>
    <w:p>
      <w:pPr>
        <w:jc w:val="both"/>
        <w:ind w:right="160"/>
        <w:spacing w:after="0" w:line="221" w:lineRule="auto"/>
        <w:rPr>
          <w:sz w:val="20"/>
          <w:szCs w:val="20"/>
          <w:color w:val="auto"/>
        </w:rPr>
      </w:pPr>
      <w:r>
        <w:rPr>
          <w:rFonts w:ascii="Arial" w:cs="Arial" w:eastAsia="Arial" w:hAnsi="Arial"/>
          <w:sz w:val="18"/>
          <w:szCs w:val="18"/>
          <w:color w:val="auto"/>
        </w:rPr>
        <w:t xml:space="preserve">following our 15 </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month and, therefore, we do not intend to comply with those procedures. As such, our stockholders could potentially be liable for any claims to the extent of distributions received by them (but no more) and any liability of our stockholders may extend well beyond the third anniversary of such date.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14" w:name="page115"/>
    <w:bookmarkEnd w:id="114"/>
    <w:p>
      <w:pPr>
        <w:ind w:firstLine="324"/>
        <w:spacing w:after="0" w:line="268" w:lineRule="auto"/>
        <w:rPr>
          <w:sz w:val="20"/>
          <w:szCs w:val="20"/>
          <w:color w:val="auto"/>
        </w:rPr>
      </w:pPr>
      <w:r>
        <w:rPr>
          <w:rFonts w:ascii="Arial" w:cs="Arial" w:eastAsia="Arial" w:hAnsi="Arial"/>
          <w:sz w:val="17"/>
          <w:szCs w:val="17"/>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As described above, pursuant to the obligation contained in our underwriting agreement, we will seek to have all vendors, service providers, prospective target businesses or other entities with which we do business execute agreements with us waiving any right, title, interest or claim of any kind in or to any monies held in the trust account. As a result of this obligation, the claims that could be made against us are significantly limited and the likelihood that any claim that would result in any liability extending to the trust account is remote. Further, our sponsor may be liable only to the extent necessary to ensure that the amounts in the trust account are not reduced below (i) $10.15 per public share or (ii) such lesser amount per public share held in the trust account as of the date of the liquidation of the trust account, due to reductions in value of the trust assets, in each case net of the amount of interest withdrawn to pay taxes and will not be liable as to any claims under our indemnity of the underwriters of this offering against certain liabilities, including liabilities under the Securities Act. In the event that an executed waiver is deemed to be unenforceable against a third party, our sponsor will not be responsible to the extent of any liability for such third-party claims.</w:t>
      </w:r>
    </w:p>
    <w:p>
      <w:pPr>
        <w:spacing w:after="0" w:line="186"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If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cannot assure you we will be able to return $10.15 per share to our public stockholders. Additionally, if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Furthermore, our board of directors may be viewed as having breached its fiduciary duty to our creditors and/or may have acted in bad faith, thereby exposing itself and our company to claims of punitive damages, by paying public stockholders from the trust account prior to addressing the claims of creditors. We cannot assure you that claims will not be brought against us for these reasons.</w:t>
      </w:r>
    </w:p>
    <w:p>
      <w:pPr>
        <w:spacing w:after="0" w:line="181"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Our public stockholders will be entitled to receive funds from the trust account only upon the earlier to occur of: (i) the completion of our initial business combination, (ii) the redemption of any public shares properly tendered in connection with a stockholder vote to amend any provisions of our amended and restated certificate of incorporation (A) to modify the substance or timing of our obligation to allow redemption in connection with our initial business combination or certain amendments to our charter prior thereto or to redeem 100% of our public shares if we do not complete our initial business combination within 15 months from the closing of this offering or (B) with respect to any other provision relating to stockholders’ rights or pre-initial business combination activity, and (iii) the redemption of all of our public shares if we are unable to complete our business combination within 15 months from the closing of this offering, subject to applicable law. In no other circumstances will a stockholder have any right or interest of any kind to or in the trust account. In the event we seek stockholder approval in connection with our initial business combination, a stockholder’s voting in connection with the initial business combination alone will not result in a stockholder’s redeeming its shares to us for an applicable pro rata share of the trust account. Such stockholder must have also exercised its redemption rights as described above. These provisions of our amended and restated certificate of incorporation, like all provisions of our amended and restated certificate of incorporation, may be amended with a stockholder vote.</w:t>
      </w:r>
    </w:p>
    <w:p>
      <w:pPr>
        <w:spacing w:after="0" w:line="17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Comparison of Redemption or Purchase Prices in Connection with Our Initial Business Combination and if We Fail to Complete Our Initial Business Combination</w:t>
      </w:r>
    </w:p>
    <w:p>
      <w:pPr>
        <w:spacing w:after="0" w:line="170"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The following table compares the redemptions and other permitted purchases of public shares that may take place in connection with the completion of our initial business combination and if we are unable to complete our initial business combination within 15 months from the closing of this offering.</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2700" w:type="dxa"/>
            <w:vAlign w:val="bottom"/>
          </w:tcPr>
          <w:p>
            <w:pPr>
              <w:ind w:left="740"/>
              <w:spacing w:after="0"/>
              <w:rPr>
                <w:sz w:val="20"/>
                <w:szCs w:val="20"/>
                <w:color w:val="auto"/>
              </w:rPr>
            </w:pPr>
            <w:r>
              <w:rPr>
                <w:rFonts w:ascii="Arial" w:cs="Arial" w:eastAsia="Arial" w:hAnsi="Arial"/>
                <w:sz w:val="18"/>
                <w:szCs w:val="18"/>
                <w:b w:val="1"/>
                <w:bCs w:val="1"/>
                <w:color w:val="auto"/>
              </w:rPr>
              <w:t>Redemptions in</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ind w:left="880"/>
              <w:spacing w:after="0"/>
              <w:rPr>
                <w:sz w:val="20"/>
                <w:szCs w:val="20"/>
                <w:color w:val="auto"/>
              </w:rPr>
            </w:pPr>
            <w:r>
              <w:rPr>
                <w:rFonts w:ascii="Arial" w:cs="Arial" w:eastAsia="Arial" w:hAnsi="Arial"/>
                <w:sz w:val="18"/>
                <w:szCs w:val="18"/>
                <w:b w:val="1"/>
                <w:bCs w:val="1"/>
                <w:color w:val="auto"/>
              </w:rPr>
              <w:t>Connection</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ind w:left="380"/>
              <w:spacing w:after="0"/>
              <w:rPr>
                <w:sz w:val="20"/>
                <w:szCs w:val="20"/>
                <w:color w:val="auto"/>
              </w:rPr>
            </w:pPr>
            <w:r>
              <w:rPr>
                <w:rFonts w:ascii="Arial" w:cs="Arial" w:eastAsia="Arial" w:hAnsi="Arial"/>
                <w:sz w:val="18"/>
                <w:szCs w:val="18"/>
                <w:b w:val="1"/>
                <w:bCs w:val="1"/>
                <w:color w:val="auto"/>
              </w:rPr>
              <w:t>with our Initial Business</w:t>
            </w:r>
          </w:p>
        </w:tc>
        <w:tc>
          <w:tcPr>
            <w:tcW w:w="0" w:type="dxa"/>
            <w:vAlign w:val="bottom"/>
          </w:tcPr>
          <w:p>
            <w:pPr>
              <w:spacing w:after="0"/>
              <w:rPr>
                <w:sz w:val="1"/>
                <w:szCs w:val="1"/>
                <w:color w:val="auto"/>
              </w:rPr>
            </w:pPr>
          </w:p>
        </w:tc>
      </w:tr>
      <w:tr>
        <w:trPr>
          <w:trHeight w:val="234"/>
        </w:trPr>
        <w:tc>
          <w:tcPr>
            <w:tcW w:w="2960" w:type="dxa"/>
            <w:vAlign w:val="bottom"/>
            <w:vMerge w:val="restart"/>
          </w:tcPr>
          <w:p>
            <w:pPr>
              <w:spacing w:after="0"/>
              <w:rPr>
                <w:sz w:val="20"/>
                <w:szCs w:val="20"/>
                <w:color w:val="auto"/>
              </w:rPr>
            </w:pPr>
            <w:r>
              <w:rPr>
                <w:rFonts w:ascii="Arial" w:cs="Arial" w:eastAsia="Arial" w:hAnsi="Arial"/>
                <w:sz w:val="18"/>
                <w:szCs w:val="18"/>
                <w:b w:val="1"/>
                <w:bCs w:val="1"/>
                <w:color w:val="auto"/>
              </w:rPr>
              <w:t>Calculation of redemption price</w:t>
            </w:r>
          </w:p>
        </w:tc>
        <w:tc>
          <w:tcPr>
            <w:tcW w:w="270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rPr>
              <w:t>Combination</w:t>
            </w:r>
          </w:p>
        </w:tc>
        <w:tc>
          <w:tcPr>
            <w:tcW w:w="0" w:type="dxa"/>
            <w:vAlign w:val="bottom"/>
          </w:tcPr>
          <w:p>
            <w:pPr>
              <w:spacing w:after="0"/>
              <w:rPr>
                <w:sz w:val="1"/>
                <w:szCs w:val="1"/>
                <w:color w:val="auto"/>
              </w:rPr>
            </w:pPr>
          </w:p>
        </w:tc>
      </w:tr>
      <w:tr>
        <w:trPr>
          <w:trHeight w:val="195"/>
        </w:trPr>
        <w:tc>
          <w:tcPr>
            <w:tcW w:w="2960" w:type="dxa"/>
            <w:vAlign w:val="bottom"/>
            <w:vMerge w:val="continue"/>
          </w:tcPr>
          <w:p>
            <w:pPr>
              <w:spacing w:after="0"/>
              <w:rPr>
                <w:sz w:val="16"/>
                <w:szCs w:val="16"/>
                <w:color w:val="auto"/>
              </w:rPr>
            </w:pPr>
          </w:p>
        </w:tc>
        <w:tc>
          <w:tcPr>
            <w:tcW w:w="2700" w:type="dxa"/>
            <w:vAlign w:val="bottom"/>
          </w:tcPr>
          <w:p>
            <w:pPr>
              <w:spacing w:after="0" w:line="195" w:lineRule="exact"/>
              <w:rPr>
                <w:sz w:val="20"/>
                <w:szCs w:val="20"/>
                <w:color w:val="auto"/>
              </w:rPr>
            </w:pPr>
            <w:r>
              <w:rPr>
                <w:rFonts w:ascii="Arial" w:cs="Arial" w:eastAsia="Arial" w:hAnsi="Arial"/>
                <w:sz w:val="18"/>
                <w:szCs w:val="18"/>
                <w:color w:val="auto"/>
                <w:w w:val="91"/>
              </w:rPr>
              <w:t>Redemptions at the time of our initial</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3"/>
              </w:rPr>
              <w:t>business combination may be made</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pursuant to a tender offer or in</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5"/>
              </w:rPr>
              <w:t>connection with a stockholder vote.</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The redemption price will be the</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same whether we conduct</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redemptions pursuant to a tender</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offer or in connection with a</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3"/>
              </w:rPr>
              <w:t>stockholder vote. In either case, our</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public stockholders may redeem</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4"/>
              </w:rPr>
              <w:t>their public shares for cash equal to</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88"/>
              </w:rPr>
              <w:t>the aggregate amount then on deposit</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in the trust account as of two</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business days prior to the</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2"/>
              </w:rPr>
              <w:t>consummation of the initial business</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combination (which is initially</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7"/>
              </w:rPr>
              <w:t>anticipated to be $10.15 per public</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4"/>
              </w:rPr>
              <w:t>share), including interest earned on</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9"/>
              </w:rPr>
              <w:t>the funds held in the trust account</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4"/>
              </w:rPr>
              <w:t>and not previously released to us to</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2"/>
              </w:rPr>
              <w:t>pay our taxes divided by the number</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9"/>
              </w:rPr>
              <w:t>of then outstanding public shares,</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subject to the limitation that no</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8"/>
              </w:rPr>
              <w:t>redemptions will take place if all of</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0"/>
              </w:rPr>
              <w:t>the redemptions would cause our net</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tangible assets to be less than</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88"/>
              </w:rPr>
              <w:t>$5,000,001 as described elsewhere in</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7"/>
              </w:rPr>
              <w:t>this prospectus and any limitations</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(including but not limited to cash</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requirements) agreed to in</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connection with the negotiation of</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4"/>
              </w:rPr>
              <w:t>terms of a proposed initial business</w:t>
            </w: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combination.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-4533900</wp:posOffset>
            </wp:positionV>
            <wp:extent cx="7132320" cy="45345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45345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700"/>
        <w:spacing w:after="0"/>
        <w:rPr>
          <w:sz w:val="20"/>
          <w:szCs w:val="20"/>
          <w:color w:val="auto"/>
        </w:rPr>
      </w:pPr>
      <w:r>
        <w:rPr>
          <w:rFonts w:ascii="Arial" w:cs="Arial" w:eastAsia="Arial" w:hAnsi="Arial"/>
          <w:sz w:val="18"/>
          <w:szCs w:val="18"/>
          <w:b w:val="1"/>
          <w:bCs w:val="1"/>
          <w:color w:val="auto"/>
        </w:rPr>
        <w:t>Other Permitted</w:t>
      </w:r>
    </w:p>
    <w:p>
      <w:pPr>
        <w:spacing w:after="0" w:line="27"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Purchases of</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Public Shares</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by us or our Affiliates</w:t>
      </w:r>
    </w:p>
    <w:p>
      <w:pPr>
        <w:spacing w:after="0" w:line="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If we seek stockholder approval of our initial business combination, our sponsor, directors, officers or their affiliates may purchase shares in privately negotiated transactions or in the open market prior to or following completion of our initial business combination. There is no limit to the prices that our sponsor, directors, officers or their affiliates may pay in these transactions.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Redemptions if we fail to</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Complete an Initial</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Business Combination</w:t>
      </w:r>
    </w:p>
    <w:p>
      <w:pPr>
        <w:spacing w:after="0" w:line="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If we are unable to complete our initial business combination within 15 months from the closing of this offering, we will redeem all public shares at a per-share price, payable in cash, equal to the aggregate amount, then on deposit in the trust account (which is initially anticipated to be $10.15 per public share) including interest earned on the funds held in the trust account and not previously released to us to pay our taxes (less up to $100,000 of interest to pay dissolution expenses), divided by the number of then outstanding public shares.</w:t>
      </w:r>
    </w:p>
    <w:p>
      <w:pPr>
        <w:spacing w:after="0" w:line="3845" w:lineRule="exact"/>
        <w:rPr>
          <w:sz w:val="20"/>
          <w:szCs w:val="20"/>
          <w:color w:val="auto"/>
        </w:rPr>
      </w:pPr>
    </w:p>
    <w:p>
      <w:pPr>
        <w:sectPr>
          <w:pgSz w:w="11900" w:h="16838" w:orient="portrait"/>
          <w:cols w:equalWidth="0" w:num="3">
            <w:col w:w="5660" w:space="100"/>
            <w:col w:w="2640" w:space="160"/>
            <w:col w:w="2680"/>
          </w:cols>
          <w:pgMar w:left="320" w:top="904" w:right="339" w:bottom="1440" w:gutter="0" w:footer="0" w:header="0"/>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Impact to remaining stockholders</w:t>
            </w:r>
          </w:p>
        </w:tc>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The redemptions in connection with</w:t>
            </w: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w w:val="92"/>
              </w:rPr>
              <w:t>If the permitted purchases described</w:t>
            </w: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The redemption of our public shares</w:t>
            </w:r>
          </w:p>
        </w:tc>
      </w:tr>
      <w:tr>
        <w:trPr>
          <w:trHeight w:val="216"/>
        </w:trPr>
        <w:tc>
          <w:tcPr>
            <w:tcW w:w="2780" w:type="dxa"/>
            <w:vAlign w:val="bottom"/>
            <w:shd w:val="clear" w:color="auto" w:fill="CCEEFF"/>
          </w:tcPr>
          <w:p>
            <w:pPr>
              <w:spacing w:after="0"/>
              <w:rPr>
                <w:sz w:val="18"/>
                <w:szCs w:val="18"/>
                <w:color w:val="auto"/>
              </w:rPr>
            </w:pPr>
          </w:p>
        </w:tc>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our initial business combination will</w:t>
            </w: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w w:val="96"/>
              </w:rPr>
              <w:t>above are made there would be no</w:t>
            </w: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if we fail to complete our initial</w:t>
            </w:r>
          </w:p>
        </w:tc>
      </w:tr>
      <w:tr>
        <w:trPr>
          <w:trHeight w:val="216"/>
        </w:trPr>
        <w:tc>
          <w:tcPr>
            <w:tcW w:w="2780" w:type="dxa"/>
            <w:vAlign w:val="bottom"/>
            <w:shd w:val="clear" w:color="auto" w:fill="CCEEFF"/>
          </w:tcPr>
          <w:p>
            <w:pPr>
              <w:spacing w:after="0"/>
              <w:rPr>
                <w:sz w:val="18"/>
                <w:szCs w:val="18"/>
                <w:color w:val="auto"/>
              </w:rPr>
            </w:pPr>
          </w:p>
        </w:tc>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reduce the book value per share for</w:t>
            </w: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impact to our remaining</w:t>
            </w: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0"/>
              </w:rPr>
              <w:t>business combination will reduce the</w:t>
            </w:r>
          </w:p>
        </w:tc>
      </w:tr>
      <w:tr>
        <w:trPr>
          <w:trHeight w:val="216"/>
        </w:trPr>
        <w:tc>
          <w:tcPr>
            <w:tcW w:w="2780" w:type="dxa"/>
            <w:vAlign w:val="bottom"/>
            <w:shd w:val="clear" w:color="auto" w:fill="CCEEFF"/>
          </w:tcPr>
          <w:p>
            <w:pPr>
              <w:spacing w:after="0"/>
              <w:rPr>
                <w:sz w:val="18"/>
                <w:szCs w:val="18"/>
                <w:color w:val="auto"/>
              </w:rPr>
            </w:pPr>
          </w:p>
        </w:tc>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our remaining stockholders, who will</w:t>
            </w: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w w:val="94"/>
              </w:rPr>
              <w:t>stockholders because the purchase</w:t>
            </w: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book value per share for the shares</w:t>
            </w:r>
          </w:p>
        </w:tc>
      </w:tr>
      <w:tr>
        <w:trPr>
          <w:trHeight w:val="216"/>
        </w:trPr>
        <w:tc>
          <w:tcPr>
            <w:tcW w:w="2780" w:type="dxa"/>
            <w:vAlign w:val="bottom"/>
            <w:shd w:val="clear" w:color="auto" w:fill="CCEEFF"/>
          </w:tcPr>
          <w:p>
            <w:pPr>
              <w:spacing w:after="0"/>
              <w:rPr>
                <w:sz w:val="18"/>
                <w:szCs w:val="18"/>
                <w:color w:val="auto"/>
              </w:rPr>
            </w:pPr>
          </w:p>
        </w:tc>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bear the burden of the deferred</w:t>
            </w: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price would not be paid by us.</w:t>
            </w: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held by our initial stockholders, who</w:t>
            </w:r>
          </w:p>
        </w:tc>
      </w:tr>
      <w:tr>
        <w:trPr>
          <w:trHeight w:val="216"/>
        </w:trPr>
        <w:tc>
          <w:tcPr>
            <w:tcW w:w="2780" w:type="dxa"/>
            <w:vAlign w:val="bottom"/>
            <w:shd w:val="clear" w:color="auto" w:fill="CCEEFF"/>
          </w:tcPr>
          <w:p>
            <w:pPr>
              <w:spacing w:after="0"/>
              <w:rPr>
                <w:sz w:val="18"/>
                <w:szCs w:val="18"/>
                <w:color w:val="auto"/>
              </w:rPr>
            </w:pPr>
          </w:p>
        </w:tc>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underwriting commissions and taxes</w:t>
            </w:r>
          </w:p>
        </w:tc>
        <w:tc>
          <w:tcPr>
            <w:tcW w:w="2700" w:type="dxa"/>
            <w:vAlign w:val="bottom"/>
            <w:shd w:val="clear" w:color="auto" w:fill="CCEEFF"/>
          </w:tcPr>
          <w:p>
            <w:pPr>
              <w:spacing w:after="0"/>
              <w:rPr>
                <w:sz w:val="18"/>
                <w:szCs w:val="18"/>
                <w:color w:val="auto"/>
              </w:rPr>
            </w:pP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will be our only remaining</w:t>
            </w:r>
          </w:p>
        </w:tc>
      </w:tr>
      <w:tr>
        <w:trPr>
          <w:trHeight w:val="230"/>
        </w:trPr>
        <w:tc>
          <w:tcPr>
            <w:tcW w:w="2780" w:type="dxa"/>
            <w:vAlign w:val="bottom"/>
            <w:shd w:val="clear" w:color="auto" w:fill="CCEEFF"/>
          </w:tcPr>
          <w:p>
            <w:pPr>
              <w:spacing w:after="0"/>
              <w:rPr>
                <w:sz w:val="20"/>
                <w:szCs w:val="20"/>
                <w:color w:val="auto"/>
              </w:rPr>
            </w:pPr>
          </w:p>
        </w:tc>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payable.</w:t>
            </w:r>
          </w:p>
        </w:tc>
        <w:tc>
          <w:tcPr>
            <w:tcW w:w="2700" w:type="dxa"/>
            <w:vAlign w:val="bottom"/>
            <w:shd w:val="clear" w:color="auto" w:fill="CCEEFF"/>
          </w:tcPr>
          <w:p>
            <w:pPr>
              <w:spacing w:after="0"/>
              <w:rPr>
                <w:sz w:val="20"/>
                <w:szCs w:val="20"/>
                <w:color w:val="auto"/>
              </w:rPr>
            </w:pP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0"/>
              </w:rPr>
              <w:t>stockholders after such redemptions.</w:t>
            </w:r>
          </w:p>
        </w:tc>
      </w:tr>
      <w:tr>
        <w:trPr>
          <w:trHeight w:val="648"/>
        </w:trPr>
        <w:tc>
          <w:tcPr>
            <w:tcW w:w="27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ind w:left="2720"/>
              <w:spacing w:after="0"/>
              <w:rPr>
                <w:sz w:val="20"/>
                <w:szCs w:val="20"/>
                <w:color w:val="auto"/>
              </w:rPr>
            </w:pPr>
            <w:r>
              <w:rPr>
                <w:rFonts w:ascii="Arial" w:cs="Arial" w:eastAsia="Arial" w:hAnsi="Arial"/>
                <w:sz w:val="18"/>
                <w:szCs w:val="18"/>
                <w:color w:val="auto"/>
                <w:w w:val="79"/>
              </w:rPr>
              <w:t>110</w:t>
            </w:r>
          </w:p>
        </w:tc>
        <w:tc>
          <w:tcPr>
            <w:tcW w:w="27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type w:val="continuous"/>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Comparison of This Offering to Those of Blank Check Companies Subject to Rule 419</w:t>
      </w:r>
    </w:p>
    <w:p>
      <w:pPr>
        <w:spacing w:after="0" w:line="229" w:lineRule="exact"/>
        <w:rPr>
          <w:sz w:val="20"/>
          <w:szCs w:val="20"/>
          <w:color w:val="auto"/>
        </w:rPr>
      </w:pPr>
    </w:p>
    <w:p>
      <w:pPr>
        <w:jc w:val="both"/>
        <w:ind w:right="220" w:firstLine="324"/>
        <w:spacing w:after="0" w:line="259" w:lineRule="auto"/>
        <w:rPr>
          <w:sz w:val="20"/>
          <w:szCs w:val="20"/>
          <w:color w:val="auto"/>
        </w:rPr>
      </w:pPr>
      <w:r>
        <w:rPr>
          <w:rFonts w:ascii="Arial" w:cs="Arial" w:eastAsia="Arial" w:hAnsi="Arial"/>
          <w:sz w:val="18"/>
          <w:szCs w:val="18"/>
          <w:color w:val="auto"/>
        </w:rPr>
        <w:t>The following table compares the terms of this offering to the terms of an offering by a blank check company subject to the provisions of Rule 419. This comparison assumes that the gross proceeds, underwriting commissions and underwriting expenses of our offering would be identical to those of an offering undertaken by a company subject to Rule 419, and that the underwriters will not exercise their over-allotment option. None of the provisions of Rule 419 apply to our offering.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3800" w:type="dxa"/>
            <w:vAlign w:val="bottom"/>
            <w:gridSpan w:val="2"/>
          </w:tcPr>
          <w:p>
            <w:pPr>
              <w:ind w:left="980"/>
              <w:spacing w:after="0"/>
              <w:rPr>
                <w:sz w:val="20"/>
                <w:szCs w:val="20"/>
                <w:color w:val="auto"/>
              </w:rPr>
            </w:pPr>
            <w:r>
              <w:rPr>
                <w:rFonts w:ascii="Arial" w:cs="Arial" w:eastAsia="Arial" w:hAnsi="Arial"/>
                <w:sz w:val="18"/>
                <w:szCs w:val="18"/>
                <w:b w:val="1"/>
                <w:bCs w:val="1"/>
                <w:color w:val="auto"/>
              </w:rPr>
              <w:t>Terms of Our Offering</w:t>
            </w:r>
          </w:p>
        </w:tc>
        <w:tc>
          <w:tcPr>
            <w:tcW w:w="3600" w:type="dxa"/>
            <w:vAlign w:val="bottom"/>
          </w:tcPr>
          <w:p>
            <w:pPr>
              <w:ind w:left="520"/>
              <w:spacing w:after="0"/>
              <w:rPr>
                <w:sz w:val="20"/>
                <w:szCs w:val="20"/>
                <w:color w:val="auto"/>
              </w:rPr>
            </w:pPr>
            <w:r>
              <w:rPr>
                <w:rFonts w:ascii="Arial" w:cs="Arial" w:eastAsia="Arial" w:hAnsi="Arial"/>
                <w:sz w:val="18"/>
                <w:szCs w:val="18"/>
                <w:b w:val="1"/>
                <w:bCs w:val="1"/>
                <w:color w:val="auto"/>
              </w:rPr>
              <w:t>Terms Under a Rule 419 Offering</w:t>
            </w:r>
          </w:p>
        </w:tc>
      </w:tr>
      <w:tr>
        <w:trPr>
          <w:trHeight w:val="195"/>
        </w:trPr>
        <w:tc>
          <w:tcPr>
            <w:tcW w:w="384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Escrow of offering proceeds</w:t>
            </w:r>
          </w:p>
        </w:tc>
        <w:tc>
          <w:tcPr>
            <w:tcW w:w="37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5"/>
              </w:rPr>
              <w:t>$253,750,000 of the net proceeds of this offering</w:t>
            </w:r>
          </w:p>
        </w:tc>
        <w:tc>
          <w:tcPr>
            <w:tcW w:w="10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Approximately $220,500,000 of the offering</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the sale of the placement units will be</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proceeds would be deposited into either an</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deposited into a trust account in the United States</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escrow account with an insured depositary</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with Continental Stock Transfer &amp; Trust Company</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institution or in a separate bank account</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acting as trustee and J.P. Morgan Securities LLC</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established by a broker-dealer in which the</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acting as investment manager.</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w w:val="93"/>
              </w:rPr>
              <w:t>broker-dealer acts as trustee for persons having</w:t>
            </w:r>
          </w:p>
        </w:tc>
      </w:tr>
      <w:tr>
        <w:trPr>
          <w:trHeight w:val="230"/>
        </w:trPr>
        <w:tc>
          <w:tcPr>
            <w:tcW w:w="384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the beneficial interests in the account.</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02"/>
        </w:trPr>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Investment of net proceeds</w:t>
            </w:r>
          </w:p>
        </w:tc>
        <w:tc>
          <w:tcPr>
            <w:tcW w:w="3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$253,750,000 of the net offering proceeds and the</w:t>
            </w:r>
          </w:p>
        </w:tc>
        <w:tc>
          <w:tcPr>
            <w:tcW w:w="3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Proceeds could be invested only in specified</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 of the placement units held in trust will be</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w w:val="92"/>
              </w:rPr>
              <w:t>securities such as a money market fund meeting</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invested only in U.S. government treasury bills</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w w:val="94"/>
              </w:rPr>
              <w:t>conditions of the Investment Company Act or in</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with a maturity of 185 days or less or in money</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securities that are direct obligations of, or</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funds meeting certain conditions under</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w w:val="93"/>
              </w:rPr>
              <w:t>obligations guaranteed as to principal or interest</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Rule 2a-7 under the Investment Company Act</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by, the United States.</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which invest only in direct U.S. government</w:t>
            </w:r>
          </w:p>
        </w:tc>
        <w:tc>
          <w:tcPr>
            <w:tcW w:w="3600" w:type="dxa"/>
            <w:vAlign w:val="bottom"/>
            <w:shd w:val="clear" w:color="auto" w:fill="CCEEFF"/>
          </w:tcPr>
          <w:p>
            <w:pPr>
              <w:spacing w:after="0"/>
              <w:rPr>
                <w:sz w:val="18"/>
                <w:szCs w:val="18"/>
                <w:color w:val="auto"/>
              </w:rPr>
            </w:pPr>
          </w:p>
        </w:tc>
      </w:tr>
      <w:tr>
        <w:trPr>
          <w:trHeight w:val="230"/>
        </w:trPr>
        <w:tc>
          <w:tcPr>
            <w:tcW w:w="3840" w:type="dxa"/>
            <w:vAlign w:val="bottom"/>
            <w:shd w:val="clear" w:color="auto" w:fill="CCEEFF"/>
          </w:tcPr>
          <w:p>
            <w:pPr>
              <w:spacing w:after="0"/>
              <w:rPr>
                <w:sz w:val="20"/>
                <w:szCs w:val="20"/>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treasury obligations.</w:t>
            </w:r>
          </w:p>
        </w:tc>
        <w:tc>
          <w:tcPr>
            <w:tcW w:w="3600" w:type="dxa"/>
            <w:vAlign w:val="bottom"/>
            <w:shd w:val="clear" w:color="auto" w:fill="CCEEFF"/>
          </w:tcPr>
          <w:p>
            <w:pPr>
              <w:spacing w:after="0"/>
              <w:rPr>
                <w:sz w:val="20"/>
                <w:szCs w:val="20"/>
                <w:color w:val="auto"/>
              </w:rPr>
            </w:pP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02"/>
        </w:trPr>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Receipt of interest on escrowed funds</w:t>
            </w:r>
          </w:p>
        </w:tc>
        <w:tc>
          <w:tcPr>
            <w:tcW w:w="3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Interest on proceeds from the trust account to be</w:t>
            </w:r>
          </w:p>
        </w:tc>
        <w:tc>
          <w:tcPr>
            <w:tcW w:w="3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Interest on funds in escrow account would be</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paid to stockholders is reduced by (i) any taxes</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w w:val="93"/>
              </w:rPr>
              <w:t>held for the sole benefit of investors, unless and</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paid or payable, and (ii) in the event of our</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w w:val="91"/>
              </w:rPr>
              <w:t>only after the funds held in escrow were released</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liquidation for failure to complete our initial</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 us in connection with our completion of a</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business combination within the allotted time, up</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business combination.</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to $100,000 of net interest that may be released to</w:t>
            </w:r>
          </w:p>
        </w:tc>
        <w:tc>
          <w:tcPr>
            <w:tcW w:w="3600" w:type="dxa"/>
            <w:vAlign w:val="bottom"/>
            <w:shd w:val="clear" w:color="auto" w:fill="CCEEFF"/>
          </w:tcPr>
          <w:p>
            <w:pPr>
              <w:spacing w:after="0"/>
              <w:rPr>
                <w:sz w:val="18"/>
                <w:szCs w:val="18"/>
                <w:color w:val="auto"/>
              </w:rPr>
            </w:pP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should we have no or insufficient working</w:t>
            </w:r>
          </w:p>
        </w:tc>
        <w:tc>
          <w:tcPr>
            <w:tcW w:w="3600" w:type="dxa"/>
            <w:vAlign w:val="bottom"/>
            <w:shd w:val="clear" w:color="auto" w:fill="CCEEFF"/>
          </w:tcPr>
          <w:p>
            <w:pPr>
              <w:spacing w:after="0"/>
              <w:rPr>
                <w:sz w:val="18"/>
                <w:szCs w:val="18"/>
                <w:color w:val="auto"/>
              </w:rPr>
            </w:pP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to fund the costs and expenses of our</w:t>
            </w:r>
          </w:p>
        </w:tc>
        <w:tc>
          <w:tcPr>
            <w:tcW w:w="3600" w:type="dxa"/>
            <w:vAlign w:val="bottom"/>
            <w:shd w:val="clear" w:color="auto" w:fill="CCEEFF"/>
          </w:tcPr>
          <w:p>
            <w:pPr>
              <w:spacing w:after="0"/>
              <w:rPr>
                <w:sz w:val="18"/>
                <w:szCs w:val="18"/>
                <w:color w:val="auto"/>
              </w:rPr>
            </w:pPr>
          </w:p>
        </w:tc>
      </w:tr>
      <w:tr>
        <w:trPr>
          <w:trHeight w:val="230"/>
        </w:trPr>
        <w:tc>
          <w:tcPr>
            <w:tcW w:w="3840" w:type="dxa"/>
            <w:vAlign w:val="bottom"/>
            <w:shd w:val="clear" w:color="auto" w:fill="CCEEFF"/>
          </w:tcPr>
          <w:p>
            <w:pPr>
              <w:spacing w:after="0"/>
              <w:rPr>
                <w:sz w:val="20"/>
                <w:szCs w:val="20"/>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dissolution and liquidation.</w:t>
            </w:r>
          </w:p>
        </w:tc>
        <w:tc>
          <w:tcPr>
            <w:tcW w:w="3600" w:type="dxa"/>
            <w:vAlign w:val="bottom"/>
            <w:shd w:val="clear" w:color="auto" w:fill="CCEEFF"/>
          </w:tcPr>
          <w:p>
            <w:pPr>
              <w:spacing w:after="0"/>
              <w:rPr>
                <w:sz w:val="20"/>
                <w:szCs w:val="20"/>
                <w:color w:val="auto"/>
              </w:rPr>
            </w:pP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198"/>
        </w:trPr>
        <w:tc>
          <w:tcPr>
            <w:tcW w:w="38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Limitation on fair value or net assets of target</w:t>
            </w:r>
          </w:p>
        </w:tc>
        <w:tc>
          <w:tcPr>
            <w:tcW w:w="38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color w:val="auto"/>
                <w:w w:val="92"/>
              </w:rPr>
              <w:t>Nasdaq rules require that we must complete one or</w:t>
            </w:r>
          </w:p>
        </w:tc>
        <w:tc>
          <w:tcPr>
            <w:tcW w:w="36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w w:val="94"/>
              </w:rPr>
              <w:t>The fair value or net assets of a target business</w:t>
            </w:r>
          </w:p>
        </w:tc>
      </w:tr>
      <w:tr>
        <w:trPr>
          <w:trHeight w:val="220"/>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business</w:t>
            </w: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more business combinations having an aggregate</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must represent at least 80% of the maximum</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market value of at least 80% of the value of</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offering proceeds.</w:t>
            </w: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the assets held in the trust account (excluding the</w:t>
            </w:r>
          </w:p>
        </w:tc>
        <w:tc>
          <w:tcPr>
            <w:tcW w:w="3600" w:type="dxa"/>
            <w:vAlign w:val="bottom"/>
            <w:shd w:val="clear" w:color="auto" w:fill="CCEEFF"/>
          </w:tcPr>
          <w:p>
            <w:pPr>
              <w:spacing w:after="0"/>
              <w:rPr>
                <w:sz w:val="18"/>
                <w:szCs w:val="18"/>
                <w:color w:val="auto"/>
              </w:rPr>
            </w:pP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underwriting commissions and taxes</w:t>
            </w:r>
          </w:p>
        </w:tc>
        <w:tc>
          <w:tcPr>
            <w:tcW w:w="3600" w:type="dxa"/>
            <w:vAlign w:val="bottom"/>
            <w:shd w:val="clear" w:color="auto" w:fill="CCEEFF"/>
          </w:tcPr>
          <w:p>
            <w:pPr>
              <w:spacing w:after="0"/>
              <w:rPr>
                <w:sz w:val="18"/>
                <w:szCs w:val="18"/>
                <w:color w:val="auto"/>
              </w:rPr>
            </w:pP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payable on the income earned on the trust account)</w:t>
            </w:r>
          </w:p>
        </w:tc>
        <w:tc>
          <w:tcPr>
            <w:tcW w:w="3600" w:type="dxa"/>
            <w:vAlign w:val="bottom"/>
            <w:shd w:val="clear" w:color="auto" w:fill="CCEEFF"/>
          </w:tcPr>
          <w:p>
            <w:pPr>
              <w:spacing w:after="0"/>
              <w:rPr>
                <w:sz w:val="18"/>
                <w:szCs w:val="18"/>
                <w:color w:val="auto"/>
              </w:rPr>
            </w:pPr>
          </w:p>
        </w:tc>
      </w:tr>
      <w:tr>
        <w:trPr>
          <w:trHeight w:val="216"/>
        </w:trPr>
        <w:tc>
          <w:tcPr>
            <w:tcW w:w="38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at the time of the agreement to enter into the initial</w:t>
            </w:r>
          </w:p>
        </w:tc>
        <w:tc>
          <w:tcPr>
            <w:tcW w:w="3600" w:type="dxa"/>
            <w:vAlign w:val="bottom"/>
            <w:shd w:val="clear" w:color="auto" w:fill="CCEEFF"/>
          </w:tcPr>
          <w:p>
            <w:pPr>
              <w:spacing w:after="0"/>
              <w:rPr>
                <w:sz w:val="18"/>
                <w:szCs w:val="18"/>
                <w:color w:val="auto"/>
              </w:rPr>
            </w:pPr>
          </w:p>
        </w:tc>
      </w:tr>
      <w:tr>
        <w:trPr>
          <w:trHeight w:val="230"/>
        </w:trPr>
        <w:tc>
          <w:tcPr>
            <w:tcW w:w="3840" w:type="dxa"/>
            <w:vAlign w:val="bottom"/>
            <w:shd w:val="clear" w:color="auto" w:fill="CCEEFF"/>
          </w:tcPr>
          <w:p>
            <w:pPr>
              <w:spacing w:after="0"/>
              <w:rPr>
                <w:sz w:val="20"/>
                <w:szCs w:val="20"/>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combination.</w:t>
            </w:r>
          </w:p>
        </w:tc>
        <w:tc>
          <w:tcPr>
            <w:tcW w:w="3600" w:type="dxa"/>
            <w:vAlign w:val="bottom"/>
            <w:shd w:val="clear" w:color="auto" w:fill="CCEEFF"/>
          </w:tcPr>
          <w:p>
            <w:pPr>
              <w:spacing w:after="0"/>
              <w:rPr>
                <w:sz w:val="20"/>
                <w:szCs w:val="20"/>
                <w:color w:val="auto"/>
              </w:rPr>
            </w:pPr>
          </w:p>
        </w:tc>
      </w:tr>
      <w:tr>
        <w:trPr>
          <w:trHeight w:val="648"/>
        </w:trPr>
        <w:tc>
          <w:tcPr>
            <w:tcW w:w="38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ind w:left="166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17" w:name="page118"/>
    <w:bookmarkEnd w:id="1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vMerge w:val="restart"/>
          </w:tcPr>
          <w:p>
            <w:pPr>
              <w:spacing w:after="0"/>
              <w:rPr>
                <w:sz w:val="20"/>
                <w:szCs w:val="20"/>
                <w:color w:val="auto"/>
              </w:rPr>
            </w:pPr>
            <w:r>
              <w:rPr>
                <w:rFonts w:ascii="Arial" w:cs="Arial" w:eastAsia="Arial" w:hAnsi="Arial"/>
                <w:sz w:val="18"/>
                <w:szCs w:val="18"/>
                <w:b w:val="1"/>
                <w:bCs w:val="1"/>
                <w:color w:val="auto"/>
              </w:rPr>
              <w:t>Trading of securities issued</w:t>
            </w:r>
          </w:p>
        </w:tc>
        <w:tc>
          <w:tcPr>
            <w:tcW w:w="3720" w:type="dxa"/>
            <w:vAlign w:val="bottom"/>
            <w:gridSpan w:val="2"/>
          </w:tcPr>
          <w:p>
            <w:pPr>
              <w:ind w:left="980"/>
              <w:spacing w:after="0"/>
              <w:rPr>
                <w:sz w:val="20"/>
                <w:szCs w:val="20"/>
                <w:color w:val="auto"/>
              </w:rPr>
            </w:pPr>
            <w:r>
              <w:rPr>
                <w:rFonts w:ascii="Arial" w:cs="Arial" w:eastAsia="Arial" w:hAnsi="Arial"/>
                <w:sz w:val="18"/>
                <w:szCs w:val="18"/>
                <w:b w:val="1"/>
                <w:bCs w:val="1"/>
                <w:color w:val="auto"/>
              </w:rPr>
              <w:t>Terms of Our Offering</w:t>
            </w:r>
          </w:p>
        </w:tc>
        <w:tc>
          <w:tcPr>
            <w:tcW w:w="0" w:type="dxa"/>
            <w:vAlign w:val="bottom"/>
          </w:tcPr>
          <w:p>
            <w:pPr>
              <w:spacing w:after="0"/>
              <w:rPr>
                <w:sz w:val="1"/>
                <w:szCs w:val="1"/>
                <w:color w:val="auto"/>
              </w:rPr>
            </w:pPr>
          </w:p>
        </w:tc>
      </w:tr>
      <w:tr>
        <w:trPr>
          <w:trHeight w:val="195"/>
        </w:trPr>
        <w:tc>
          <w:tcPr>
            <w:tcW w:w="3840" w:type="dxa"/>
            <w:vAlign w:val="bottom"/>
            <w:vMerge w:val="continue"/>
          </w:tcPr>
          <w:p>
            <w:pPr>
              <w:spacing w:after="0"/>
              <w:rPr>
                <w:sz w:val="16"/>
                <w:szCs w:val="16"/>
                <w:color w:val="auto"/>
              </w:rPr>
            </w:pPr>
          </w:p>
        </w:tc>
        <w:tc>
          <w:tcPr>
            <w:tcW w:w="3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We expect the units will begin trading on or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promptly after the date of this prospectus. The</w:t>
            </w:r>
          </w:p>
        </w:tc>
        <w:tc>
          <w:tcPr>
            <w:tcW w:w="0" w:type="dxa"/>
            <w:vAlign w:val="bottom"/>
          </w:tcPr>
          <w:p>
            <w:pPr>
              <w:spacing w:after="0"/>
              <w:rPr>
                <w:sz w:val="1"/>
                <w:szCs w:val="1"/>
                <w:color w:val="auto"/>
              </w:rPr>
            </w:pPr>
          </w:p>
        </w:tc>
      </w:tr>
      <w:tr>
        <w:trPr>
          <w:trHeight w:val="220"/>
        </w:trPr>
        <w:tc>
          <w:tcPr>
            <w:tcW w:w="384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w w:val="96"/>
              </w:rPr>
              <w:t>Class A common stock and warrants comprising</w:t>
            </w:r>
          </w:p>
        </w:tc>
        <w:tc>
          <w:tcPr>
            <w:tcW w:w="0" w:type="dxa"/>
            <w:vAlign w:val="bottom"/>
          </w:tcPr>
          <w:p>
            <w:pPr>
              <w:spacing w:after="0"/>
              <w:rPr>
                <w:sz w:val="1"/>
                <w:szCs w:val="1"/>
                <w:color w:val="auto"/>
              </w:rPr>
            </w:pPr>
          </w:p>
        </w:tc>
      </w:tr>
      <w:tr>
        <w:trPr>
          <w:trHeight w:val="253"/>
        </w:trPr>
        <w:tc>
          <w:tcPr>
            <w:tcW w:w="3840" w:type="dxa"/>
            <w:vAlign w:val="bottom"/>
          </w:tcPr>
          <w:p>
            <w:pPr>
              <w:spacing w:after="0"/>
              <w:rPr>
                <w:sz w:val="21"/>
                <w:szCs w:val="21"/>
                <w:color w:val="auto"/>
              </w:rPr>
            </w:pPr>
          </w:p>
        </w:tc>
        <w:tc>
          <w:tcPr>
            <w:tcW w:w="3720" w:type="dxa"/>
            <w:vAlign w:val="bottom"/>
            <w:gridSpan w:val="2"/>
          </w:tcPr>
          <w:p>
            <w:pPr>
              <w:spacing w:after="0" w:line="252" w:lineRule="exact"/>
              <w:rPr>
                <w:sz w:val="20"/>
                <w:szCs w:val="20"/>
                <w:color w:val="auto"/>
              </w:rPr>
            </w:pPr>
            <w:r>
              <w:rPr>
                <w:rFonts w:ascii="Arial" w:cs="Arial" w:eastAsia="Arial" w:hAnsi="Arial"/>
                <w:sz w:val="18"/>
                <w:szCs w:val="18"/>
                <w:color w:val="auto"/>
                <w:w w:val="96"/>
              </w:rPr>
              <w:t>the units will begin separate trading on the 52</w:t>
            </w:r>
            <w:r>
              <w:rPr>
                <w:rFonts w:ascii="Arial" w:cs="Arial" w:eastAsia="Arial" w:hAnsi="Arial"/>
                <w:sz w:val="29"/>
                <w:szCs w:val="29"/>
                <w:color w:val="auto"/>
                <w:w w:val="96"/>
                <w:vertAlign w:val="superscript"/>
              </w:rPr>
              <w:t>nd</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w w:val="90"/>
              </w:rPr>
              <w:t>day following the date of this prospectus unless the</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w w:val="96"/>
              </w:rPr>
              <w:t>representative informs us of its decision to allow</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w w:val="92"/>
              </w:rPr>
              <w:t>earlier separate trading, subject to our having filed</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w w:val="95"/>
              </w:rPr>
              <w:t>the Current Report on Form 8-K described below</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w w:val="88"/>
              </w:rPr>
              <w:t>and having issued a press release announcing when</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w w:val="98"/>
              </w:rPr>
              <w:t>such separate trading will begin. We will file the</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Current Report on Form 8-K promptly after the</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w w:val="92"/>
              </w:rPr>
              <w:t>closing of this offering, which is anticipated to take</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w w:val="99"/>
              </w:rPr>
              <w:t>place three business days from the date of this</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prospectus. If the over-allotment option is</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exercised following the initial filing of such</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w w:val="92"/>
              </w:rPr>
              <w:t>Current Report on Form 8-K, an additional Current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Report on Form 8-K will be filed to provide</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updated financial information to reflect the</w:t>
            </w: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exercise of the over-allotment option.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-2639695</wp:posOffset>
            </wp:positionV>
            <wp:extent cx="7132320" cy="26403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26403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Arial" w:cs="Arial" w:eastAsia="Arial" w:hAnsi="Arial"/>
          <w:sz w:val="18"/>
          <w:szCs w:val="18"/>
          <w:b w:val="1"/>
          <w:bCs w:val="1"/>
          <w:color w:val="auto"/>
        </w:rPr>
        <w:t>Terms Under a Rule 419 Offering</w:t>
      </w:r>
    </w:p>
    <w:p>
      <w:pPr>
        <w:spacing w:after="0" w:line="27" w:lineRule="exact"/>
        <w:rPr>
          <w:sz w:val="20"/>
          <w:szCs w:val="20"/>
          <w:color w:val="auto"/>
        </w:rPr>
      </w:pPr>
    </w:p>
    <w:p>
      <w:pPr>
        <w:jc w:val="both"/>
        <w:ind w:right="80"/>
        <w:spacing w:after="0" w:line="287" w:lineRule="auto"/>
        <w:rPr>
          <w:sz w:val="20"/>
          <w:szCs w:val="20"/>
          <w:color w:val="auto"/>
        </w:rPr>
      </w:pPr>
      <w:r>
        <w:rPr>
          <w:rFonts w:ascii="Arial" w:cs="Arial" w:eastAsia="Arial" w:hAnsi="Arial"/>
          <w:sz w:val="16"/>
          <w:szCs w:val="16"/>
          <w:color w:val="auto"/>
        </w:rPr>
        <w:t>No trading of the units or the underlying Class A common stock and warrants would be permitted until the completion of a business combination.</w:t>
      </w:r>
    </w:p>
    <w:p>
      <w:pPr>
        <w:spacing w:after="0" w:line="1"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During this period, the securities would be held in the escrow or trust account.</w:t>
      </w:r>
    </w:p>
    <w:p>
      <w:pPr>
        <w:spacing w:after="0" w:line="3248" w:lineRule="exact"/>
        <w:rPr>
          <w:sz w:val="20"/>
          <w:szCs w:val="20"/>
          <w:color w:val="auto"/>
        </w:rPr>
      </w:pPr>
    </w:p>
    <w:p>
      <w:pPr>
        <w:sectPr>
          <w:pgSz w:w="11900" w:h="16838" w:orient="portrait"/>
          <w:cols w:equalWidth="0" w:num="2">
            <w:col w:w="7540" w:space="100"/>
            <w:col w:w="3600"/>
          </w:cols>
          <w:pgMar w:left="320" w:top="918" w:right="339" w:bottom="653" w:gutter="0" w:footer="0" w:header="0"/>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Exercise of the warrants</w:t>
            </w:r>
          </w:p>
        </w:tc>
        <w:tc>
          <w:tcPr>
            <w:tcW w:w="4680" w:type="dxa"/>
            <w:vAlign w:val="bottom"/>
            <w:shd w:val="clear" w:color="auto" w:fill="CCEEFF"/>
          </w:tcPr>
          <w:p>
            <w:pPr>
              <w:ind w:left="980"/>
              <w:spacing w:after="0"/>
              <w:rPr>
                <w:sz w:val="20"/>
                <w:szCs w:val="20"/>
                <w:color w:val="auto"/>
              </w:rPr>
            </w:pPr>
            <w:r>
              <w:rPr>
                <w:rFonts w:ascii="Arial" w:cs="Arial" w:eastAsia="Arial" w:hAnsi="Arial"/>
                <w:sz w:val="18"/>
                <w:szCs w:val="18"/>
                <w:color w:val="auto"/>
                <w:w w:val="92"/>
              </w:rPr>
              <w:t>The warrants cannot be exercised until the later of</w:t>
            </w:r>
          </w:p>
        </w:tc>
        <w:tc>
          <w:tcPr>
            <w:tcW w:w="3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The warrants could be exercised prior to the</w:t>
            </w:r>
          </w:p>
        </w:tc>
      </w:tr>
      <w:tr>
        <w:trPr>
          <w:trHeight w:val="216"/>
        </w:trPr>
        <w:tc>
          <w:tcPr>
            <w:tcW w:w="2860" w:type="dxa"/>
            <w:vAlign w:val="bottom"/>
            <w:shd w:val="clear" w:color="auto" w:fill="CCEEFF"/>
          </w:tcPr>
          <w:p>
            <w:pPr>
              <w:spacing w:after="0"/>
              <w:rPr>
                <w:sz w:val="18"/>
                <w:szCs w:val="18"/>
                <w:color w:val="auto"/>
              </w:rPr>
            </w:pPr>
          </w:p>
        </w:tc>
        <w:tc>
          <w:tcPr>
            <w:tcW w:w="46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(i) 30 days after the completion of our initial</w:t>
            </w:r>
          </w:p>
        </w:tc>
        <w:tc>
          <w:tcPr>
            <w:tcW w:w="3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completion of a business combination, but</w:t>
            </w:r>
          </w:p>
        </w:tc>
      </w:tr>
      <w:tr>
        <w:trPr>
          <w:trHeight w:val="216"/>
        </w:trPr>
        <w:tc>
          <w:tcPr>
            <w:tcW w:w="2860" w:type="dxa"/>
            <w:vAlign w:val="bottom"/>
            <w:shd w:val="clear" w:color="auto" w:fill="CCEEFF"/>
          </w:tcPr>
          <w:p>
            <w:pPr>
              <w:spacing w:after="0"/>
              <w:rPr>
                <w:sz w:val="18"/>
                <w:szCs w:val="18"/>
                <w:color w:val="auto"/>
              </w:rPr>
            </w:pPr>
          </w:p>
        </w:tc>
        <w:tc>
          <w:tcPr>
            <w:tcW w:w="4680" w:type="dxa"/>
            <w:vAlign w:val="bottom"/>
            <w:shd w:val="clear" w:color="auto" w:fill="CCEEFF"/>
          </w:tcPr>
          <w:p>
            <w:pPr>
              <w:ind w:left="980"/>
              <w:spacing w:after="0"/>
              <w:rPr>
                <w:sz w:val="20"/>
                <w:szCs w:val="20"/>
                <w:color w:val="auto"/>
              </w:rPr>
            </w:pPr>
            <w:r>
              <w:rPr>
                <w:rFonts w:ascii="Arial" w:cs="Arial" w:eastAsia="Arial" w:hAnsi="Arial"/>
                <w:sz w:val="18"/>
                <w:szCs w:val="18"/>
                <w:color w:val="auto"/>
                <w:w w:val="97"/>
              </w:rPr>
              <w:t>business combination or (ii) 12 months from the</w:t>
            </w:r>
          </w:p>
        </w:tc>
        <w:tc>
          <w:tcPr>
            <w:tcW w:w="37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securities received and cash paid in connection</w:t>
            </w:r>
          </w:p>
        </w:tc>
      </w:tr>
      <w:tr>
        <w:trPr>
          <w:trHeight w:val="216"/>
        </w:trPr>
        <w:tc>
          <w:tcPr>
            <w:tcW w:w="2860" w:type="dxa"/>
            <w:vAlign w:val="bottom"/>
            <w:shd w:val="clear" w:color="auto" w:fill="CCEEFF"/>
          </w:tcPr>
          <w:p>
            <w:pPr>
              <w:spacing w:after="0"/>
              <w:rPr>
                <w:sz w:val="18"/>
                <w:szCs w:val="18"/>
                <w:color w:val="auto"/>
              </w:rPr>
            </w:pPr>
          </w:p>
        </w:tc>
        <w:tc>
          <w:tcPr>
            <w:tcW w:w="46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closing of this public offering.</w:t>
            </w:r>
          </w:p>
        </w:tc>
        <w:tc>
          <w:tcPr>
            <w:tcW w:w="3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with the exercise would be deposited in the</w:t>
            </w:r>
          </w:p>
        </w:tc>
      </w:tr>
      <w:tr>
        <w:trPr>
          <w:trHeight w:val="230"/>
        </w:trPr>
        <w:tc>
          <w:tcPr>
            <w:tcW w:w="2860" w:type="dxa"/>
            <w:vAlign w:val="bottom"/>
            <w:shd w:val="clear" w:color="auto" w:fill="CCEEFF"/>
          </w:tcPr>
          <w:p>
            <w:pPr>
              <w:spacing w:after="0"/>
              <w:rPr>
                <w:sz w:val="20"/>
                <w:szCs w:val="20"/>
                <w:color w:val="auto"/>
              </w:rPr>
            </w:pPr>
          </w:p>
        </w:tc>
        <w:tc>
          <w:tcPr>
            <w:tcW w:w="4680" w:type="dxa"/>
            <w:vAlign w:val="bottom"/>
            <w:shd w:val="clear" w:color="auto" w:fill="CCEEFF"/>
          </w:tcPr>
          <w:p>
            <w:pPr>
              <w:spacing w:after="0"/>
              <w:rPr>
                <w:sz w:val="20"/>
                <w:szCs w:val="20"/>
                <w:color w:val="auto"/>
              </w:rPr>
            </w:pPr>
          </w:p>
        </w:tc>
        <w:tc>
          <w:tcPr>
            <w:tcW w:w="3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escrow or trust account.</w:t>
            </w:r>
          </w:p>
        </w:tc>
      </w:tr>
    </w:tbl>
    <w:p>
      <w:pPr>
        <w:spacing w:after="0" w:line="198" w:lineRule="exact"/>
        <w:rPr>
          <w:sz w:val="20"/>
          <w:szCs w:val="20"/>
          <w:color w:val="auto"/>
        </w:rPr>
      </w:pPr>
    </w:p>
    <w:p>
      <w:pPr>
        <w:sectPr>
          <w:pgSz w:w="11900" w:h="16838" w:orient="portrait"/>
          <w:cols w:equalWidth="0" w:num="1">
            <w:col w:w="11240"/>
          </w:cols>
          <w:pgMar w:left="320" w:top="918" w:right="339" w:bottom="653" w:gutter="0" w:footer="0" w:header="0"/>
          <w:type w:val="continuous"/>
        </w:sectPr>
      </w:pPr>
    </w:p>
    <w:p>
      <w:pPr>
        <w:spacing w:after="0"/>
        <w:tabs>
          <w:tab w:leader="none" w:pos="3820" w:val="left"/>
        </w:tabs>
        <w:rPr>
          <w:sz w:val="20"/>
          <w:szCs w:val="20"/>
          <w:color w:val="auto"/>
        </w:rPr>
      </w:pPr>
      <w:r>
        <w:rPr>
          <w:rFonts w:ascii="Arial" w:cs="Arial" w:eastAsia="Arial" w:hAnsi="Arial"/>
          <w:sz w:val="18"/>
          <w:szCs w:val="18"/>
          <w:b w:val="1"/>
          <w:bCs w:val="1"/>
          <w:color w:val="auto"/>
        </w:rPr>
        <w:t>Election to remain an investor</w:t>
      </w:r>
      <w:r>
        <w:rPr>
          <w:sz w:val="20"/>
          <w:szCs w:val="20"/>
          <w:color w:val="auto"/>
        </w:rPr>
        <w:tab/>
      </w:r>
      <w:r>
        <w:rPr>
          <w:rFonts w:ascii="Arial" w:cs="Arial" w:eastAsia="Arial" w:hAnsi="Arial"/>
          <w:sz w:val="16"/>
          <w:szCs w:val="16"/>
          <w:color w:val="auto"/>
        </w:rPr>
        <w:t>We will provide our public stockholders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52120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5212080"/>
                    </a:xfrm>
                    <a:prstGeom prst="rect">
                      <a:avLst/>
                    </a:prstGeom>
                    <a:noFill/>
                  </pic:spPr>
                </pic:pic>
              </a:graphicData>
            </a:graphic>
          </wp:anchor>
        </w:drawing>
      </w:r>
    </w:p>
    <w:p>
      <w:pPr>
        <w:spacing w:after="0" w:line="7"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opportunity to redeem their public shares for cash</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equal to their pro rata share of the aggregate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amount then on deposit in the trust account as of</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two business days prior to the consummation of</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our initial business combination, including interest</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earned on the funds held in the trust account and</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not previously released to us to pay our taxes, upon</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the completion of our initial business combination,</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subject to the limitations described herein. We may</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not be required by applicable law or stock</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exchange listing requirements to hold a</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stockholder vote. We intend to give approximately</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30 days (but not less than 10 days nor more than</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60 days) prior written notice of any such meeting,</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if required, at which a vote shall be taken to</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approve our initial business combination. If we are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not required by applicable law or stock exchange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listing requirements and do not otherwise decide to</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hold a stockholder vote, we will, pursuant to our</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amended and restated certificate of incorporation,</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conduct the redemptions pursuant to the tender</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offer rules of the SEC and file tender offer</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documents with the SEC which will contain</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substantially the same financial and other</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information about the initial business combination</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and the redemption rights as is required under the</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SEC’s proxy rules. In the event we conduct</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redemptions pursuant to the tender offer rules, our</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offer to redeem will remain open for at least</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20 business days, in accordance with Rule 14e-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1(a) under the Exchange Act, and we will not be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permitted to complete our initial business</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combination until the expiration of the tender offer</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period. If, however, we hold a stockholder vote,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we will, like many blank check companies, offer to</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redeem shares in conjunction with a proxy</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solicitation pursuant to the proxy rules.</w:t>
      </w:r>
    </w:p>
    <w:p>
      <w:pPr>
        <w:spacing w:after="0" w:line="20" w:lineRule="exact"/>
        <w:rPr>
          <w:sz w:val="20"/>
          <w:szCs w:val="20"/>
          <w:color w:val="auto"/>
        </w:rPr>
      </w:pPr>
      <w:r>
        <w:rPr>
          <w:sz w:val="20"/>
          <w:szCs w:val="20"/>
          <w:color w:val="auto"/>
        </w:rPr>
        <w:br w:type="column"/>
      </w:r>
    </w:p>
    <w:p>
      <w:pPr>
        <w:ind w:right="80"/>
        <w:spacing w:after="0" w:line="284" w:lineRule="auto"/>
        <w:rPr>
          <w:sz w:val="20"/>
          <w:szCs w:val="20"/>
          <w:color w:val="auto"/>
        </w:rPr>
      </w:pPr>
      <w:r>
        <w:rPr>
          <w:rFonts w:ascii="Arial" w:cs="Arial" w:eastAsia="Arial" w:hAnsi="Arial"/>
          <w:sz w:val="16"/>
          <w:szCs w:val="16"/>
          <w:color w:val="auto"/>
        </w:rPr>
        <w:t>A prospectus containing information pertaining to the business combination required by the SEC would be sent to each investor. Each investor would be given the opportunity to notify the company in writing, within a period of no less than 20 business days and no more than</w:t>
      </w:r>
    </w:p>
    <w:p>
      <w:pPr>
        <w:spacing w:after="0" w:line="4"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45 business days from the effective date of a post-effective amendment to the company’s registration statement, to decide if it elects to remain a stockholder of the company or require the return of its investment. If the company has not received the notification by the end of the</w:t>
      </w:r>
    </w:p>
    <w:p>
      <w:pPr>
        <w:spacing w:after="0" w:line="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45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business day, funds and interest or dividends, if any, held in the trust or escrow account are automatically returned to the stockholder. Unless a sufficient number of investors elect to remain investors, all funds on deposit in the escrow account must be returned to all of the investors and none of the securities are issued.</w:t>
      </w:r>
    </w:p>
    <w:p>
      <w:pPr>
        <w:spacing w:after="0" w:line="4039" w:lineRule="exact"/>
        <w:rPr>
          <w:sz w:val="20"/>
          <w:szCs w:val="20"/>
          <w:color w:val="auto"/>
        </w:rPr>
      </w:pPr>
    </w:p>
    <w:p>
      <w:pPr>
        <w:sectPr>
          <w:pgSz w:w="11900" w:h="16838" w:orient="portrait"/>
          <w:cols w:equalWidth="0" w:num="2">
            <w:col w:w="7540" w:space="100"/>
            <w:col w:w="3600"/>
          </w:cols>
          <w:pgMar w:left="320" w:top="918" w:right="339" w:bottom="653" w:gutter="0" w:footer="0" w:header="0"/>
          <w:type w:val="continuous"/>
        </w:sect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8" w:right="339" w:bottom="653" w:gutter="0" w:footer="0" w:header="0"/>
          <w:type w:val="continuous"/>
        </w:sectPr>
      </w:pPr>
    </w:p>
    <w:bookmarkStart w:id="118" w:name="page119"/>
    <w:bookmarkEnd w:id="118"/>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3700" w:type="dxa"/>
            <w:vAlign w:val="bottom"/>
            <w:tcBorders>
              <w:bottom w:val="single" w:sz="8" w:color="auto"/>
            </w:tcBorders>
          </w:tcPr>
          <w:p>
            <w:pPr>
              <w:ind w:left="980"/>
              <w:spacing w:after="0"/>
              <w:rPr>
                <w:sz w:val="20"/>
                <w:szCs w:val="20"/>
                <w:color w:val="auto"/>
              </w:rPr>
            </w:pPr>
            <w:r>
              <w:rPr>
                <w:rFonts w:ascii="Arial" w:cs="Arial" w:eastAsia="Arial" w:hAnsi="Arial"/>
                <w:sz w:val="18"/>
                <w:szCs w:val="18"/>
                <w:b w:val="1"/>
                <w:bCs w:val="1"/>
                <w:color w:val="auto"/>
              </w:rPr>
              <w:t>Terms of Our Offering</w:t>
            </w:r>
          </w:p>
        </w:tc>
      </w:tr>
      <w:tr>
        <w:trPr>
          <w:trHeight w:val="195"/>
        </w:trPr>
        <w:tc>
          <w:tcPr>
            <w:tcW w:w="3840" w:type="dxa"/>
            <w:vAlign w:val="bottom"/>
          </w:tcPr>
          <w:p>
            <w:pPr>
              <w:spacing w:after="0"/>
              <w:rPr>
                <w:sz w:val="16"/>
                <w:szCs w:val="16"/>
                <w:color w:val="auto"/>
              </w:rPr>
            </w:pPr>
          </w:p>
        </w:tc>
        <w:tc>
          <w:tcPr>
            <w:tcW w:w="3700" w:type="dxa"/>
            <w:vAlign w:val="bottom"/>
          </w:tcPr>
          <w:p>
            <w:pPr>
              <w:spacing w:after="0" w:line="195" w:lineRule="exact"/>
              <w:rPr>
                <w:sz w:val="20"/>
                <w:szCs w:val="20"/>
                <w:color w:val="auto"/>
              </w:rPr>
            </w:pPr>
            <w:r>
              <w:rPr>
                <w:rFonts w:ascii="Arial" w:cs="Arial" w:eastAsia="Arial" w:hAnsi="Arial"/>
                <w:sz w:val="18"/>
                <w:szCs w:val="18"/>
                <w:color w:val="auto"/>
                <w:w w:val="93"/>
              </w:rPr>
              <w:t>If we seek stockholder approval, we will complete</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5"/>
              </w:rPr>
              <w:t>our initial business combination only if a majority</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3"/>
              </w:rPr>
              <w:t>of the outstanding shares of common stock voted</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are voted in favor of the initial business</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2"/>
              </w:rPr>
              <w:t>combination. Additionally, each public stockholder</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may elect to redeem their public shares</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2"/>
              </w:rPr>
              <w:t>irrespective of whether they vote for or against the</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3"/>
              </w:rPr>
              <w:t>proposed transaction. A quorum for such meeting</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4"/>
              </w:rPr>
              <w:t>will consist of the holders present in person or by</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3"/>
              </w:rPr>
              <w:t>proxy of shares of outstanding capital stock of the</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company representing a majority of the voting</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3"/>
              </w:rPr>
              <w:t>power of all outstanding shares of capital stock of</w:t>
            </w:r>
          </w:p>
        </w:tc>
      </w:tr>
      <w:tr>
        <w:trPr>
          <w:trHeight w:val="230"/>
        </w:trPr>
        <w:tc>
          <w:tcPr>
            <w:tcW w:w="384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the company entitled to vote at such meeting.</w:t>
            </w:r>
          </w:p>
        </w:tc>
      </w:tr>
      <w:tr>
        <w:trPr>
          <w:trHeight w:val="418"/>
        </w:trPr>
        <w:tc>
          <w:tcPr>
            <w:tcW w:w="3840" w:type="dxa"/>
            <w:vAlign w:val="bottom"/>
          </w:tcPr>
          <w:p>
            <w:pPr>
              <w:spacing w:after="0"/>
              <w:rPr>
                <w:sz w:val="20"/>
                <w:szCs w:val="20"/>
                <w:color w:val="auto"/>
              </w:rPr>
            </w:pPr>
            <w:r>
              <w:rPr>
                <w:rFonts w:ascii="Arial" w:cs="Arial" w:eastAsia="Arial" w:hAnsi="Arial"/>
                <w:sz w:val="18"/>
                <w:szCs w:val="18"/>
                <w:b w:val="1"/>
                <w:bCs w:val="1"/>
                <w:color w:val="auto"/>
              </w:rPr>
              <w:t>Business combination deadline</w:t>
            </w:r>
          </w:p>
        </w:tc>
        <w:tc>
          <w:tcPr>
            <w:tcW w:w="3700" w:type="dxa"/>
            <w:vAlign w:val="bottom"/>
          </w:tcPr>
          <w:p>
            <w:pPr>
              <w:spacing w:after="0"/>
              <w:rPr>
                <w:sz w:val="20"/>
                <w:szCs w:val="20"/>
                <w:color w:val="auto"/>
              </w:rPr>
            </w:pPr>
            <w:r>
              <w:rPr>
                <w:rFonts w:ascii="Arial" w:cs="Arial" w:eastAsia="Arial" w:hAnsi="Arial"/>
                <w:sz w:val="18"/>
                <w:szCs w:val="18"/>
                <w:color w:val="auto"/>
                <w:w w:val="98"/>
              </w:rPr>
              <w:t>If we are unable to complete an initial business</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4"/>
              </w:rPr>
              <w:t>combination within 15 months from the closing of</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1"/>
              </w:rPr>
              <w:t>this offering, we will (i) cease all operations except</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5"/>
              </w:rPr>
              <w:t>for the purpose of winding up, (ii) as promptly as</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89"/>
              </w:rPr>
              <w:t>reasonably possible but not more than ten business</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0"/>
              </w:rPr>
              <w:t>days thereafter, redeem 100% of the public shares,</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3"/>
              </w:rPr>
              <w:t>at a per-share price, payable in cash, equal to the</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aggregate amount then on deposit in the trust</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0"/>
              </w:rPr>
              <w:t>account including interest earned on the funds held</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2"/>
              </w:rPr>
              <w:t>in the trust account and not previously released to</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1"/>
              </w:rPr>
              <w:t>us to pay our taxes (less up to $100,000 of interest</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to pay dissolution expenses), divided by the</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5"/>
              </w:rPr>
              <w:t>number of then outstanding public shares, which</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redemption will completely extinguish public</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2"/>
              </w:rPr>
              <w:t>stockholders’ rights as stockholders (including the</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6"/>
              </w:rPr>
              <w:t>right to receive further liquidating distributions, if</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any), subject to applicable law, and (iii) as</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8"/>
              </w:rPr>
              <w:t>promptly as reasonably possible following such</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redemption, subject to the approval of our</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1"/>
              </w:rPr>
              <w:t>remaining stockholders and our board of directors,</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dissolve and liquidate, subject in the case of</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2"/>
              </w:rPr>
              <w:t>clauses (ii) and (iii) above to our obligations under</w:t>
            </w:r>
          </w:p>
        </w:tc>
      </w:tr>
      <w:tr>
        <w:trPr>
          <w:trHeight w:val="216"/>
        </w:trPr>
        <w:tc>
          <w:tcPr>
            <w:tcW w:w="38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9"/>
              </w:rPr>
              <w:t>Delaware law to provide for claims of creditors</w:t>
            </w:r>
          </w:p>
        </w:tc>
      </w:tr>
      <w:tr>
        <w:trPr>
          <w:trHeight w:val="230"/>
        </w:trPr>
        <w:tc>
          <w:tcPr>
            <w:tcW w:w="384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and the requirements of other applicable law.</w:t>
            </w:r>
          </w:p>
        </w:tc>
      </w:tr>
      <w:tr>
        <w:trPr>
          <w:trHeight w:val="648"/>
        </w:trPr>
        <w:tc>
          <w:tcPr>
            <w:tcW w:w="3840" w:type="dxa"/>
            <w:vAlign w:val="bottom"/>
          </w:tcPr>
          <w:p>
            <w:pPr>
              <w:spacing w:after="0"/>
              <w:rPr>
                <w:sz w:val="24"/>
                <w:szCs w:val="24"/>
                <w:color w:val="auto"/>
              </w:rPr>
            </w:pPr>
          </w:p>
        </w:tc>
        <w:tc>
          <w:tcPr>
            <w:tcW w:w="3700" w:type="dxa"/>
            <w:vAlign w:val="bottom"/>
          </w:tcPr>
          <w:p>
            <w:pPr>
              <w:ind w:left="1660"/>
              <w:spacing w:after="0"/>
              <w:rPr>
                <w:sz w:val="20"/>
                <w:szCs w:val="20"/>
                <w:color w:val="auto"/>
              </w:rPr>
            </w:pPr>
            <w:r>
              <w:rPr>
                <w:rFonts w:ascii="Arial" w:cs="Arial" w:eastAsia="Arial" w:hAnsi="Arial"/>
                <w:sz w:val="18"/>
                <w:szCs w:val="18"/>
                <w:color w:val="auto"/>
              </w:rPr>
              <w:t>113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-5631180</wp:posOffset>
            </wp:positionV>
            <wp:extent cx="7132320" cy="56407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5640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Arial" w:cs="Arial" w:eastAsia="Arial" w:hAnsi="Arial"/>
          <w:sz w:val="18"/>
          <w:szCs w:val="18"/>
          <w:b w:val="1"/>
          <w:bCs w:val="1"/>
          <w:color w:val="auto"/>
        </w:rPr>
        <w:t>Terms Under a Rule 419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a business combination has not been completed within 18 months after the effective date of the company’s registration statement, funds held in the trust or escrow account are returned to investors.</w:t>
      </w:r>
    </w:p>
    <w:p>
      <w:pPr>
        <w:sectPr>
          <w:pgSz w:w="11900" w:h="16838" w:orient="portrait"/>
          <w:cols w:equalWidth="0" w:num="2">
            <w:col w:w="7540" w:space="100"/>
            <w:col w:w="3600"/>
          </w:cols>
          <w:pgMar w:left="320" w:top="918" w:right="339" w:bottom="1440" w:gutter="0" w:footer="0" w:header="0"/>
        </w:sectPr>
      </w:pPr>
    </w:p>
    <w:bookmarkStart w:id="119" w:name="page120"/>
    <w:bookmarkEnd w:id="119"/>
    <w:p>
      <w:pPr>
        <w:spacing w:after="0" w:line="216"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Limitation on redemption rights of stockholders holding more than 15% of the shares sold in this offering if we hold a stockholder vote</w:t>
      </w:r>
    </w:p>
    <w:p>
      <w:pPr>
        <w:spacing w:after="0" w:line="20" w:lineRule="exact"/>
        <w:rPr>
          <w:sz w:val="20"/>
          <w:szCs w:val="20"/>
          <w:color w:val="auto"/>
        </w:rPr>
      </w:pPr>
      <w:r>
        <w:rPr>
          <w:sz w:val="20"/>
          <w:szCs w:val="20"/>
          <w:color w:val="auto"/>
        </w:rPr>
        <w:br w:type="column"/>
      </w:r>
    </w:p>
    <w:p>
      <w:pPr>
        <w:jc w:val="center"/>
        <w:ind w:left="-19"/>
        <w:spacing w:after="0"/>
        <w:rPr>
          <w:sz w:val="20"/>
          <w:szCs w:val="20"/>
          <w:color w:val="auto"/>
        </w:rPr>
      </w:pPr>
      <w:r>
        <w:rPr>
          <w:rFonts w:ascii="Arial" w:cs="Arial" w:eastAsia="Arial" w:hAnsi="Arial"/>
          <w:sz w:val="18"/>
          <w:szCs w:val="18"/>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17145</wp:posOffset>
            </wp:positionV>
            <wp:extent cx="7132320" cy="26142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2614295"/>
                    </a:xfrm>
                    <a:prstGeom prst="rect">
                      <a:avLst/>
                    </a:prstGeom>
                    <a:noFill/>
                  </pic:spPr>
                </pic:pic>
              </a:graphicData>
            </a:graphic>
          </wp:anchor>
        </w:drawing>
      </w:r>
    </w:p>
    <w:p>
      <w:pPr>
        <w:spacing w:after="0" w:line="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(including our affiliates), together with any affiliate of such stockholder or any other person with whom such stockholder is acting in concert or as a “group” (as defined under Section 13 of the Exchange Act), will be restricted from seeking redemption rights with respect to Excess Shares (more than an aggregate of 15% of the shares sold in this offering). Our public stockholders’ inability to redeem Excess Shares will reduce their influence over our ability to complete our initial business combination and they could suffer a material loss on their investment in us if they sell any Excess Shares in open market transactions.</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Arial" w:cs="Arial" w:eastAsia="Arial" w:hAnsi="Arial"/>
          <w:sz w:val="18"/>
          <w:szCs w:val="18"/>
          <w:b w:val="1"/>
          <w:bCs w:val="1"/>
          <w:color w:val="auto"/>
        </w:rPr>
        <w:t>Terms Under a Rule 419 Offering</w:t>
      </w:r>
    </w:p>
    <w:p>
      <w:pPr>
        <w:spacing w:after="0" w:line="2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Many blank check companies provide no restrictions on the ability of stockholders to redeem shares based on the number of shares held by such stockholders in connection with an initial business combination.</w:t>
      </w:r>
    </w:p>
    <w:p>
      <w:pPr>
        <w:spacing w:after="0" w:line="3180" w:lineRule="exact"/>
        <w:rPr>
          <w:sz w:val="20"/>
          <w:szCs w:val="20"/>
          <w:color w:val="auto"/>
        </w:rPr>
      </w:pPr>
    </w:p>
    <w:p>
      <w:pPr>
        <w:sectPr>
          <w:pgSz w:w="11900" w:h="16838" w:orient="portrait"/>
          <w:cols w:equalWidth="0" w:num="3">
            <w:col w:w="3720" w:space="120"/>
            <w:col w:w="3680" w:space="120"/>
            <w:col w:w="3480"/>
          </w:cols>
          <w:pgMar w:left="320" w:top="918" w:right="459" w:bottom="1440" w:gutter="0" w:footer="0" w:header="0"/>
        </w:sectPr>
      </w:pPr>
    </w:p>
    <w:p>
      <w:pPr>
        <w:spacing w:after="0" w:line="282" w:lineRule="auto"/>
        <w:rPr>
          <w:sz w:val="20"/>
          <w:szCs w:val="20"/>
          <w:color w:val="auto"/>
        </w:rPr>
      </w:pPr>
      <w:r>
        <w:rPr>
          <w:rFonts w:ascii="Arial" w:cs="Arial" w:eastAsia="Arial" w:hAnsi="Arial"/>
          <w:sz w:val="18"/>
          <w:szCs w:val="18"/>
          <w:b w:val="1"/>
          <w:bCs w:val="1"/>
          <w:color w:val="auto"/>
        </w:rPr>
        <w:t>Tendering stock certificates in connection with redemption rights</w:t>
      </w:r>
    </w:p>
    <w:p>
      <w:pPr>
        <w:spacing w:after="0" w:line="20" w:lineRule="exact"/>
        <w:rPr>
          <w:sz w:val="20"/>
          <w:szCs w:val="20"/>
          <w:color w:val="auto"/>
        </w:rPr>
      </w:pPr>
      <w:r>
        <w:rPr>
          <w:sz w:val="20"/>
          <w:szCs w:val="20"/>
          <w:color w:val="auto"/>
        </w:rPr>
        <w:br w:type="column"/>
      </w:r>
    </w:p>
    <w:p>
      <w:pPr>
        <w:spacing w:after="0" w:line="285" w:lineRule="auto"/>
        <w:rPr>
          <w:sz w:val="20"/>
          <w:szCs w:val="20"/>
          <w:color w:val="auto"/>
        </w:rPr>
      </w:pPr>
      <w:r>
        <w:rPr>
          <w:rFonts w:ascii="Arial" w:cs="Arial" w:eastAsia="Arial" w:hAnsi="Arial"/>
          <w:sz w:val="16"/>
          <w:szCs w:val="16"/>
          <w:color w:val="auto"/>
        </w:rPr>
        <w:t>We may require our public stockholders seeking to exercise their redemption rights, whether they are record holders or hold their shares in “street name,” to either tender their certificates to our transfer agent up to two business days prior to the vote on the proposal to approve the initial business combination, or to deliver their shares to the transfer agent electronically using The Depository Trust Company’s DWAC System, at the holder’s option. The proxy materials that we will furnish to holders of our public shares in connection with our initial business combination will indicate whether we are requiring public stockholders to satisfy such delivery requirements. Accordingly, a public stockholder would have up to two days prior to the vote on the initial business combination to tender its shares if it wishes to seek to exercise its redemption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-2487295</wp:posOffset>
            </wp:positionV>
            <wp:extent cx="7132320" cy="24688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24688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9" w:lineRule="auto"/>
        <w:rPr>
          <w:sz w:val="20"/>
          <w:szCs w:val="20"/>
          <w:color w:val="auto"/>
        </w:rPr>
      </w:pPr>
      <w:r>
        <w:rPr>
          <w:rFonts w:ascii="Arial" w:cs="Arial" w:eastAsia="Arial" w:hAnsi="Arial"/>
          <w:sz w:val="17"/>
          <w:szCs w:val="17"/>
          <w:color w:val="auto"/>
        </w:rPr>
        <w:t>In order to perfect redemption rights in connection with their business combinations, holders could vote against a proposed initial business combination and check a box on the proxy card indicating such holders were seeking to exercise their redemption rights. After the business combination was approved, the company would contact such stockholders to arrange for them to deliver their certificate to verify ownership.</w:t>
      </w:r>
    </w:p>
    <w:p>
      <w:pPr>
        <w:spacing w:after="0" w:line="1941" w:lineRule="exact"/>
        <w:rPr>
          <w:sz w:val="20"/>
          <w:szCs w:val="20"/>
          <w:color w:val="auto"/>
        </w:rPr>
      </w:pPr>
    </w:p>
    <w:p>
      <w:pPr>
        <w:sectPr>
          <w:pgSz w:w="11900" w:h="16838" w:orient="portrait"/>
          <w:cols w:equalWidth="0" w:num="3">
            <w:col w:w="3580" w:space="260"/>
            <w:col w:w="3660" w:space="140"/>
            <w:col w:w="3480"/>
          </w:cols>
          <w:pgMar w:left="320" w:top="918" w:right="459" w:bottom="1440" w:gutter="0" w:footer="0" w:header="0"/>
          <w:type w:val="continuous"/>
        </w:sectPr>
      </w:pPr>
    </w:p>
    <w:p>
      <w:pPr>
        <w:spacing w:after="0" w:line="187"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18" w:right="459" w:bottom="1440" w:gutter="0" w:footer="0" w:header="0"/>
          <w:type w:val="continuous"/>
        </w:sectPr>
      </w:pPr>
    </w:p>
    <w:bookmarkStart w:id="120" w:name="page121"/>
    <w:bookmarkEnd w:id="120"/>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Release of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17145</wp:posOffset>
            </wp:positionV>
            <wp:extent cx="7132320" cy="53574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5357495"/>
                    </a:xfrm>
                    <a:prstGeom prst="rect">
                      <a:avLst/>
                    </a:prstGeom>
                    <a:noFill/>
                  </pic:spPr>
                </pic:pic>
              </a:graphicData>
            </a:graphic>
          </wp:anchor>
        </w:drawing>
      </w:r>
    </w:p>
    <w:p>
      <w:pPr>
        <w:spacing w:after="0" w:line="7"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Except with respect to interest earned on the funds held in the trust account that may be released to us to pay our tax obligations and up to $100,000 of interest that may be used for our dissolution expenses, the proceeds held in the trust account will not be released until the earliest to occur of:</w:t>
      </w:r>
    </w:p>
    <w:p>
      <w:pPr>
        <w:spacing w:after="0" w:line="3" w:lineRule="exact"/>
        <w:rPr>
          <w:sz w:val="20"/>
          <w:szCs w:val="20"/>
          <w:color w:val="auto"/>
        </w:rPr>
      </w:pPr>
    </w:p>
    <w:p>
      <w:pPr>
        <w:ind w:firstLine="2"/>
        <w:spacing w:after="0" w:line="283" w:lineRule="auto"/>
        <w:tabs>
          <w:tab w:leader="none" w:pos="215"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completion of our initial business combination, (ii) the redemption of any public shares properly submitted in connection with a stockholder vote to amend our amended and restated certificate of incorporation (A) to modify the substance or timing of our obligation to allow redemption in connection with our initial business combination or certain amendments to our charter prior thereto or to redeem 100% of our public shares if we do not complete our initial business combination within 15 months from the closing of this offering or (B) with respect to any other provision relating to stockholders’ rights or pre-business combination activity and (iii) the redemption of 100% of our public shares if we are unable to complete an initial business combination within the required time frame (subject to the requirements of applicable law). On the completion of our initial business combination, all amounts held in the trust account will be released to us, less amounts released to a separate account controlled by the trustee for disbursal to redeeming stockholders. We will use these funds to pay amounts due to any public stockholders who exercise their redemption rights as described above under “Redemption rights for public stockholders upon completion of our initial business combination,” to pay the underwriters their deferred underwriting commissions, to pay all or a portion of the consideration payable to the target or owners of the target of our initial business combination and to pay other expenses associated with our initial business combination.</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Arial" w:cs="Arial" w:eastAsia="Arial" w:hAnsi="Arial"/>
          <w:sz w:val="18"/>
          <w:szCs w:val="18"/>
          <w:b w:val="1"/>
          <w:bCs w:val="1"/>
          <w:color w:val="auto"/>
        </w:rPr>
        <w:t>Terms Under a Rule 419 Offering</w:t>
      </w:r>
    </w:p>
    <w:p>
      <w:pPr>
        <w:spacing w:after="0" w:line="27"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proceeds held in the escrow account are not released until the earlier of the completion of a business combination or the failure to effect a business combination within the allotted time.</w:t>
      </w:r>
    </w:p>
    <w:p>
      <w:pPr>
        <w:spacing w:after="0" w:line="8119" w:lineRule="exact"/>
        <w:rPr>
          <w:sz w:val="20"/>
          <w:szCs w:val="20"/>
          <w:color w:val="auto"/>
        </w:rPr>
      </w:pPr>
    </w:p>
    <w:p>
      <w:pPr>
        <w:sectPr>
          <w:pgSz w:w="11900" w:h="16838" w:orient="portrait"/>
          <w:cols w:equalWidth="0" w:num="3">
            <w:col w:w="3120" w:space="720"/>
            <w:col w:w="3700" w:space="100"/>
            <w:col w:w="3600"/>
          </w:cols>
          <w:pgMar w:left="320" w:top="918" w:right="339" w:bottom="443" w:gutter="0" w:footer="0" w:header="0"/>
        </w:sectPr>
      </w:pPr>
    </w:p>
    <w:p>
      <w:pPr>
        <w:spacing w:after="0" w:line="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and operating businesses seeking strategic business combinations. Many of these entities are well established and have extensive experience identifying and effecting business combinations directly or through affiliates. Moreover, many of these competitors possess greater financial, technical, human and other resources than we do. Our ability to acquire larger target businesses will be limited by our available financial resources. This inherent limitation gives others an advantage in pursuing the initial business combination of a target business. Furthermore, our obligation to pay cash in connection with our public stockholders who exercise their redemption rights may reduce the resources available to us for our initial business combination and our outstanding warrants, and the future dilution they potentially represent, may not be viewed favorably by certain target businesses. Either of these factors may place us at a competitive disadvantage in successfully negotiating an initial business combination.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5" w:lineRule="exact"/>
        <w:rPr>
          <w:sz w:val="20"/>
          <w:szCs w:val="20"/>
          <w:color w:val="auto"/>
        </w:rPr>
      </w:pPr>
    </w:p>
    <w:p>
      <w:pPr>
        <w:ind w:right="40" w:firstLine="324"/>
        <w:spacing w:after="0" w:line="314" w:lineRule="auto"/>
        <w:rPr>
          <w:sz w:val="20"/>
          <w:szCs w:val="20"/>
          <w:color w:val="auto"/>
        </w:rPr>
      </w:pPr>
      <w:r>
        <w:rPr>
          <w:rFonts w:ascii="Arial" w:cs="Arial" w:eastAsia="Arial" w:hAnsi="Arial"/>
          <w:sz w:val="16"/>
          <w:szCs w:val="16"/>
          <w:color w:val="auto"/>
        </w:rPr>
        <w:t xml:space="preserve">Our executive offices are located at 1300 Pennsylvania Ave NW, Suite 700, Washington, DC 20004 and our telephone number is </w:t>
      </w:r>
      <w:r>
        <w:rPr>
          <w:rFonts w:ascii="Arial" w:cs="Arial" w:eastAsia="Arial" w:hAnsi="Arial"/>
          <w:sz w:val="16"/>
          <w:szCs w:val="16"/>
          <w:b w:val="1"/>
          <w:bCs w:val="1"/>
          <w:color w:val="auto"/>
        </w:rPr>
        <w:t>(</w:t>
      </w:r>
      <w:r>
        <w:rPr>
          <w:rFonts w:ascii="Arial" w:cs="Arial" w:eastAsia="Arial" w:hAnsi="Arial"/>
          <w:sz w:val="16"/>
          <w:szCs w:val="16"/>
          <w:color w:val="auto"/>
        </w:rPr>
        <w:t>202) 600-5757 Our executive offices are provided to us by BurTech LP LLC. Commencing on the date of this prospectus, we have agreed to pay our sponsor a total of $10,000 per month for office space, utilities and secretarial and administrative support. We consider our current office space adequate for our current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We currently have four officers. These individuals are not obligated to devote any specific number of hours to our matters but they intend to devote as much of their time as they deem necessary, in the exercise of their respective business judgement, to our affairs until we have completed our initial business combination. The amount of time they will devote in any time period will vary based on whether a target business has been selected for our initial business combination and the stage of the initial business combination process we are in. We do not intend to have any full-time employees prior to the completion of our initial business combination. We do not have an employment agreement with any member of our management team.</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8" w:right="339" w:bottom="443" w:gutter="0" w:footer="0" w:header="0"/>
          <w:type w:val="continuous"/>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Periodic Reporting and Financial Information</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will register our units, Class A common stock and warrants under the Exchange Act and have reporting obligations, including the requirement that we file annual, quarterly and current reports with the SEC. In accordance with the requirements of the Exchange Act, our annual reports will contain financial statements audited and reported on by our independent registered public accountants.</w:t>
      </w:r>
    </w:p>
    <w:p>
      <w:pPr>
        <w:spacing w:after="0" w:line="184"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will provide stockholders with audited financial statements of the prospective target business as part of the tender offer materials or proxy solicitation materials sent to stockholders to assist them in assessing the target business. In all likelihood, these financial statements will need to be prepared in accordance with, or reconciled to, GAAP, or IFRS, depending on the circumstances, and the historical financial statements may be required to be audited in accordance with the standards of the PCAOB. These financial statement requirements may limit the pool of potential targets we may conduct an initial business combination with because some targets may be unable to provide such statements in time for us to disclose such statements in accordance with federal proxy rules and complete our initial business combination within the prescribed time frame. We cannot assure you that any particular target business identified by us as a potential business combination candidate will have financial statements prepared in accordance with GAAP or that the potential target business will be able to prepare its financial statements in accordance with the requirements outlined above. To the extent that these requirements cannot be met, we may not be able to acquire the proposed target business. While this may limit the pool of potential business combination candidates, we do not believe that this limitation will be material.</w:t>
      </w:r>
    </w:p>
    <w:p>
      <w:pPr>
        <w:spacing w:after="0" w:line="185"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We will be required to evaluate our internal control procedures for the fiscal year ending December 31, 2022 as required by the Sarbanes-Oxley Act. Only in the event we are deemed to be a large accelerated filer or an accelerated filer, and no longer qualify as an emerging growth company, will we be required to have our internal control procedures audited.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business combination. Prior to the date of this prospectus,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6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5"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ind w:right="20" w:firstLine="324"/>
        <w:spacing w:after="0" w:line="253" w:lineRule="auto"/>
        <w:rPr>
          <w:sz w:val="20"/>
          <w:szCs w:val="20"/>
          <w:color w:val="auto"/>
        </w:rPr>
      </w:pPr>
      <w:r>
        <w:rPr>
          <w:rFonts w:ascii="Arial" w:cs="Arial" w:eastAsia="Arial" w:hAnsi="Arial"/>
          <w:sz w:val="16"/>
          <w:szCs w:val="16"/>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shares of Class A common stock that are held by non-affiliates exceeds $700 million as of the prior June 30</w:t>
      </w:r>
      <w:r>
        <w:rPr>
          <w:rFonts w:ascii="Arial" w:cs="Arial" w:eastAsia="Arial" w:hAnsi="Arial"/>
          <w:sz w:val="26"/>
          <w:szCs w:val="26"/>
          <w:color w:val="auto"/>
          <w:vertAlign w:val="superscript"/>
        </w:rPr>
        <w:t>th</w:t>
      </w:r>
      <w:r>
        <w:rPr>
          <w:rFonts w:ascii="Arial" w:cs="Arial" w:eastAsia="Arial" w:hAnsi="Arial"/>
          <w:sz w:val="16"/>
          <w:szCs w:val="16"/>
          <w:color w:val="auto"/>
        </w:rPr>
        <w:t>, and</w:t>
      </w:r>
    </w:p>
    <w:p>
      <w:pPr>
        <w:spacing w:after="0" w:line="1" w:lineRule="exact"/>
        <w:rPr>
          <w:sz w:val="20"/>
          <w:szCs w:val="20"/>
          <w:color w:val="auto"/>
        </w:rPr>
      </w:pPr>
    </w:p>
    <w:p>
      <w:pPr>
        <w:ind w:right="300" w:firstLine="8"/>
        <w:spacing w:after="0" w:line="258" w:lineRule="auto"/>
        <w:tabs>
          <w:tab w:leader="none" w:pos="2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in non-convertible debt during the prior three-year period. References herein to “emerging growth company” will have the meaning associated with it in the JOBS Act.</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122" w:name="page123"/>
    <w:bookmarkEnd w:id="122"/>
    <w:p>
      <w:pPr>
        <w:ind w:firstLine="324"/>
        <w:spacing w:after="0" w:line="296" w:lineRule="auto"/>
        <w:rPr>
          <w:sz w:val="20"/>
          <w:szCs w:val="20"/>
          <w:color w:val="auto"/>
        </w:rPr>
      </w:pPr>
      <w:r>
        <w:rPr>
          <w:rFonts w:ascii="Arial" w:cs="Arial" w:eastAsia="Arial" w:hAnsi="Arial"/>
          <w:sz w:val="16"/>
          <w:szCs w:val="16"/>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equals or exceeds $250 million as of the end of that year’s second fiscal quarter, or (2) our annual revenues equaled or exceeded $100 million during such completed fiscal year and the market value of our common stock held by non-affiliates exceeds $700 million as of the end of that year’s second fiscal quarter.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There is no material litigation, arbitration or governmental proceeding currently pending against us or any members of our management team in their capacity as such.</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Officers, Directors and Director Nominees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officers, directors and director nominees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Age</w:t>
            </w:r>
          </w:p>
        </w:tc>
        <w:tc>
          <w:tcPr>
            <w:tcW w:w="7160" w:type="dxa"/>
            <w:vAlign w:val="bottom"/>
            <w:gridSpan w:val="2"/>
          </w:tcPr>
          <w:p>
            <w:pPr>
              <w:ind w:left="3260"/>
              <w:spacing w:after="0"/>
              <w:rPr>
                <w:sz w:val="20"/>
                <w:szCs w:val="20"/>
                <w:color w:val="auto"/>
              </w:rPr>
            </w:pPr>
            <w:r>
              <w:rPr>
                <w:rFonts w:ascii="Arial" w:cs="Arial" w:eastAsia="Arial" w:hAnsi="Arial"/>
                <w:sz w:val="18"/>
                <w:szCs w:val="18"/>
                <w:b w:val="1"/>
                <w:bCs w:val="1"/>
                <w:color w:val="auto"/>
              </w:rPr>
              <w:t>Position</w:t>
            </w:r>
          </w:p>
        </w:tc>
      </w:tr>
      <w:tr>
        <w:trPr>
          <w:trHeight w:val="209"/>
        </w:trPr>
        <w:tc>
          <w:tcPr>
            <w:tcW w:w="2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Shahal Khan</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49</w:t>
            </w:r>
          </w:p>
        </w:tc>
        <w:tc>
          <w:tcPr>
            <w:tcW w:w="220" w:type="dxa"/>
            <w:vAlign w:val="bottom"/>
            <w:tcBorders>
              <w:top w:val="single" w:sz="8" w:color="CCEEFF"/>
            </w:tcBorders>
            <w:shd w:val="clear" w:color="auto" w:fill="CCEEFF"/>
          </w:tcPr>
          <w:p>
            <w:pPr>
              <w:spacing w:after="0"/>
              <w:rPr>
                <w:sz w:val="18"/>
                <w:szCs w:val="18"/>
                <w:color w:val="auto"/>
              </w:rPr>
            </w:pPr>
          </w:p>
        </w:tc>
        <w:tc>
          <w:tcPr>
            <w:tcW w:w="70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Chairman of the Board of Directors and Chief Executive Officer</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Isaac Chetrit</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89"/>
              </w:rPr>
              <w:t>59</w:t>
            </w:r>
          </w:p>
        </w:tc>
        <w:tc>
          <w:tcPr>
            <w:tcW w:w="220" w:type="dxa"/>
            <w:vAlign w:val="bottom"/>
          </w:tcPr>
          <w:p>
            <w:pPr>
              <w:spacing w:after="0"/>
              <w:rPr>
                <w:sz w:val="18"/>
                <w:szCs w:val="18"/>
                <w:color w:val="auto"/>
              </w:rPr>
            </w:pPr>
          </w:p>
        </w:tc>
        <w:tc>
          <w:tcPr>
            <w:tcW w:w="7160" w:type="dxa"/>
            <w:vAlign w:val="bottom"/>
            <w:gridSpan w:val="2"/>
          </w:tcPr>
          <w:p>
            <w:pPr>
              <w:ind w:left="100"/>
              <w:spacing w:after="0"/>
              <w:rPr>
                <w:sz w:val="20"/>
                <w:szCs w:val="20"/>
                <w:color w:val="auto"/>
              </w:rPr>
            </w:pPr>
            <w:r>
              <w:rPr>
                <w:rFonts w:ascii="Arial" w:cs="Arial" w:eastAsia="Arial" w:hAnsi="Arial"/>
                <w:sz w:val="18"/>
                <w:szCs w:val="18"/>
                <w:color w:val="auto"/>
              </w:rPr>
              <w:t>President, Director</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Roman Livson</w:t>
            </w:r>
          </w:p>
        </w:tc>
        <w:tc>
          <w:tcPr>
            <w:tcW w:w="12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51</w:t>
            </w:r>
          </w:p>
        </w:tc>
        <w:tc>
          <w:tcPr>
            <w:tcW w:w="220" w:type="dxa"/>
            <w:vAlign w:val="bottom"/>
            <w:shd w:val="clear" w:color="auto" w:fill="CCEEFF"/>
          </w:tcPr>
          <w:p>
            <w:pPr>
              <w:spacing w:after="0"/>
              <w:rPr>
                <w:sz w:val="18"/>
                <w:szCs w:val="18"/>
                <w:color w:val="auto"/>
              </w:rPr>
            </w:pPr>
          </w:p>
        </w:tc>
        <w:tc>
          <w:tcPr>
            <w:tcW w:w="7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Financial Officer</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Payel Farasat</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89"/>
              </w:rPr>
              <w:t>42</w:t>
            </w:r>
          </w:p>
        </w:tc>
        <w:tc>
          <w:tcPr>
            <w:tcW w:w="220" w:type="dxa"/>
            <w:vAlign w:val="bottom"/>
          </w:tcPr>
          <w:p>
            <w:pPr>
              <w:spacing w:after="0"/>
              <w:rPr>
                <w:sz w:val="18"/>
                <w:szCs w:val="18"/>
                <w:color w:val="auto"/>
              </w:rPr>
            </w:pPr>
          </w:p>
        </w:tc>
        <w:tc>
          <w:tcPr>
            <w:tcW w:w="7160" w:type="dxa"/>
            <w:vAlign w:val="bottom"/>
            <w:gridSpan w:val="2"/>
          </w:tcPr>
          <w:p>
            <w:pPr>
              <w:ind w:left="100"/>
              <w:spacing w:after="0"/>
              <w:rPr>
                <w:sz w:val="20"/>
                <w:szCs w:val="20"/>
                <w:color w:val="auto"/>
              </w:rPr>
            </w:pPr>
            <w:r>
              <w:rPr>
                <w:rFonts w:ascii="Arial" w:cs="Arial" w:eastAsia="Arial" w:hAnsi="Arial"/>
                <w:sz w:val="18"/>
                <w:szCs w:val="18"/>
                <w:color w:val="auto"/>
              </w:rPr>
              <w:t>Chief Investment Officer</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Schroeder</w:t>
            </w:r>
          </w:p>
        </w:tc>
        <w:tc>
          <w:tcPr>
            <w:tcW w:w="12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56</w:t>
            </w:r>
          </w:p>
        </w:tc>
        <w:tc>
          <w:tcPr>
            <w:tcW w:w="220" w:type="dxa"/>
            <w:vAlign w:val="bottom"/>
            <w:shd w:val="clear" w:color="auto" w:fill="CCEEFF"/>
          </w:tcPr>
          <w:p>
            <w:pPr>
              <w:spacing w:after="0"/>
              <w:rPr>
                <w:sz w:val="18"/>
                <w:szCs w:val="18"/>
                <w:color w:val="auto"/>
              </w:rPr>
            </w:pPr>
          </w:p>
        </w:tc>
        <w:tc>
          <w:tcPr>
            <w:tcW w:w="7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Marketing Officer</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Amb. Hans H. Hertell</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89"/>
              </w:rPr>
              <w:t>70</w:t>
            </w:r>
          </w:p>
        </w:tc>
        <w:tc>
          <w:tcPr>
            <w:tcW w:w="220" w:type="dxa"/>
            <w:vAlign w:val="bottom"/>
          </w:tcPr>
          <w:p>
            <w:pPr>
              <w:spacing w:after="0"/>
              <w:rPr>
                <w:sz w:val="18"/>
                <w:szCs w:val="18"/>
                <w:color w:val="auto"/>
              </w:rPr>
            </w:pPr>
          </w:p>
        </w:tc>
        <w:tc>
          <w:tcPr>
            <w:tcW w:w="7160" w:type="dxa"/>
            <w:vAlign w:val="bottom"/>
            <w:gridSpan w:val="2"/>
          </w:tcPr>
          <w:p>
            <w:pPr>
              <w:ind w:left="100"/>
              <w:spacing w:after="0"/>
              <w:rPr>
                <w:sz w:val="20"/>
                <w:szCs w:val="20"/>
                <w:color w:val="auto"/>
              </w:rPr>
            </w:pPr>
            <w:r>
              <w:rPr>
                <w:rFonts w:ascii="Arial" w:cs="Arial" w:eastAsia="Arial" w:hAnsi="Arial"/>
                <w:sz w:val="18"/>
                <w:szCs w:val="18"/>
                <w:color w:val="auto"/>
              </w:rPr>
              <w:t>Director nominee</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 Zolotarev</w:t>
            </w:r>
          </w:p>
        </w:tc>
        <w:tc>
          <w:tcPr>
            <w:tcW w:w="12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54</w:t>
            </w:r>
          </w:p>
        </w:tc>
        <w:tc>
          <w:tcPr>
            <w:tcW w:w="220" w:type="dxa"/>
            <w:vAlign w:val="bottom"/>
            <w:shd w:val="clear" w:color="auto" w:fill="CCEEFF"/>
          </w:tcPr>
          <w:p>
            <w:pPr>
              <w:spacing w:after="0"/>
              <w:rPr>
                <w:sz w:val="18"/>
                <w:szCs w:val="18"/>
                <w:color w:val="auto"/>
              </w:rPr>
            </w:pPr>
          </w:p>
        </w:tc>
        <w:tc>
          <w:tcPr>
            <w:tcW w:w="7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 nominee</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Leon Golden</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89"/>
              </w:rPr>
              <w:t>59</w:t>
            </w:r>
          </w:p>
        </w:tc>
        <w:tc>
          <w:tcPr>
            <w:tcW w:w="220" w:type="dxa"/>
            <w:vAlign w:val="bottom"/>
          </w:tcPr>
          <w:p>
            <w:pPr>
              <w:spacing w:after="0"/>
              <w:rPr>
                <w:sz w:val="18"/>
                <w:szCs w:val="18"/>
                <w:color w:val="auto"/>
              </w:rPr>
            </w:pPr>
          </w:p>
        </w:tc>
        <w:tc>
          <w:tcPr>
            <w:tcW w:w="7160" w:type="dxa"/>
            <w:vAlign w:val="bottom"/>
            <w:gridSpan w:val="2"/>
          </w:tcPr>
          <w:p>
            <w:pPr>
              <w:ind w:left="100"/>
              <w:spacing w:after="0"/>
              <w:rPr>
                <w:sz w:val="20"/>
                <w:szCs w:val="20"/>
                <w:color w:val="auto"/>
              </w:rPr>
            </w:pPr>
            <w:r>
              <w:rPr>
                <w:rFonts w:ascii="Arial" w:cs="Arial" w:eastAsia="Arial" w:hAnsi="Arial"/>
                <w:sz w:val="18"/>
                <w:szCs w:val="18"/>
                <w:color w:val="auto"/>
              </w:rPr>
              <w:t>Director nominee</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Penrod</w:t>
            </w:r>
          </w:p>
        </w:tc>
        <w:tc>
          <w:tcPr>
            <w:tcW w:w="12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51</w:t>
            </w:r>
          </w:p>
        </w:tc>
        <w:tc>
          <w:tcPr>
            <w:tcW w:w="220" w:type="dxa"/>
            <w:vAlign w:val="bottom"/>
            <w:shd w:val="clear" w:color="auto" w:fill="CCEEFF"/>
          </w:tcPr>
          <w:p>
            <w:pPr>
              <w:spacing w:after="0"/>
              <w:rPr>
                <w:sz w:val="18"/>
                <w:szCs w:val="18"/>
                <w:color w:val="auto"/>
              </w:rPr>
            </w:pPr>
          </w:p>
        </w:tc>
        <w:tc>
          <w:tcPr>
            <w:tcW w:w="7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 nominee</w:t>
            </w:r>
          </w:p>
        </w:tc>
      </w:tr>
      <w:tr>
        <w:trPr>
          <w:trHeight w:val="230"/>
        </w:trPr>
        <w:tc>
          <w:tcPr>
            <w:tcW w:w="2620" w:type="dxa"/>
            <w:vAlign w:val="bottom"/>
            <w:gridSpan w:val="2"/>
          </w:tcPr>
          <w:p>
            <w:pPr>
              <w:spacing w:after="0"/>
              <w:rPr>
                <w:sz w:val="20"/>
                <w:szCs w:val="20"/>
                <w:color w:val="auto"/>
              </w:rPr>
            </w:pPr>
            <w:r>
              <w:rPr>
                <w:rFonts w:ascii="Arial" w:cs="Arial" w:eastAsia="Arial" w:hAnsi="Arial"/>
                <w:sz w:val="18"/>
                <w:szCs w:val="18"/>
                <w:color w:val="auto"/>
              </w:rPr>
              <w:t>Peter Plaut</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89"/>
              </w:rPr>
              <w:t>54</w:t>
            </w:r>
          </w:p>
        </w:tc>
        <w:tc>
          <w:tcPr>
            <w:tcW w:w="220" w:type="dxa"/>
            <w:vAlign w:val="bottom"/>
          </w:tcPr>
          <w:p>
            <w:pPr>
              <w:spacing w:after="0"/>
              <w:rPr>
                <w:sz w:val="20"/>
                <w:szCs w:val="20"/>
                <w:color w:val="auto"/>
              </w:rPr>
            </w:pPr>
          </w:p>
        </w:tc>
        <w:tc>
          <w:tcPr>
            <w:tcW w:w="7160" w:type="dxa"/>
            <w:vAlign w:val="bottom"/>
            <w:gridSpan w:val="2"/>
          </w:tcPr>
          <w:p>
            <w:pPr>
              <w:ind w:left="100"/>
              <w:spacing w:after="0"/>
              <w:rPr>
                <w:sz w:val="20"/>
                <w:szCs w:val="20"/>
                <w:color w:val="auto"/>
              </w:rPr>
            </w:pPr>
            <w:r>
              <w:rPr>
                <w:rFonts w:ascii="Arial" w:cs="Arial" w:eastAsia="Arial" w:hAnsi="Arial"/>
                <w:sz w:val="18"/>
                <w:szCs w:val="18"/>
                <w:color w:val="auto"/>
              </w:rPr>
              <w:t>Director nominee</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Team</w:t>
      </w:r>
    </w:p>
    <w:p>
      <w:pPr>
        <w:spacing w:after="0" w:line="229" w:lineRule="exact"/>
        <w:rPr>
          <w:sz w:val="20"/>
          <w:szCs w:val="20"/>
          <w:color w:val="auto"/>
        </w:rPr>
      </w:pPr>
    </w:p>
    <w:p>
      <w:pPr>
        <w:ind w:right="520" w:firstLine="324"/>
        <w:spacing w:after="0" w:line="308" w:lineRule="auto"/>
        <w:rPr>
          <w:sz w:val="20"/>
          <w:szCs w:val="20"/>
          <w:color w:val="auto"/>
        </w:rPr>
      </w:pPr>
      <w:r>
        <w:rPr>
          <w:rFonts w:ascii="Arial" w:cs="Arial" w:eastAsia="Arial" w:hAnsi="Arial"/>
          <w:sz w:val="17"/>
          <w:szCs w:val="17"/>
          <w:color w:val="auto"/>
        </w:rPr>
        <w:t>Our management team is led by Shahal Khan, our Chairman and Chief Executive Officer, Isaac Chetrit, our President, Roman Livson, our Chief Financial Officer, Payel Farasat, our Chief Investment Officer and Christopher Schroeder, our Chief Marketing Officer.</w:t>
      </w:r>
    </w:p>
    <w:p>
      <w:pPr>
        <w:spacing w:after="0" w:line="142" w:lineRule="exact"/>
        <w:rPr>
          <w:sz w:val="20"/>
          <w:szCs w:val="20"/>
          <w:color w:val="auto"/>
        </w:rPr>
      </w:pPr>
    </w:p>
    <w:p>
      <w:pPr>
        <w:ind w:right="280" w:firstLine="324"/>
        <w:spacing w:after="0" w:line="281" w:lineRule="auto"/>
        <w:rPr>
          <w:sz w:val="20"/>
          <w:szCs w:val="20"/>
          <w:color w:val="auto"/>
        </w:rPr>
      </w:pPr>
      <w:r>
        <w:rPr>
          <w:rFonts w:ascii="Arial" w:cs="Arial" w:eastAsia="Arial" w:hAnsi="Arial"/>
          <w:sz w:val="17"/>
          <w:szCs w:val="17"/>
          <w:b w:val="1"/>
          <w:bCs w:val="1"/>
          <w:color w:val="auto"/>
        </w:rPr>
        <w:t xml:space="preserve">Shahal M. Khan </w:t>
      </w:r>
      <w:r>
        <w:rPr>
          <w:rFonts w:ascii="Arial" w:cs="Arial" w:eastAsia="Arial" w:hAnsi="Arial"/>
          <w:sz w:val="17"/>
          <w:szCs w:val="17"/>
          <w:color w:val="auto"/>
        </w:rPr>
        <w:t>is our Chairman of the Board of Directors and Chief Executive Officer. Mr. Khan’s career as an investor, entrepreneur and social</w:t>
      </w:r>
      <w:r>
        <w:rPr>
          <w:rFonts w:ascii="Arial" w:cs="Arial" w:eastAsia="Arial" w:hAnsi="Arial"/>
          <w:sz w:val="17"/>
          <w:szCs w:val="17"/>
          <w:b w:val="1"/>
          <w:bCs w:val="1"/>
          <w:color w:val="auto"/>
        </w:rPr>
        <w:t xml:space="preserve"> </w:t>
      </w:r>
      <w:r>
        <w:rPr>
          <w:rFonts w:ascii="Arial" w:cs="Arial" w:eastAsia="Arial" w:hAnsi="Arial"/>
          <w:sz w:val="17"/>
          <w:szCs w:val="17"/>
          <w:color w:val="auto"/>
        </w:rPr>
        <w:t>venture capitalist spans over 22 years, with investments encompassing telecoms, real estate, energy, natural resources, technology (specific emphasis on Internet-related communications technologies and advanced cyber security solutions) as well as various other industrial sectors. He has been directly responsible for syndication of over $5 billion in equity for projects as a principal through his family trust.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ind w:right="20" w:firstLine="324"/>
        <w:spacing w:after="0" w:line="284" w:lineRule="auto"/>
        <w:rPr>
          <w:sz w:val="20"/>
          <w:szCs w:val="20"/>
          <w:color w:val="auto"/>
        </w:rPr>
      </w:pPr>
      <w:r>
        <w:rPr>
          <w:rFonts w:ascii="Arial" w:cs="Arial" w:eastAsia="Arial" w:hAnsi="Arial"/>
          <w:sz w:val="16"/>
          <w:szCs w:val="16"/>
          <w:color w:val="auto"/>
        </w:rPr>
        <w:t>Mr. Khan is the founder and since its inception in January 2021, serves as chief executive officer and as a director of Burkhan World Investments LLC, a holding company with diversified investments focusing on reinvesting gains from portfolio investments into companies that have the potential so accelerate sustainability. Mr. Khan is a shareholder of CYVOLVE, a pioneering Cyber security company based out of New York City and London with four patents in data security. Since 2019, Mr. Khan has served as chief exectuive officer and Chairman of the Board of Trinity Hospitality Group LLC based out of New York City, which is currently developing a hotel property in New York City which will be a fully tech-enabled live and work destination in New York City with WIRED, a Condé Naste company. Trinity is currently developing over two billion dollars of a pipeline of “Digital Nomad” properties.</w:t>
      </w:r>
    </w:p>
    <w:p>
      <w:pPr>
        <w:spacing w:after="0" w:line="4"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Mr. Khan was chairman of the board of directors for Global Data Sentinel, Inc., a data security company, from 2018 through 2019. He is also the founder of Trinity White City Ventures RAK UAE (“White City”), an advisory boutique and family office based in Dubai and was a director from 2012 until 2014. White City made a bid to buy the Plaza Hotel in 2018, closed the transaction, then agreed to the sale of the hotel to the Qatari SWF.</w:t>
      </w:r>
    </w:p>
    <w:p>
      <w:pPr>
        <w:spacing w:after="0" w:line="173" w:lineRule="exact"/>
        <w:rPr>
          <w:sz w:val="20"/>
          <w:szCs w:val="20"/>
          <w:color w:val="auto"/>
        </w:rPr>
      </w:pPr>
    </w:p>
    <w:p>
      <w:pPr>
        <w:ind w:right="60" w:firstLine="324"/>
        <w:spacing w:after="0" w:line="284" w:lineRule="auto"/>
        <w:rPr>
          <w:sz w:val="20"/>
          <w:szCs w:val="20"/>
          <w:color w:val="auto"/>
        </w:rPr>
      </w:pPr>
      <w:r>
        <w:rPr>
          <w:rFonts w:ascii="Arial" w:cs="Arial" w:eastAsia="Arial" w:hAnsi="Arial"/>
          <w:sz w:val="16"/>
          <w:szCs w:val="16"/>
          <w:color w:val="auto"/>
        </w:rPr>
        <w:t>Mr. Khan was the founding member of CRME (Colt Middle East) in 2012, a mining company which held gold, copper and lithium concessions in Pakistan and Afghanistan. From 2004 to 2008, he was a board member and shareholder of The Quimera Project, a research and development cluster based in Barcelona, Spain, comprised of over 60 technology companies as well as leading universities with the aim of commercializing technologies that have a positive impact on environmental sustainability. He also has a joint venture with American Ethane Corporation of Houston to invest in up to 6,000 megawatts of power projects in Pakistan in collaboration with General Electric. Mr. Khan was one of the founders of the tier one bank in Bahrain - Fortune Investment House and was focused on real estate investments in Bahrain and other countries in the Middle East. He was also founder of Global Voice Telecom, one of the first companies to receive a license for voice over the Internet in 1997 which subsequently merged into a Nasdaq listed company.</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Mr. Khan was the chief executive officer of Centile, a software company located in the South of France, which was sold to the European Development Bank in 2008. In 2009 Mr. Khan founded Zebasolar, one of the first developers of Solar power in India. Mr. Khan also served as a director on the boards of GD360 from 2017 through 2019,</w:t>
      </w:r>
    </w:p>
    <w:p>
      <w:pPr>
        <w:spacing w:after="0" w:line="190"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Mr. Khan is currently appointed senator of the World Business Angels Investment Forum (“WBAF”), as an affiliated partner of the G20 Global Partnership for Financial Inclusion (GPFI). WBAF is committed to collaborating globally to empowering the economic development of the world. He is also a commissioner of the US Council on Competitiveness, which is a nonpartisan, leadership organization composed of CEOs, university presidents, labor leaders, and national lab directors committed to ensuring that the United States remains the world leader in innovation . The Council has one main goal: to strengthen America’s competitive advantage by acting as a catalyst for innovative public policy solutions. Mr. Khan was born in New York and has a Bachelor of Arts in Economics from American University and studied business management at Johns Hopkins University in Washington DC. We believe that Mr. Khan is well qualified to be our chief executive officer due to his over 22 years of experience in investing in the real estate, energy, natural resources, technology industries.</w:t>
      </w:r>
    </w:p>
    <w:p>
      <w:pPr>
        <w:spacing w:after="0" w:line="188"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b w:val="1"/>
          <w:bCs w:val="1"/>
          <w:color w:val="auto"/>
        </w:rPr>
        <w:t xml:space="preserve">Isaac Chetrit </w:t>
      </w:r>
      <w:r>
        <w:rPr>
          <w:rFonts w:ascii="Arial" w:cs="Arial" w:eastAsia="Arial" w:hAnsi="Arial"/>
          <w:sz w:val="17"/>
          <w:szCs w:val="17"/>
          <w:color w:val="auto"/>
        </w:rPr>
        <w:t>is our President. Mr. Chetrit is a real estate veteran with a background in architecture and electrical engineering. Mr. Chetrit is currently</w:t>
      </w:r>
      <w:r>
        <w:rPr>
          <w:rFonts w:ascii="Arial" w:cs="Arial" w:eastAsia="Arial" w:hAnsi="Arial"/>
          <w:sz w:val="17"/>
          <w:szCs w:val="17"/>
          <w:b w:val="1"/>
          <w:bCs w:val="1"/>
          <w:color w:val="auto"/>
        </w:rPr>
        <w:t xml:space="preserve"> </w:t>
      </w:r>
      <w:r>
        <w:rPr>
          <w:rFonts w:ascii="Arial" w:cs="Arial" w:eastAsia="Arial" w:hAnsi="Arial"/>
          <w:sz w:val="17"/>
          <w:szCs w:val="17"/>
          <w:color w:val="auto"/>
        </w:rPr>
        <w:t>the chief executive officer and a director of Monti Consulting Services, a real estate consulting firm, which positions he has held since 2015. Monti Consulting specializes in retail and hospitality real estate, property technology and management services. In addition, since 2019, Mr. Chetrit has been the president and a director of the Trinity Hospitality Group, a real estate management, consulting, and development firm. Mr. Chetrit began his real estate career under the belt of The Taubman Company, where he built a reputation across major cities in the US. He was instrumental during his career with Taubman in making Dolphin Mall an institution in the industry and led the expansion and business development of many other luxury high end brands, restaurants, and entertainment venues in the USA and overseas. He has cemented valuable credibility in the Real Estate industry through his continuous involvement in functional management areas, project development, and consistently developing projects and brands that have become staples and powerhouses, both in the USA and globally.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5" w:name="page126"/>
    <w:bookmarkEnd w:id="125"/>
    <w:p>
      <w:pPr>
        <w:ind w:right="200" w:firstLine="324"/>
        <w:spacing w:after="0" w:line="291" w:lineRule="auto"/>
        <w:rPr>
          <w:sz w:val="20"/>
          <w:szCs w:val="20"/>
          <w:color w:val="auto"/>
        </w:rPr>
      </w:pPr>
      <w:r>
        <w:rPr>
          <w:rFonts w:ascii="Arial" w:cs="Arial" w:eastAsia="Arial" w:hAnsi="Arial"/>
          <w:sz w:val="16"/>
          <w:szCs w:val="16"/>
          <w:color w:val="auto"/>
        </w:rPr>
        <w:t>Mr. Chetrit has also spent the last 20 years merchandising malls, shopping centers, hotels, and specializing in location assessment and negotiations. Later as the vice president of Westfield, Mr. Chetrit was solely responsible for high-end retail and entertainment development for the eastern U.S. During the last two decades, Mr. Chetrit has procured hundreds of millions of dollars in transactions across the U.S. and other parts of the world. For the past couple years, Mr. Chetrit has deep dived into the fintech and proptech space to develop the next generation hospitality and real estate industries, with the objective to leverage these innovations within these industries to address continuing technologically progressive market demands. Mr. Chetrit has a bachelor of science degree in architecture and electrical engineering from ORT Toulouse, France. We believe that Mr. Chetrit is well qualified to be our president due to his extensive experience as a senior officer and director of some of the largest companies in their respective industries.</w:t>
      </w:r>
    </w:p>
    <w:p>
      <w:pPr>
        <w:spacing w:after="0" w:line="162"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b w:val="1"/>
          <w:bCs w:val="1"/>
          <w:color w:val="auto"/>
        </w:rPr>
        <w:t xml:space="preserve">Roman V. Livson </w:t>
      </w:r>
      <w:r>
        <w:rPr>
          <w:rFonts w:ascii="Arial" w:cs="Arial" w:eastAsia="Arial" w:hAnsi="Arial"/>
          <w:sz w:val="16"/>
          <w:szCs w:val="16"/>
          <w:color w:val="auto"/>
        </w:rPr>
        <w:t>is our Chief Financial Officer. Since February 2021, Mr. Livson has been the Chief Financial Officer of Burkhan World, a family</w:t>
      </w:r>
      <w:r>
        <w:rPr>
          <w:rFonts w:ascii="Arial" w:cs="Arial" w:eastAsia="Arial" w:hAnsi="Arial"/>
          <w:sz w:val="16"/>
          <w:szCs w:val="16"/>
          <w:b w:val="1"/>
          <w:bCs w:val="1"/>
          <w:color w:val="auto"/>
        </w:rPr>
        <w:t xml:space="preserve"> </w:t>
      </w:r>
      <w:r>
        <w:rPr>
          <w:rFonts w:ascii="Arial" w:cs="Arial" w:eastAsia="Arial" w:hAnsi="Arial"/>
          <w:sz w:val="16"/>
          <w:szCs w:val="16"/>
          <w:color w:val="auto"/>
        </w:rPr>
        <w:t>office investment company. Mr. Livson is also the Managing Member of BurTech LP, LLC, our Sponsor. Since July 2014, Mr. Livson has been serving as the Chief Compliance Officer at Katalyst Securities LLC, an investment banking firm. Mr. Livson started his professional career in the corporate finance department of PriceWaterhouseCoopers in London and Moscow where he focused on real estate, energy, metals and mining, shipping and logistics and telecommunications sectors. He subsequently worked in the investment banking department of Hagstromer and Qviberg, a leading Swedish brokerage firm. After moving to the US in 2000, Mr. Livson established an investment banking advisory firm to assist companies from Europe and BRIC countries in going public in the US, raising capital and engaging in cross-border mergers and acquisitions transactions. Mr. Livson served as Chief Financial Officer of a US public company where he was responsible for raising capital, structuring acquisitions and divestitures and financial reporting. Mr. Livson raised over $100 million for Oil &amp; Gas, technology and biotechnology companies. Mr. Livson holds Series 7, 24, and 63 registrations with the FINRA. Mr. Livson has a Master’s degree in Mathematical Finance from Columbia University, a Masters in Physics from Moscow Institute Of Electronics Engineering, and a Banking and Financing Degree from The London School of Economics. We believe that Mr. Livson is well qualified to be our chief financial officer due to his extensive experience in the financial markets and as a seasoned financial officer.</w:t>
      </w:r>
    </w:p>
    <w:p>
      <w:pPr>
        <w:spacing w:after="0" w:line="168" w:lineRule="exact"/>
        <w:rPr>
          <w:sz w:val="20"/>
          <w:szCs w:val="20"/>
          <w:color w:val="auto"/>
        </w:rPr>
      </w:pPr>
    </w:p>
    <w:p>
      <w:pPr>
        <w:ind w:right="80" w:firstLine="324"/>
        <w:spacing w:after="0" w:line="285" w:lineRule="auto"/>
        <w:rPr>
          <w:sz w:val="20"/>
          <w:szCs w:val="20"/>
          <w:color w:val="auto"/>
        </w:rPr>
      </w:pPr>
      <w:r>
        <w:rPr>
          <w:rFonts w:ascii="Arial" w:cs="Arial" w:eastAsia="Arial" w:hAnsi="Arial"/>
          <w:sz w:val="16"/>
          <w:szCs w:val="16"/>
          <w:b w:val="1"/>
          <w:bCs w:val="1"/>
          <w:color w:val="auto"/>
        </w:rPr>
        <w:t xml:space="preserve">Payel Farasat </w:t>
      </w:r>
      <w:r>
        <w:rPr>
          <w:rFonts w:ascii="Arial" w:cs="Arial" w:eastAsia="Arial" w:hAnsi="Arial"/>
          <w:sz w:val="16"/>
          <w:szCs w:val="16"/>
          <w:color w:val="auto"/>
        </w:rPr>
        <w:t>is our Chief Investment Officer. Since December 2020, Ms. Farasat has been the Chief Investment Officer (CIO) of Burkhan World</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Investments LLC (“Burkhan”) and the Co-founder and Managing Partner of V4 Capital LLC, a bespoke consultancy and private equity firm that specializes in investing with purpose, impact and heart. Since December 2017, Ms. Farasat has been the Managing Principal of Farasat Consulting Group LLC (“FCG”), a business and management consulting firm. Ms. Farasat is also the Founder &amp; Master Coach of Project Me Coaching, a transformational coaching and advisory organization which she founded in June 2017. Ms. Farasat has over 20 years of experience, intuition, and conviction in asset management and financial advising. This combination enables Ms. Farasat to quickly capture data, patterns, and themes that shape her views on sentiment and positioning, as well as, inform her vision about the future relative to global economics and changing demographics. Consistently searching for new ways to interpret capital market dynamics, Ms. Farasat chairs Burkhan’s Investment Committee and curates investment policy and portfolio management for Burkhan’s global ecosystem of group companies. Deploying modern academic thinking that strives to improve expected returns, manage risk, and reduce costs, Ms. Farasat researches and analyzes the landscape of rapid growth companies in the InfraTech/PropTech/FinTech, Artificial Intelligence/Quantum Computing, MediaTech/eSports/eGaming, BioTech, Healthcare, HospitalityTech, Alternative Energy, Blockchain, and Cryptocurrency sectors - searching for exceptional businesses to invest in and grow. Ms. Farasat guides the process of infusing capital into innovative ventures that bring revolutionary technologies and experiences expected to have long-term positive impact on the world and our future. In this process, she creates custom capital raise solutions for Burkhan’s portfolio companies. Ms. Farasat is passionate about enabling democratized access to private equity investments and tailors custom participation strategies for institutional and accredited investors interested in co-investing in companies that Burkhan is taking public. "See the entire landscape with a diverse set of eyes within an endless feedback loop - Iterate, Rinse, Repeat.” is Ms. Farasat’s mantra for financial consciousness, profitability, growth, and sustainable global impact.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6" w:name="page127"/>
    <w:bookmarkEnd w:id="126"/>
    <w:p>
      <w:pPr>
        <w:ind w:right="40" w:firstLine="324"/>
        <w:spacing w:after="0" w:line="283" w:lineRule="auto"/>
        <w:rPr>
          <w:sz w:val="20"/>
          <w:szCs w:val="20"/>
          <w:color w:val="auto"/>
        </w:rPr>
      </w:pPr>
      <w:r>
        <w:rPr>
          <w:rFonts w:ascii="Arial" w:cs="Arial" w:eastAsia="Arial" w:hAnsi="Arial"/>
          <w:sz w:val="16"/>
          <w:szCs w:val="16"/>
          <w:color w:val="auto"/>
        </w:rPr>
        <w:t>Prior to Burkhan, from February 2015 to November 2017, Ms. Farasat was the Chief Investment Officer of Loring Ward Securities Inc. (“Loring Ward”), a Turnkey Asset Management Provider and The SA Funds, Loring Ward’s proprietary mutual fund family with over $16 Billion in assets under management. Payel chaired Loring Ward’s Investment Committee (that included Noble-laureate Dr. Harry Markowitz) and led the investment division. On the executive team, she was directly responsible for the firm’s investment philosophy, policy, portfolio management, and messaging. She also managed the development of all investment strategy, methodology, performance, risk attribution analysis, 3rd party manager oversight, board reporting, fintech solutions, public relations, and public commentaries. Prior to Loring Ward, Ms. Farasat was at Charles Schwab &amp; Co., Inc. (“Schwab”) from September 2007 through February 2015, as the Regional Vice President of Charles Schwab Investment Management (“CSIM”), and earlier as Senior Manager of the Strategic Trading Group (“STG”), where she specialized in complex hedging and advanced trading strategies for ultra-high net worth investors and financial advisors. Before joining Schwab, Ms. Farasat was an independent Advanced Financial Advisor with Ameriprise Financial Services, Inc. (“Ameriprise”) where she provided comprehensive financial planning and asset management to clients, businesses, and 401(k)s from</w:t>
      </w:r>
    </w:p>
    <w:p>
      <w:pPr>
        <w:spacing w:after="0" w:line="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July 2002 to September 2007. Ms. Farasat is on the Board of The Centre for Responsible Leadership (CRL) and is responsible for leading CRL’s Empowerment initiatives. CRL is a global non-profit and NGO. Ms. Farasat earned a Bachelors in Economics from University of California at Berkeley, with a double minor in Computer Science and Business Administration, from the Haas School of Business, Summa cum Laude, and a Master’s of Science in Financial Analysis (MScFA) from University of San Francisco, Magna cum Laude. Ms. Farasat is also ICF Certified Coach and a PHI Certified Pranic Healer. We believe that Ms. Farasat is well qualified to be our chief investment officer due to her many years of experience as a financial investor and advisor.</w:t>
      </w:r>
    </w:p>
    <w:p>
      <w:pPr>
        <w:spacing w:after="0" w:line="19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b w:val="1"/>
          <w:bCs w:val="1"/>
          <w:color w:val="auto"/>
        </w:rPr>
        <w:t xml:space="preserve">Christopher Schroeder </w:t>
      </w:r>
      <w:r>
        <w:rPr>
          <w:rFonts w:ascii="Arial" w:cs="Arial" w:eastAsia="Arial" w:hAnsi="Arial"/>
          <w:sz w:val="17"/>
          <w:szCs w:val="17"/>
          <w:color w:val="auto"/>
        </w:rPr>
        <w:t>is our Chief Marketing Officer. Over the last 30 years, Mr. Schroeder has also been an interactive media pioneer, visionary</w:t>
      </w:r>
      <w:r>
        <w:rPr>
          <w:rFonts w:ascii="Arial" w:cs="Arial" w:eastAsia="Arial" w:hAnsi="Arial"/>
          <w:sz w:val="17"/>
          <w:szCs w:val="17"/>
          <w:b w:val="1"/>
          <w:bCs w:val="1"/>
          <w:color w:val="auto"/>
        </w:rPr>
        <w:t xml:space="preserve"> </w:t>
      </w:r>
      <w:r>
        <w:rPr>
          <w:rFonts w:ascii="Arial" w:cs="Arial" w:eastAsia="Arial" w:hAnsi="Arial"/>
          <w:sz w:val="17"/>
          <w:szCs w:val="17"/>
          <w:color w:val="auto"/>
        </w:rPr>
        <w:t>resort developer, brand creator and marketing leader for globally recognized brands. He brings and award-winning background in creating and implementing large scale marketing, branding, and development projects for globally recognized organizations including American Express, California Tourism Commission, UMUSIC Hotels and MGM Resorts. Since November of 2019, Mr. Schroeder has served as the chief executive officer of Experiential Ventures, LLC, a leading experiential hotel brand development company, where Mr. Schroeder manages all aspects of the business. From February 2016 through July 2019, Mr. Schroeder served as the managing partner and a director of Dakia Entertainment &amp; Hospitality. He was a founding partner of the UMUSIC hotel and entertainment center concept that is a partnership with the world’s largest music company, Universal Music Group. He is also a key player in its expansion, creating iconic projects. Mr. Schroeder is also leading the creation and expansion of the WIRED Hotel brand, having an exclusive license to the brand. Mr. Schroeder is also leading the creation and expansion of other major projects with legacy brands including Sports Illustrated, Condé Nast, Authentic Brands Group and Emmitt Smith.</w:t>
      </w:r>
    </w:p>
    <w:p>
      <w:pPr>
        <w:spacing w:after="0" w:line="181"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From 2013 to 2015, Mr. Schroeder previously served as chief marketing officer for Veremonte, a multi-billion-dollar investment company based in London, where he worked to create the largest leisure development in Europe, bringing partnerships with Hard Rock Hotels and Cirque du Soleil. He also worked to incubate and launch Formula E, the first fully electric racing championship in the world, with such notable partners as Leonardo di Caprio, Michael Andretti, Alain Prost, and Virgin Racing. Races are held in iconic cities including Paris, London, and New York. As an interactive media pioneer, in 1995 Mr. Schroeder founded Reservation, the world’s leading internet development company for the hospitality industry at the time. From 1995 through 2003, he led the development of the first online reservation system of its kind in the travel industry for MGM Resorts and Hilton/Park Place Entertainment. During this time Mr. Schroeder also played a lead role in creating and implementing the largest rebranding and redevelopment campaign in history for MGM Resorts, which included developing multimedia roadshow to present to stockholders and Wall Street investors to secure funding to implement the massive project. Mr. Schroeder also served as president of the interactive division for Custom Marketing Group, the exclusive destination marketing group at the time for American Express, where he developed and managed digital media campaigns for over 20 leading tourism boards.</w:t>
      </w:r>
    </w:p>
    <w:p>
      <w:pPr>
        <w:spacing w:after="0" w:line="16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Mr. Schroeder has also been a leader in travel marketing, incentives, and loyalty, having created a patented rewards system and founding a leading incentive company that created proprietary products and long-term marketing campaigns for companies including Capital One, American Express, Bank of America, Samsonite, and Ford Motor Company. Many of his programs were ongoing and included massive cooperative marketing initiatives incorporating local tourism boards, corporate partners, attractions, media, airlines, and hotels. Schroeder also created the first custom travel offers for the Today Show, the #1 morning show in America, in addition to Fox and Friends, CBS, and others. Additionally, Schroeder, in partnership with Steve Burks, created a proprietary travel rewards system that multiple companies used including the world’s largest online travel company, Priceline/booking.com. During college, Mr. Schroeder founded one of the largest college travel and marketing companies in the country, with clients including Ocean Pacific, Miller Beer, Hawaiian Tropics and Ujena Swimwear. This led to him being hired directly out of college to serve as the National Marketing and Retail Director for the company owning Ujena Swimwear, Swimwear Illustrated and Runner’s World Magazines. Mr. Schroeder attended Texas State University, San Marcos. We believe that Mr. Schroeder is well qualified to be our chief marketing officer due to his extraordinary experience in marketing and building brands at some the world’s leading companies.</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Our Director Nominees</w:t>
      </w:r>
    </w:p>
    <w:p>
      <w:pPr>
        <w:spacing w:after="0" w:line="225" w:lineRule="exact"/>
        <w:rPr>
          <w:sz w:val="20"/>
          <w:szCs w:val="20"/>
          <w:color w:val="auto"/>
        </w:rPr>
      </w:pPr>
    </w:p>
    <w:p>
      <w:pPr>
        <w:ind w:right="20" w:firstLine="324"/>
        <w:spacing w:after="0" w:line="258" w:lineRule="auto"/>
        <w:rPr>
          <w:sz w:val="20"/>
          <w:szCs w:val="20"/>
          <w:color w:val="auto"/>
        </w:rPr>
      </w:pPr>
      <w:r>
        <w:rPr>
          <w:rFonts w:ascii="Arial" w:cs="Arial" w:eastAsia="Arial" w:hAnsi="Arial"/>
          <w:sz w:val="18"/>
          <w:szCs w:val="18"/>
          <w:b w:val="1"/>
          <w:bCs w:val="1"/>
          <w:color w:val="auto"/>
        </w:rPr>
        <w:t xml:space="preserve">Leon Golden </w:t>
      </w:r>
      <w:r>
        <w:rPr>
          <w:rFonts w:ascii="Arial" w:cs="Arial" w:eastAsia="Arial" w:hAnsi="Arial"/>
          <w:sz w:val="18"/>
          <w:szCs w:val="18"/>
          <w:color w:val="auto"/>
        </w:rPr>
        <w:t>is one of our director nominees. Mr. Golden is a chartered public accountant and has worked as an accountant at ARG Associates, Inc.</w:t>
      </w:r>
      <w:r>
        <w:rPr>
          <w:rFonts w:ascii="Arial" w:cs="Arial" w:eastAsia="Arial" w:hAnsi="Arial"/>
          <w:sz w:val="18"/>
          <w:szCs w:val="18"/>
          <w:b w:val="1"/>
          <w:bCs w:val="1"/>
          <w:color w:val="auto"/>
        </w:rPr>
        <w:t xml:space="preserve"> </w:t>
      </w:r>
      <w:r>
        <w:rPr>
          <w:rFonts w:ascii="Arial" w:cs="Arial" w:eastAsia="Arial" w:hAnsi="Arial"/>
          <w:sz w:val="18"/>
          <w:szCs w:val="18"/>
          <w:color w:val="auto"/>
        </w:rPr>
        <w:t>an accounting firm in Brooklyn, New York since 1996. Mr. Golden has also been serving as a director for ARG Associates, Inc. since 1996. Mr. Golden has spent the past 25 years representing public and private companies in all areas of accounting practices. Through his expertise as a financial accountant, and his experience working with publicly traded companies, qualifies Mr. Golden to act as our financial expert. Mr. Golden has a CPA and a bachelor’s degree from Brooklyn College.</w:t>
      </w:r>
    </w:p>
    <w:p>
      <w:pPr>
        <w:spacing w:after="0" w:line="183"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b w:val="1"/>
          <w:bCs w:val="1"/>
          <w:color w:val="auto"/>
        </w:rPr>
        <w:t xml:space="preserve">Gene Zolotarev </w:t>
      </w:r>
      <w:r>
        <w:rPr>
          <w:rFonts w:ascii="Arial" w:cs="Arial" w:eastAsia="Arial" w:hAnsi="Arial"/>
          <w:sz w:val="16"/>
          <w:szCs w:val="16"/>
          <w:color w:val="auto"/>
        </w:rPr>
        <w:t>is one of our director nominees. In 2019 Mr. Zolotarev founded Baltic Technology Ventures JSC (NASDAQ:BTE1R), the Baltic</w:t>
      </w:r>
      <w:r>
        <w:rPr>
          <w:rFonts w:ascii="Arial" w:cs="Arial" w:eastAsia="Arial" w:hAnsi="Arial"/>
          <w:sz w:val="16"/>
          <w:szCs w:val="16"/>
          <w:b w:val="1"/>
          <w:bCs w:val="1"/>
          <w:color w:val="auto"/>
        </w:rPr>
        <w:t xml:space="preserve"> </w:t>
      </w:r>
      <w:r>
        <w:rPr>
          <w:rFonts w:ascii="Arial" w:cs="Arial" w:eastAsia="Arial" w:hAnsi="Arial"/>
          <w:sz w:val="16"/>
          <w:szCs w:val="16"/>
          <w:color w:val="auto"/>
        </w:rPr>
        <w:t>region's only publicly traded venture capital firm with an angel network, where he currently serves as the Chief Executive Officer and Director as Head of the Investment Committee. Baltic Tech Ventures focuses on venture capital investments in technology companies and innovation projects. Mr. Zolotarev founded Maximus Capital SA in 2008 where he still serves as Chairman of the Board. Maximus Capital is as a multi-family office with deep expertise in identifying special situation investment opportunities – both in liquid markets and private equity, based in Switzerland. Mr. Zolotarev is currently the Chairman of Baltic News, Ltd, publisher of the Baltic Times, the leading English-language daily newspaper for the Baltic region. For over 20 years, Mr. Zolotarev has held a number of senior executive and board positions at prominent U.S., Russian and Baltic commercial and investment banks including AP Anlage &amp; Privatbank, Switzerland, Parex Asset Management and Parex Bank, in Latvia, Republic Bank of New York and Arthur Andersen &amp; Co, among others. Since 1993 he had cultivated personal and business relationships with principals of many major industrial holdings in Central and Eastern Europe and Commonwealth of Independent States. Mr. Zolotarev is a prominent investor in European Property Holdings, a real estate investment and consulting company based in Monaco. European Property Holdings (“EPH”) invests in core and manage-to-core properties with growth potential and holds an extensive, geographically diversified property portfolio spanning office, hotel and mixed-use real estate with a total value of more than EUR 1.5 billion. Through investing in premium real estate in core European markets, EPH ensures long-term capital preservation and generates a stable, regular and risk-adjusted return for its stakeholders. Mr. Zolotarev has a degree in Electrical Engineering and Concentration in Business from Columbia University and an executive MBA from New York University, Sterns School of Business in Finance and International Business. Mr. Zolotarev later attended Harvard University - Kennedy School of International Affairs for an executive program on National Security and Diplomacy. We believe that Mr. Zolotarev is well qualified to be a nominee to our board of directors due to his substantial global expertise in finance and technology.</w:t>
      </w:r>
    </w:p>
    <w:p>
      <w:pPr>
        <w:spacing w:after="0" w:line="174"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b w:val="1"/>
          <w:bCs w:val="1"/>
          <w:color w:val="auto"/>
        </w:rPr>
        <w:t xml:space="preserve">Michael Penrod </w:t>
      </w:r>
      <w:r>
        <w:rPr>
          <w:rFonts w:ascii="Arial" w:cs="Arial" w:eastAsia="Arial" w:hAnsi="Arial"/>
          <w:sz w:val="16"/>
          <w:szCs w:val="16"/>
          <w:color w:val="auto"/>
        </w:rPr>
        <w:t>is one of our director nominees. Mr. Penrod has been in the hospitality industry for over 38 years. He has been the owner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famous "Elbo Room" in Fort Lauderdale since 1991; Elbo Room, founded in 1938, was one of the first places to open its doors to the world online with Web Cams and Live Chatrooms in 1996. Mr. Penrod took over the Elbo Room in 1991 and is an owner. Mr. Penrod is known for successfully building brands in the hospitality market, particularly Nikki Beach Worldwide, one of the leading luxury brands in entertainment with over twenty prestigious destinations around the world, including Miami Beach, USA; Saint Tropez, France; Saint Barth, Caribbean; Marbella, Spain; Koh Samui, Thailand; Mallorca, Spain; Ibiza, Spain; Monte Carlo, Monaco; Dubai, UAE; Versilia, Italy; Barbados, Caribbean; Costa Smeralda, Italy, and Montenegro, Tivat. Nikki Beach, founded by Mr. Penrod's father, Jack Penrod, in 1998 with its first "Café Nikki" in Miami's South Beach. Nikki Beach was the original luxury beach club concept that combines the elements of music, dining, entertainment, fashion, film, and art into one. It is known for its celebrity events such as Cannes Film Festival, Toronto Film Festival, Venice Film Festival, New Years' Eve Exclusive VIP events, and Music Festivals. Mr. Penrod was the Director of Worldwide Operations of the Nikki Beach Group from 2001 to 2015. He managed all operational and marketing divisions of the company in over 40 venues in 18 countries. Since 2016, Mr. Penrod has been the Senior Director of the Nikki Beach Family Office, where he manages all crypto investments, working on creative applications for Blockchain in the hospitality industry. In 2014 Mr. Penrod founder MVP Management, a hospitality, technology, and marketing company, where he continues to advise companies in the hospitality industry with a focus on maximizing technology platforms. Being a visionary, Mr. Penrod developed a distance learning platform with Roy Spear, founder of Home Shopping Network, from 1997 to 2000. Jim Clark recruited Mr. Penrod in 2000 to run his tech company, SeaScape, which he did until he joined his family to run Nikki Beach. We believe that Mr. Penrod is well qualified to be a nominee to our board of directors because of his many years building world renowned luxury brands in the hospitality industry.</w:t>
      </w:r>
    </w:p>
    <w:p>
      <w:pPr>
        <w:spacing w:after="0" w:line="164"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b w:val="1"/>
          <w:bCs w:val="1"/>
          <w:color w:val="auto"/>
        </w:rPr>
        <w:t xml:space="preserve">Peter Plaut </w:t>
      </w:r>
      <w:r>
        <w:rPr>
          <w:rFonts w:ascii="Arial" w:cs="Arial" w:eastAsia="Arial" w:hAnsi="Arial"/>
          <w:sz w:val="17"/>
          <w:szCs w:val="17"/>
          <w:color w:val="auto"/>
        </w:rPr>
        <w:t>is one of our director nominees. Since August 2016, Mr. Plaut has been a director for AEDS Advisors Ltd, London UK, a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consultant and advisory and capital raising firm, which has signed over $10 billion real estate transactions in various real estate asset classes since the Covid -19 lockdown. Mr. Plaut is also an Executive Director at Wimmer Financial/Wimmer Family Office, in London, United Kingdom, a corporate advisory boutique investment bank with global reach through a network of partners and clients all over the world, where he has been an Executive Director since November 2018. Mr. Plaut is consistently recognized as a leader in the industry. Among his many achievements and awards, he was ranked as one of the Top 20 Rising Stars of Hedge Funds during the 2008 global financial crisis. More recently, since the Covid-19 Pandemic locked down the global economy, Mr. Plaut has signed over $5 billion of Engagements and/or Term Sheets across various real estate assets classes including residential, mixed use, office, and hospitality at Wimmer. Mr. Plaut has over 35 years investment banking, research, sales, trading, portfolio manager experience for some of the top tier global investment banks and private equity firms in New York, Washington DC and London, with significant experience in capital markets transactions in terms of debt and equity raises. From August 2016 through May 2018, Mr. Plaut served as an Executive Director and managed the Corporate Finance department for Swiss Invest in London, a capital origination and finance firm. Mr. Plaut has a bachelor of science in Management Information Systems from Rensselaer Polytechnic Institute. We believe that Mr. Plaut is well qualified to be a nominee to our board of directors due to his financial advisory and capital raising experience.</w:t>
      </w:r>
    </w:p>
    <w:p>
      <w:pPr>
        <w:spacing w:after="0" w:line="176"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b w:val="1"/>
          <w:bCs w:val="1"/>
          <w:color w:val="auto"/>
        </w:rPr>
        <w:t xml:space="preserve">Ambassador Hans H. Hertell </w:t>
      </w:r>
      <w:r>
        <w:rPr>
          <w:rFonts w:ascii="Arial" w:cs="Arial" w:eastAsia="Arial" w:hAnsi="Arial"/>
          <w:sz w:val="16"/>
          <w:szCs w:val="16"/>
          <w:color w:val="auto"/>
        </w:rPr>
        <w:t>is one of our director nominees. Since 2009, Mr. Hertell has been the Chairman of the Board and Chief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of the Hertell Group LLC, a group of seasoned and qualified, ex government, corporate and financial sector principals, with proven backgrounds in legal, finance, engineering, management, government relations and international business. Mr. Hertell is a former United States Ambassador to the Dominican Republic where he served from 2001 to 2007. Mr. Hertell was a co-founder of Goldman, Antonetti, Ferraiuoli, Axtmayer and Hertell, from</w:t>
      </w:r>
    </w:p>
    <w:p>
      <w:pPr>
        <w:spacing w:after="0" w:line="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1982 to 1989, which at the time was the third largest full service law firm in Puerto Rico. Mr. Hertell was also involved with the operations and investments of the Barrick Gold Corporation in the Dominican Republic. He was the Chairman of the Board at U.S. Precious Metals, Inc. from 2013 to 2015, and Colt Resources Inc. in 2015. Mr. Hertell was managing director for the Caribbean and Latin America affairs at Black, Kelly, Scruggs &amp; Healey, a government and public affairs company based in Washington, D.C. from 1992-1996. In 1989, he served as a member of the Commission to Review U.S. Magistrates for Reappointment of the U.S. District Court for the District of Puerto Rico. Between 1982 to 1984, he served as political and legal advisor to the Governor of Puerto Rico, as well as to the Attorney General, the Secretary of Agriculture and the Secretary of the Treasury of the Commonwealth of Puerto Rico.</w:t>
      </w:r>
    </w:p>
    <w:p>
      <w:pPr>
        <w:spacing w:after="0" w:line="4"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Mr. Hertell has also served on the board for Interenergy, Inc., Valisoft, Demex and Fundacion Boerman Segarra. Mr. Hertell has a law degree from the University of Puerto Rico and a Bachelor of Science in Economics from Fordham University, and an insurance degree from the College of Insurance. We believe that Amb. Hertell is well qualified to be a nominee to our board of directors due to his impressive tenure in government, corporate and financial sectors.</w:t>
      </w:r>
    </w:p>
    <w:p>
      <w:pPr>
        <w:sectPr>
          <w:pgSz w:w="11900" w:h="16838" w:orient="portrait"/>
          <w:cols w:equalWidth="0" w:num="1">
            <w:col w:w="11240"/>
          </w:cols>
          <w:pgMar w:left="320" w:top="904" w:right="339" w:bottom="6" w:gutter="0" w:footer="0" w:header="0"/>
        </w:sectPr>
      </w:pPr>
    </w:p>
    <w:bookmarkStart w:id="128" w:name="page129"/>
    <w:bookmarkEnd w:id="128"/>
    <w:p>
      <w:pPr>
        <w:jc w:val="center"/>
        <w:ind w:right="19"/>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2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will have 7 directors upon completion of this offering. Our board of directors will be divided into two classes with only one class of directors being elected in each year and each class (except for those directors appointed prior to our first annual meeting of stockholders) serving a two-year term. In accordance with Nasdaq corporate governance requirements, we are not required to hold an annual meeting until one year after our first fiscal year end following our listing on Nasdaq. The term of office of the first class of directors, consisting of Ambassador Hans H. Hertell, Mike Penrod, Gene Zolotarev and Isaac Chetrit, will expire at our first annual meeting of stockholders. The term of office of the second class of directors, consisting of Shahal Khan, Peter Plaut, and Leon Golden will expire at the second annual meeting of stockholders.</w:t>
      </w:r>
    </w:p>
    <w:p>
      <w:pPr>
        <w:spacing w:after="0" w:line="178"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provide that our officers may consist of a Chairman of the Board, Chief Executive Officer, Chief Financial Officer, Chief Investment Officer, Chief Operating Officer, President, Vice Presidents, Secretary, Treasurer, Assistant Secretaries and such other offices as may be determined by the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Nasdaq listing standards require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We expect that our board of directors will determine that Peter Plaut, Ambassador Hans H. Hertell, Mike Penrod, Gene Zolotarev and Leon Golden and are “independent directors” as defined in the Nasdaq listing standards and applicable SEC rules. Our independent directors will have regularly scheduled meetings at which only independent directors are present.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and Director Compensation</w:t>
      </w:r>
    </w:p>
    <w:p>
      <w:pPr>
        <w:spacing w:after="0" w:line="22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None of our officers has received any cash compensation for services rendered to us. No compensation of any kind, including any finder’s fee, reimbursement, consulting fee or monies in respect of any payment of a loan, will be paid by us to our sponsor, officers or directors or any affiliate of our sponsor, officers or directors, prior to, or in connection with any services rendered in order to effectuate, the consummation of our initial business combination (regardless of the type of transaction that it is).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or directors or our or their affiliates. Any such payments prior to an initial business combination will be made using funds held outside the trust account. Other than quarterly audit committee review of such payments, we do not expect to have any additional controls in place governing our reimbursement payments to our directors and executive officers for their out-of-pocket expenses incurred in connection with identifying and consummating an initial business combination.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0" w:name="page131"/>
    <w:bookmarkEnd w:id="130"/>
    <w:p>
      <w:pPr>
        <w:ind w:right="20" w:firstLine="324"/>
        <w:spacing w:after="0" w:line="254" w:lineRule="auto"/>
        <w:rPr>
          <w:sz w:val="20"/>
          <w:szCs w:val="20"/>
          <w:color w:val="auto"/>
        </w:rPr>
      </w:pPr>
      <w:r>
        <w:rPr>
          <w:rFonts w:ascii="Arial" w:cs="Arial" w:eastAsia="Arial" w:hAnsi="Arial"/>
          <w:sz w:val="18"/>
          <w:szCs w:val="18"/>
          <w:color w:val="auto"/>
        </w:rPr>
        <w:t>After the completion of our initial business combination, directors or members of our management team who remain with us may be paid consulting or management fees from the combined company. All of these fees will be fully disclosed to stockholders, to the extent then known, in the tender offer materials or proxy solicitation materials furnished to our stockholders in connection with a proposed initial business combination. We have not established any limit on the amount of such fees that may be paid by the combined company to our directors or members of management. It is unlikely the amount of such compensation will be known at the time of the proposed initial business combination, because the directors of the post-combination business will be responsible for determining officer and director compensation. Any compensation to be paid to our officers will be determined, or recommended to the board of directors for determination, either by a compensation committee constituted solely by independent directors or by a majority of the independent directors on our board of directors.</w:t>
      </w:r>
    </w:p>
    <w:p>
      <w:pPr>
        <w:spacing w:after="0" w:line="192"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do not intend to take any action to ensure that members of our management team maintain their positions with us after the consummation of our initial business combination, although it is possible that some or all of our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officers and directors that provide for benefits upon termination of employment.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Our board of directors will have two standing committees: an audit committee and a compensation committee. Subject to phase-in rules and a limited exception, Nasdaq rules and Rule 10A-3 of the Exchange Act require that the audit committee of a listed company be comprised solely of independent directors, and Nasdaq rules require that the compensation committee of a listed company be comprised solely of independent directors.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Prior to the consummation of this offering, we will establish an audit committee of the board of directors. Leon Golden, Peter Plaut and Ambassador Hans H. Hertell will serve as members of our audit committee, and Leon Golden will chair the audit committee. Under the Nasdaq listing standards and applicable SEC rules, we are required to have at least three members of the audit committee, all of whom must be independent. Each of Leon Golden, Peter Plaut and Ambassador Hans H. Hertell meet the independent director standard under Nasdaq listing standards and under Rule 10-A-3(b)(1) of the Exchange Act.</w:t>
      </w:r>
    </w:p>
    <w:p>
      <w:pPr>
        <w:spacing w:after="0" w:line="18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Each member of the audit committee is financially literate and our board of directors has determined that Leon Golden qualifies as an “audit committee financial expert” as defined in applicable SEC rules.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adopt an audit committee charter, which will detail the principal functions of the audit committee, including:</w:t>
      </w:r>
    </w:p>
    <w:p>
      <w:pPr>
        <w:spacing w:after="0" w:line="225" w:lineRule="exact"/>
        <w:rPr>
          <w:sz w:val="20"/>
          <w:szCs w:val="20"/>
          <w:color w:val="auto"/>
        </w:rPr>
      </w:pPr>
    </w:p>
    <w:p>
      <w:pPr>
        <w:ind w:left="66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appointment, compensation, retention, replacement, and oversight of the work of the independent registered public accounting firm engaged by us;</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pre-approving all audit and permitted non-audit services to be provided by the independent registered public accounting firm engaged by us, and establishing pre-approval policies and procedures;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1" w:name="page132"/>
    <w:bookmarkEnd w:id="131"/>
    <w:p>
      <w:pPr>
        <w:ind w:left="660" w:right="4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setting clear hiring policies for employees or former employees of the independent registered public accounting firm, including but not limited to, as required by applicable laws and regulations;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setting clear policies for audit partner rotation in compliance with applicable laws and regulations;</w:t>
      </w:r>
    </w:p>
    <w:p>
      <w:pPr>
        <w:spacing w:after="0" w:line="225" w:lineRule="exact"/>
        <w:rPr>
          <w:rFonts w:ascii="Arial" w:cs="Arial" w:eastAsia="Arial" w:hAnsi="Arial"/>
          <w:sz w:val="18"/>
          <w:szCs w:val="18"/>
          <w:color w:val="auto"/>
        </w:rPr>
      </w:pPr>
    </w:p>
    <w:p>
      <w:pPr>
        <w:ind w:left="660" w:right="120" w:hanging="328"/>
        <w:spacing w:after="0" w:line="296"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obtaining and reviewing a report, at least annually, from the independent registered public accounting firm describing (i) the independent registered public accounting firm’s internal quality-control procedures, (ii)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 and (iii) all relationships between the independent registered public accounting firm and us to assess the independent registered public accounting firm’s independence;</w:t>
      </w:r>
    </w:p>
    <w:p>
      <w:pPr>
        <w:spacing w:after="0" w:line="161" w:lineRule="exact"/>
        <w:rPr>
          <w:rFonts w:ascii="Arial" w:cs="Arial" w:eastAsia="Arial" w:hAnsi="Arial"/>
          <w:sz w:val="16"/>
          <w:szCs w:val="16"/>
          <w:color w:val="auto"/>
        </w:rPr>
      </w:pPr>
    </w:p>
    <w:p>
      <w:pPr>
        <w:ind w:left="660" w:right="16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reviewing and approving any related party transaction required to be disclosed pursuant to Item 404 of Regulation S-K promulgated by the SEC prior to us entering into such transaction; and</w:t>
      </w:r>
    </w:p>
    <w:p>
      <w:pPr>
        <w:spacing w:after="0" w:line="170" w:lineRule="exact"/>
        <w:rPr>
          <w:rFonts w:ascii="Arial" w:cs="Arial" w:eastAsia="Arial" w:hAnsi="Arial"/>
          <w:sz w:val="18"/>
          <w:szCs w:val="18"/>
          <w:color w:val="auto"/>
        </w:rPr>
      </w:pPr>
    </w:p>
    <w:p>
      <w:pPr>
        <w:ind w:left="660" w:hanging="328"/>
        <w:spacing w:after="0" w:line="287"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reviewing with management, the independent registered public accounting firm,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w:t>
      </w:r>
    </w:p>
    <w:p>
      <w:pPr>
        <w:spacing w:after="0" w:line="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rules promulgated by the Financial Accounting Standards Board, the SEC or other regulatory authorities.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Prior to the consummation of this offering, we will establish a compensation committee of the board of directors. Leon Golden and Michael Penrod will serve as members of our compensation committee. Under the Nasdaq listing standards and applicable SEC rules, we are required to have at least two members of the compensation committee, all of whom must be independent. Leon Golden and Michael Penrod are independent and Michael Penrod will chair the compensation committee.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adopt a compensation committee charter, which will detail the principal functions of the compensation committee, including:</w:t>
      </w:r>
    </w:p>
    <w:p>
      <w:pPr>
        <w:spacing w:after="0" w:line="225" w:lineRule="exact"/>
        <w:rPr>
          <w:sz w:val="20"/>
          <w:szCs w:val="20"/>
          <w:color w:val="auto"/>
        </w:rPr>
      </w:pPr>
    </w:p>
    <w:p>
      <w:pPr>
        <w:ind w:left="660" w:right="160" w:hanging="328"/>
        <w:spacing w:after="0" w:line="263"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if any is paid by us, evaluating our Chief Executive Officer’s performance in light of such goals and objectives and determining and approving the remuneration (if any) of our Chief Executive Officer based on such evaluation;</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and approving on an annual basis the compensation, if any is paid by us, of all of our other officers;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on an annual basis our executive compensation policies and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approving all special perquisites, special cash payments and other special compensation and benefit arrangements for our officers and employees;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required, producing a report on executive compensation to be included in our annual proxy statement;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32" w:name="page133"/>
    <w:bookmarkEnd w:id="132"/>
    <w:p>
      <w:pPr>
        <w:ind w:right="20" w:firstLine="324"/>
        <w:spacing w:after="0" w:line="257" w:lineRule="auto"/>
        <w:rPr>
          <w:sz w:val="20"/>
          <w:szCs w:val="20"/>
          <w:color w:val="auto"/>
        </w:rPr>
      </w:pPr>
      <w:r>
        <w:rPr>
          <w:rFonts w:ascii="Arial" w:cs="Arial" w:eastAsia="Arial" w:hAnsi="Arial"/>
          <w:sz w:val="18"/>
          <w:szCs w:val="18"/>
          <w:color w:val="auto"/>
        </w:rPr>
        <w:t>Notwithstanding the foregoing, as indicated above, no compensation of any kind, including finders, consulting or other similar fees, will be paid to any of our existing stockholders, officers, directors or any of their respective affiliates, prior to, or for any services they render in order to effectuate the consummation of an initial business combination. Accordingly, it is likely that prior to the consummation of an initial business combination, the compensation committee will only be responsible for the review and recommendation of any compensation arrangements to be entered into in connection with such initial business combination.</w:t>
      </w:r>
    </w:p>
    <w:p>
      <w:pPr>
        <w:spacing w:after="0" w:line="18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charter will also provide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do not have a standing nominating committee though we intend to form a corporate governance and nominating committee as and when required to do so by law or Nasdaq rules. In accordance with Rule 5605 of the Nasdaq rules, a majority of the independent directors may recommend a director nominee for selection by the board of directors. The board of directors believes that the independent directors can satisfactorily carry out the responsibility of properly selecting or approving director nominees without the formation of a standing nominating committee. The directors who will participate in the consideration and recommendation of director nominees are Peter Plaut, Michael Penrod and Ambassador Hans H. Hertell. In accordance with Rule 5605 of the Nasdaq rules, all such directors are independent. As there is no standing nominating committee, we do not have a nominating committee charter in place.</w:t>
      </w:r>
    </w:p>
    <w:p>
      <w:pPr>
        <w:spacing w:after="0" w:line="195" w:lineRule="exact"/>
        <w:rPr>
          <w:sz w:val="20"/>
          <w:szCs w:val="20"/>
          <w:color w:val="auto"/>
        </w:rPr>
      </w:pPr>
    </w:p>
    <w:p>
      <w:pPr>
        <w:jc w:val="both"/>
        <w:ind w:right="160" w:firstLine="324"/>
        <w:spacing w:after="0" w:line="286" w:lineRule="auto"/>
        <w:rPr>
          <w:sz w:val="20"/>
          <w:szCs w:val="20"/>
          <w:color w:val="auto"/>
        </w:rPr>
      </w:pPr>
      <w:r>
        <w:rPr>
          <w:rFonts w:ascii="Arial" w:cs="Arial" w:eastAsia="Arial" w:hAnsi="Arial"/>
          <w:sz w:val="17"/>
          <w:szCs w:val="17"/>
          <w:color w:val="auto"/>
        </w:rPr>
        <w:t>The board of directors will also consider director candidates recommended for nomination by our stockholders during such times as they are seeking proposed nominees to stand for election at the next annual meeting of stockholders (or, if applicable, a special meeting of stockholders). Our stockholders that wish to nominate a director for election to our board of directors should follow the procedures set forth in our bylaws.</w:t>
      </w:r>
    </w:p>
    <w:p>
      <w:pPr>
        <w:spacing w:after="0" w:line="165"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 xml:space="preserve">Prior to the consummation of this offering, we will adopt a Code of Ethics applicable to our directors, officers and employees. We will file a copy of our Code of Ethics and our audit and compensation committee charters as exhibits to the registration statement of which this prospectus is a part. You will be able to review these documents by accessing our public filings at the SEC’s web site at </w:t>
      </w:r>
      <w:r>
        <w:rPr>
          <w:rFonts w:ascii="Arial" w:cs="Arial" w:eastAsia="Arial" w:hAnsi="Arial"/>
          <w:sz w:val="17"/>
          <w:szCs w:val="17"/>
          <w:i w:val="1"/>
          <w:iCs w:val="1"/>
          <w:color w:val="auto"/>
        </w:rPr>
        <w:t>www.sec.gov</w:t>
      </w:r>
      <w:r>
        <w:rPr>
          <w:rFonts w:ascii="Arial" w:cs="Arial" w:eastAsia="Arial" w:hAnsi="Arial"/>
          <w:sz w:val="17"/>
          <w:szCs w:val="17"/>
          <w:color w:val="auto"/>
        </w:rPr>
        <w:t>. In addition, a copy of the Code of Ethics will be provided without charge upon request from us. We intend to disclose any amendments to or waivers of certain provisions of our Code of Ethics in a Current Report on Form 8-K. See the section of this prospectus entitled “Where You Can Find Additional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Some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including an Affiliated SPAC. Subject to pre-existing fiduciary or contractual duties as described below, our officers and directors have agreed to present any business opportunities presented to them in their capacity as a director or officer of our company to us. Certain of our officers and directors presently have fiduciary or contractual obligations to other entities pursuant to which such officer or director is or will be required to present a business combination opportunity, including an Affiliated SPAC.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opportunity to such entity. We believe, however, that the fiduciary duties or contractual obligations of our officers or directors will not materially affect our ability to complete our initial business combination.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and to the extent the director or officer is permitted to refer that opportunity to us without violating another legal obligation.</w:t>
      </w:r>
    </w:p>
    <w:p>
      <w:pPr>
        <w:spacing w:after="0" w:line="168"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Our officers and directors may become officers or directors of another special purpose acquisition company with a class of securities intended to be registered under the Exchange Act, even prior to us entering into a definitive agreement for our initial business combination.</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Potential investors should also be aware of the following other potential conflicts of interest:</w:t>
      </w:r>
    </w:p>
    <w:p>
      <w:pPr>
        <w:spacing w:after="0" w:line="225" w:lineRule="exact"/>
        <w:rPr>
          <w:sz w:val="20"/>
          <w:szCs w:val="20"/>
          <w:color w:val="auto"/>
        </w:rPr>
      </w:pPr>
    </w:p>
    <w:p>
      <w:pPr>
        <w:ind w:left="660" w:right="680" w:hanging="328"/>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None of our officers or directors is required to commit his or her full time to our affairs and, accordingly, may have conflicts of interest in allocating his or her time among various business activities.</w:t>
      </w:r>
    </w:p>
    <w:p>
      <w:pPr>
        <w:spacing w:after="0" w:line="170" w:lineRule="exact"/>
        <w:rPr>
          <w:rFonts w:ascii="Arial" w:cs="Arial" w:eastAsia="Arial" w:hAnsi="Arial"/>
          <w:sz w:val="18"/>
          <w:szCs w:val="18"/>
          <w:color w:val="auto"/>
        </w:rPr>
      </w:pPr>
    </w:p>
    <w:p>
      <w:pPr>
        <w:jc w:val="both"/>
        <w:ind w:left="660" w:right="140" w:hanging="328"/>
        <w:spacing w:after="0" w:line="263"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the course of their other business activities, our officers and directors may become aware of investment and business opportunities which may be appropriate for presentation to us as well as the other entities with which they are affiliated. Our management may have conflicts of interest in determining to which entity a particular business opportunity should be presented.</w:t>
      </w:r>
    </w:p>
    <w:p>
      <w:pPr>
        <w:spacing w:after="0" w:line="183" w:lineRule="exact"/>
        <w:rPr>
          <w:rFonts w:ascii="Arial" w:cs="Arial" w:eastAsia="Arial" w:hAnsi="Arial"/>
          <w:sz w:val="18"/>
          <w:szCs w:val="18"/>
          <w:color w:val="auto"/>
        </w:rPr>
      </w:pPr>
    </w:p>
    <w:p>
      <w:pPr>
        <w:ind w:left="660" w:hanging="328"/>
        <w:spacing w:after="0" w:line="286"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Our initial stockholders have agreed to waive their redemption rights with respect to any founder shares and placement shares and any public shares held by them in connection with the consummation of our initial business combination. Additionally, our initial stockholders have agreed to waive their redemption rights with respect to any founder shares and placement shares held by them if we fail to consummate our initial business combination within 15 months after the closing of this offering. If we do not complete our initial business combination within such applicable time period, the proceeds of the sale of the placement units held in the trust account will be used to fund the redemption of our public shares, and the placement securities will expire worthless. With certain limited exceptions, the founder shares will not be transferable, assignable by our sponsor until the earlier to occur of: (A) six months after the completion of our initial business combination and (B) subsequent to our initial business combination, if the reported last sale price of our Class A common stock equals or exceeds $12.00 per share (as adjusted for stock splits, stock dividends, reorganizations, recapitalizations and the like) for any 20 trading days within any 30-trading day period commencing after our initial business combination. With certain limited exceptions, the placement units, placement shares and placement warrants and the Class A common stock underlying such warrants, will not be transferable, assignable or saleable by our sponsor or its permitted transferees until 30 days after the completion of our initial business combination. Since our sponsor and officers and directors may directly or indirectly own common stock and warrants following this offering, our officers and directors may have a conflict of interest in determining whether a particular target business is an appropriate business with which to effectuate our initial business combination.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p>
      <w:pPr>
        <w:ind w:left="660" w:hanging="328"/>
        <w:spacing w:after="0" w:line="263"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83" w:lineRule="exact"/>
        <w:rPr>
          <w:rFonts w:ascii="Arial" w:cs="Arial" w:eastAsia="Arial" w:hAnsi="Arial"/>
          <w:sz w:val="18"/>
          <w:szCs w:val="18"/>
          <w:color w:val="auto"/>
        </w:rPr>
      </w:pPr>
    </w:p>
    <w:p>
      <w:pPr>
        <w:ind w:left="660" w:right="20" w:hanging="328"/>
        <w:spacing w:after="0" w:line="290"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Our sponsor, officers or directors may have a conflict of interest with respect to evaluating a business combination and financing arrangements as we may obtain loans from our sponsor or an affiliate of our sponsor or any of our officers or directors to finance transaction costs in connection with an intended initial business combination and we may also obtain loans from our sponsor or its affiliates to extend the time period for consummating an initial business combination. Up to $1,500,000 of the loans made by our sponsor, our officers and directors, or our or their affiliates to us (including loans made to extend our time period for consummating a business combination) may be convertible into units, at a price of $10.00 per unit at the option of the lender, upon consummation of our initial business combination. The units would be identical to the placement units. If our initial business combination is not consummated, we will not repay loans made by our sponsor or its affiliates and will only repay loans made for working capital purposes or financing transaction costs with funds held outside of our trust account.</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conflicts described above may not be resolved in our favor.</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170"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it would not be fair to our company and its stockholders for the opportunity not to be brought to the attention of the corporation.</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Accordingly, as a result of multiple business affiliations, our officers and directors may have similar legal obligations relating to presenting business opportunities meeting the above-listed criteria to multiple entities. Furthermore,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and to the extent the director or officer is permitted to refer that opportunity to us without violating another legal obligation.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5" w:name="page136"/>
    <w:bookmarkEnd w:id="135"/>
    <w:p>
      <w:pPr>
        <w:ind w:firstLine="324"/>
        <w:spacing w:after="0" w:line="277" w:lineRule="auto"/>
        <w:rPr>
          <w:sz w:val="20"/>
          <w:szCs w:val="20"/>
          <w:color w:val="auto"/>
        </w:rPr>
      </w:pPr>
      <w:r>
        <w:rPr>
          <w:rFonts w:ascii="Arial" w:cs="Arial" w:eastAsia="Arial" w:hAnsi="Arial"/>
          <w:sz w:val="18"/>
          <w:szCs w:val="18"/>
          <w:color w:val="auto"/>
        </w:rPr>
        <w:t>Below is a table summarizing the entities to which our executive officers, directors and director nominees currently have fiduciary duties or contractual obligations: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Individual</w:t>
            </w:r>
            <w:r>
              <w:rPr>
                <w:rFonts w:ascii="Arial" w:cs="Arial" w:eastAsia="Arial" w:hAnsi="Arial"/>
                <w:sz w:val="29"/>
                <w:szCs w:val="29"/>
                <w:b w:val="1"/>
                <w:bCs w:val="1"/>
                <w:color w:val="auto"/>
                <w:vertAlign w:val="superscript"/>
              </w:rPr>
              <w:t>(1)</w:t>
            </w:r>
          </w:p>
        </w:tc>
        <w:tc>
          <w:tcPr>
            <w:tcW w:w="120" w:type="dxa"/>
            <w:vAlign w:val="bottom"/>
            <w:tcBorders>
              <w:bottom w:val="single" w:sz="8" w:color="CCEEFF"/>
            </w:tcBorders>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Entity</w:t>
            </w:r>
            <w:r>
              <w:rPr>
                <w:rFonts w:ascii="Arial" w:cs="Arial" w:eastAsia="Arial" w:hAnsi="Arial"/>
                <w:sz w:val="29"/>
                <w:szCs w:val="29"/>
                <w:b w:val="1"/>
                <w:bCs w:val="1"/>
                <w:color w:val="auto"/>
                <w:w w:val="89"/>
                <w:vertAlign w:val="superscript"/>
              </w:rPr>
              <w:t>(2)</w:t>
            </w:r>
          </w:p>
        </w:tc>
        <w:tc>
          <w:tcPr>
            <w:tcW w:w="120" w:type="dxa"/>
            <w:vAlign w:val="bottom"/>
            <w:tcBorders>
              <w:bottom w:val="single" w:sz="8" w:color="CCEEFF"/>
            </w:tcBorders>
          </w:tcPr>
          <w:p>
            <w:pPr>
              <w:spacing w:after="0"/>
              <w:rPr>
                <w:sz w:val="24"/>
                <w:szCs w:val="24"/>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Entity’s Business</w:t>
            </w:r>
          </w:p>
        </w:tc>
        <w:tc>
          <w:tcPr>
            <w:tcW w:w="120" w:type="dxa"/>
            <w:vAlign w:val="bottom"/>
            <w:tcBorders>
              <w:bottom w:val="single" w:sz="8" w:color="CCEEFF"/>
            </w:tcBorders>
          </w:tcPr>
          <w:p>
            <w:pPr>
              <w:spacing w:after="0"/>
              <w:rPr>
                <w:sz w:val="24"/>
                <w:szCs w:val="24"/>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Affiliation</w:t>
            </w:r>
          </w:p>
        </w:tc>
        <w:tc>
          <w:tcPr>
            <w:tcW w:w="0" w:type="dxa"/>
            <w:vAlign w:val="bottom"/>
          </w:tcPr>
          <w:p>
            <w:pPr>
              <w:spacing w:after="0"/>
              <w:rPr>
                <w:sz w:val="1"/>
                <w:szCs w:val="1"/>
                <w:color w:val="auto"/>
              </w:rPr>
            </w:pPr>
          </w:p>
        </w:tc>
      </w:tr>
      <w:tr>
        <w:trPr>
          <w:trHeight w:val="210"/>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Shahal Khan</w:t>
            </w: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Burkhan LLC</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Investment Fund</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Chief Executive Officer and Director</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Trinity Hospitality Group LLC</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Real Estate Development</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Chairman of the Board</w:t>
            </w:r>
          </w:p>
        </w:tc>
        <w:tc>
          <w:tcPr>
            <w:tcW w:w="0" w:type="dxa"/>
            <w:vAlign w:val="bottom"/>
          </w:tcPr>
          <w:p>
            <w:pPr>
              <w:spacing w:after="0"/>
              <w:rPr>
                <w:sz w:val="1"/>
                <w:szCs w:val="1"/>
                <w:color w:val="auto"/>
              </w:rPr>
            </w:pPr>
          </w:p>
        </w:tc>
      </w:tr>
      <w:tr>
        <w:trPr>
          <w:trHeight w:val="202"/>
        </w:trPr>
        <w:tc>
          <w:tcPr>
            <w:tcW w:w="2260" w:type="dxa"/>
            <w:vAlign w:val="bottom"/>
          </w:tcPr>
          <w:p>
            <w:pPr>
              <w:spacing w:after="0" w:line="201" w:lineRule="exact"/>
              <w:rPr>
                <w:sz w:val="20"/>
                <w:szCs w:val="20"/>
                <w:color w:val="auto"/>
              </w:rPr>
            </w:pPr>
            <w:r>
              <w:rPr>
                <w:rFonts w:ascii="Arial" w:cs="Arial" w:eastAsia="Arial" w:hAnsi="Arial"/>
                <w:sz w:val="18"/>
                <w:szCs w:val="18"/>
                <w:color w:val="auto"/>
              </w:rPr>
              <w:t>Roman Livson</w:t>
            </w:r>
          </w:p>
        </w:tc>
        <w:tc>
          <w:tcPr>
            <w:tcW w:w="120" w:type="dxa"/>
            <w:vAlign w:val="bottom"/>
          </w:tcPr>
          <w:p>
            <w:pPr>
              <w:spacing w:after="0"/>
              <w:rPr>
                <w:sz w:val="17"/>
                <w:szCs w:val="17"/>
                <w:color w:val="auto"/>
              </w:rPr>
            </w:pPr>
          </w:p>
        </w:tc>
        <w:tc>
          <w:tcPr>
            <w:tcW w:w="3020" w:type="dxa"/>
            <w:vAlign w:val="bottom"/>
          </w:tcPr>
          <w:p>
            <w:pPr>
              <w:jc w:val="center"/>
              <w:spacing w:after="0" w:line="201" w:lineRule="exact"/>
              <w:rPr>
                <w:sz w:val="20"/>
                <w:szCs w:val="20"/>
                <w:color w:val="auto"/>
              </w:rPr>
            </w:pPr>
            <w:r>
              <w:rPr>
                <w:rFonts w:ascii="Arial" w:cs="Arial" w:eastAsia="Arial" w:hAnsi="Arial"/>
                <w:sz w:val="18"/>
                <w:szCs w:val="18"/>
                <w:color w:val="auto"/>
                <w:w w:val="94"/>
              </w:rPr>
              <w:t>BurTech Acquisition Corp. II</w:t>
            </w:r>
          </w:p>
        </w:tc>
        <w:tc>
          <w:tcPr>
            <w:tcW w:w="120" w:type="dxa"/>
            <w:vAlign w:val="bottom"/>
          </w:tcPr>
          <w:p>
            <w:pPr>
              <w:spacing w:after="0"/>
              <w:rPr>
                <w:sz w:val="17"/>
                <w:szCs w:val="17"/>
                <w:color w:val="auto"/>
              </w:rPr>
            </w:pPr>
          </w:p>
        </w:tc>
        <w:tc>
          <w:tcPr>
            <w:tcW w:w="2800" w:type="dxa"/>
            <w:vAlign w:val="bottom"/>
          </w:tcPr>
          <w:p>
            <w:pPr>
              <w:jc w:val="center"/>
              <w:spacing w:after="0" w:line="201" w:lineRule="exact"/>
              <w:rPr>
                <w:sz w:val="20"/>
                <w:szCs w:val="20"/>
                <w:color w:val="auto"/>
              </w:rPr>
            </w:pPr>
            <w:r>
              <w:rPr>
                <w:rFonts w:ascii="Arial" w:cs="Arial" w:eastAsia="Arial" w:hAnsi="Arial"/>
                <w:sz w:val="18"/>
                <w:szCs w:val="18"/>
                <w:color w:val="auto"/>
                <w:w w:val="91"/>
              </w:rPr>
              <w:t>Special Purpose Acquisition Company</w:t>
            </w:r>
          </w:p>
        </w:tc>
        <w:tc>
          <w:tcPr>
            <w:tcW w:w="120" w:type="dxa"/>
            <w:vAlign w:val="bottom"/>
          </w:tcPr>
          <w:p>
            <w:pPr>
              <w:spacing w:after="0"/>
              <w:rPr>
                <w:sz w:val="17"/>
                <w:szCs w:val="17"/>
                <w:color w:val="auto"/>
              </w:rPr>
            </w:pPr>
          </w:p>
        </w:tc>
        <w:tc>
          <w:tcPr>
            <w:tcW w:w="2800" w:type="dxa"/>
            <w:vAlign w:val="bottom"/>
          </w:tcPr>
          <w:p>
            <w:pPr>
              <w:jc w:val="center"/>
              <w:spacing w:after="0" w:line="201" w:lineRule="exact"/>
              <w:rPr>
                <w:sz w:val="20"/>
                <w:szCs w:val="20"/>
                <w:color w:val="auto"/>
              </w:rPr>
            </w:pPr>
            <w:r>
              <w:rPr>
                <w:rFonts w:ascii="Arial" w:cs="Arial" w:eastAsia="Arial" w:hAnsi="Arial"/>
                <w:sz w:val="18"/>
                <w:szCs w:val="18"/>
                <w:color w:val="auto"/>
                <w:w w:val="94"/>
              </w:rPr>
              <w:t>Chief Financial Officer</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Bridge Media Acquisition Corp.</w:t>
            </w: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1"/>
              </w:rPr>
              <w:t>Special Purpose Acquisition Company</w:t>
            </w: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Katalyst Securities LLC</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Investment Banking Firm</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Payel Farasat</w:t>
            </w: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Burkhan LLC</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Investment Fund</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Chief Investment Officer</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BurTech Acquisition Corp. II</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Special Purpose Acquisition Company</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Chief Investment Officer</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Farasat Capital &amp; Consulting LLC</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Consulting Firm</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Managing Principal</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Project Me Coaching</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Coaching/Mentor Firm</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Founder, Master Coach</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V4 Capital LLC</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Impact Investing Firm</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Managing Director/Founder</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The Centre for Responsible Leadership</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Non-Profit Organization</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02"/>
        </w:trPr>
        <w:tc>
          <w:tcPr>
            <w:tcW w:w="2260" w:type="dxa"/>
            <w:vAlign w:val="bottom"/>
          </w:tcPr>
          <w:p>
            <w:pPr>
              <w:spacing w:after="0" w:line="201" w:lineRule="exact"/>
              <w:rPr>
                <w:sz w:val="20"/>
                <w:szCs w:val="20"/>
                <w:color w:val="auto"/>
              </w:rPr>
            </w:pPr>
            <w:r>
              <w:rPr>
                <w:rFonts w:ascii="Arial" w:cs="Arial" w:eastAsia="Arial" w:hAnsi="Arial"/>
                <w:sz w:val="18"/>
                <w:szCs w:val="18"/>
                <w:color w:val="auto"/>
              </w:rPr>
              <w:t>Gene Zolotarev</w:t>
            </w:r>
          </w:p>
        </w:tc>
        <w:tc>
          <w:tcPr>
            <w:tcW w:w="120" w:type="dxa"/>
            <w:vAlign w:val="bottom"/>
          </w:tcPr>
          <w:p>
            <w:pPr>
              <w:spacing w:after="0"/>
              <w:rPr>
                <w:sz w:val="17"/>
                <w:szCs w:val="17"/>
                <w:color w:val="auto"/>
              </w:rPr>
            </w:pPr>
          </w:p>
        </w:tc>
        <w:tc>
          <w:tcPr>
            <w:tcW w:w="3020" w:type="dxa"/>
            <w:vAlign w:val="bottom"/>
          </w:tcPr>
          <w:p>
            <w:pPr>
              <w:jc w:val="center"/>
              <w:spacing w:after="0" w:line="201" w:lineRule="exact"/>
              <w:rPr>
                <w:sz w:val="20"/>
                <w:szCs w:val="20"/>
                <w:color w:val="auto"/>
              </w:rPr>
            </w:pPr>
            <w:r>
              <w:rPr>
                <w:rFonts w:ascii="Arial" w:cs="Arial" w:eastAsia="Arial" w:hAnsi="Arial"/>
                <w:sz w:val="18"/>
                <w:szCs w:val="18"/>
                <w:color w:val="auto"/>
                <w:w w:val="89"/>
              </w:rPr>
              <w:t>Baltic Technology Ventures JSC</w:t>
            </w:r>
          </w:p>
        </w:tc>
        <w:tc>
          <w:tcPr>
            <w:tcW w:w="120" w:type="dxa"/>
            <w:vAlign w:val="bottom"/>
          </w:tcPr>
          <w:p>
            <w:pPr>
              <w:spacing w:after="0"/>
              <w:rPr>
                <w:sz w:val="17"/>
                <w:szCs w:val="17"/>
                <w:color w:val="auto"/>
              </w:rPr>
            </w:pPr>
          </w:p>
        </w:tc>
        <w:tc>
          <w:tcPr>
            <w:tcW w:w="2800" w:type="dxa"/>
            <w:vAlign w:val="bottom"/>
          </w:tcPr>
          <w:p>
            <w:pPr>
              <w:jc w:val="center"/>
              <w:spacing w:after="0" w:line="201" w:lineRule="exact"/>
              <w:rPr>
                <w:sz w:val="20"/>
                <w:szCs w:val="20"/>
                <w:color w:val="auto"/>
              </w:rPr>
            </w:pPr>
            <w:r>
              <w:rPr>
                <w:rFonts w:ascii="Arial" w:cs="Arial" w:eastAsia="Arial" w:hAnsi="Arial"/>
                <w:sz w:val="18"/>
                <w:szCs w:val="18"/>
                <w:color w:val="auto"/>
                <w:w w:val="91"/>
              </w:rPr>
              <w:t>Technology Investment Firm</w:t>
            </w:r>
          </w:p>
        </w:tc>
        <w:tc>
          <w:tcPr>
            <w:tcW w:w="120" w:type="dxa"/>
            <w:vAlign w:val="bottom"/>
          </w:tcPr>
          <w:p>
            <w:pPr>
              <w:spacing w:after="0"/>
              <w:rPr>
                <w:sz w:val="17"/>
                <w:szCs w:val="17"/>
                <w:color w:val="auto"/>
              </w:rPr>
            </w:pPr>
          </w:p>
        </w:tc>
        <w:tc>
          <w:tcPr>
            <w:tcW w:w="2800" w:type="dxa"/>
            <w:vAlign w:val="bottom"/>
          </w:tcPr>
          <w:p>
            <w:pPr>
              <w:jc w:val="center"/>
              <w:spacing w:after="0" w:line="201" w:lineRule="exact"/>
              <w:rPr>
                <w:sz w:val="20"/>
                <w:szCs w:val="20"/>
                <w:color w:val="auto"/>
              </w:rPr>
            </w:pPr>
            <w:r>
              <w:rPr>
                <w:rFonts w:ascii="Arial" w:cs="Arial" w:eastAsia="Arial" w:hAnsi="Arial"/>
                <w:sz w:val="18"/>
                <w:szCs w:val="18"/>
                <w:color w:val="auto"/>
                <w:w w:val="93"/>
              </w:rPr>
              <w:t>Chief Executive Officer</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Maximus Capital S.A</w:t>
            </w: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Investment Firm</w:t>
            </w: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2"/>
              </w:rPr>
              <w:t>The Baltic Times</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0"/>
              </w:rPr>
              <w:t>Publisher</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Chairman</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Isaac Chetrit</w:t>
            </w: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Monti Consulting Services LLC</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Real Estate Consulting</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Chief Executive Officer and Director</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Trinity Hospitality Group LLC</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Real Estate Development</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President and Director</w:t>
            </w:r>
          </w:p>
        </w:tc>
        <w:tc>
          <w:tcPr>
            <w:tcW w:w="0" w:type="dxa"/>
            <w:vAlign w:val="bottom"/>
          </w:tcPr>
          <w:p>
            <w:pPr>
              <w:spacing w:after="0"/>
              <w:rPr>
                <w:sz w:val="1"/>
                <w:szCs w:val="1"/>
                <w:color w:val="auto"/>
              </w:rPr>
            </w:pPr>
          </w:p>
        </w:tc>
      </w:tr>
      <w:tr>
        <w:trPr>
          <w:trHeight w:val="202"/>
        </w:trPr>
        <w:tc>
          <w:tcPr>
            <w:tcW w:w="2260" w:type="dxa"/>
            <w:vAlign w:val="bottom"/>
          </w:tcPr>
          <w:p>
            <w:pPr>
              <w:spacing w:after="0" w:line="201" w:lineRule="exact"/>
              <w:rPr>
                <w:sz w:val="20"/>
                <w:szCs w:val="20"/>
                <w:color w:val="auto"/>
              </w:rPr>
            </w:pPr>
            <w:r>
              <w:rPr>
                <w:rFonts w:ascii="Arial" w:cs="Arial" w:eastAsia="Arial" w:hAnsi="Arial"/>
                <w:sz w:val="18"/>
                <w:szCs w:val="18"/>
                <w:color w:val="auto"/>
              </w:rPr>
              <w:t>Christopher Schroeder</w:t>
            </w:r>
          </w:p>
        </w:tc>
        <w:tc>
          <w:tcPr>
            <w:tcW w:w="120" w:type="dxa"/>
            <w:vAlign w:val="bottom"/>
          </w:tcPr>
          <w:p>
            <w:pPr>
              <w:spacing w:after="0"/>
              <w:rPr>
                <w:sz w:val="17"/>
                <w:szCs w:val="17"/>
                <w:color w:val="auto"/>
              </w:rPr>
            </w:pPr>
          </w:p>
        </w:tc>
        <w:tc>
          <w:tcPr>
            <w:tcW w:w="3020" w:type="dxa"/>
            <w:vAlign w:val="bottom"/>
          </w:tcPr>
          <w:p>
            <w:pPr>
              <w:jc w:val="center"/>
              <w:spacing w:after="0" w:line="201" w:lineRule="exact"/>
              <w:rPr>
                <w:sz w:val="20"/>
                <w:szCs w:val="20"/>
                <w:color w:val="auto"/>
              </w:rPr>
            </w:pPr>
            <w:r>
              <w:rPr>
                <w:rFonts w:ascii="Arial" w:cs="Arial" w:eastAsia="Arial" w:hAnsi="Arial"/>
                <w:sz w:val="18"/>
                <w:szCs w:val="18"/>
                <w:color w:val="auto"/>
                <w:w w:val="93"/>
              </w:rPr>
              <w:t>Experiential Ventures Hospitality, LLC</w:t>
            </w:r>
          </w:p>
        </w:tc>
        <w:tc>
          <w:tcPr>
            <w:tcW w:w="120" w:type="dxa"/>
            <w:vAlign w:val="bottom"/>
          </w:tcPr>
          <w:p>
            <w:pPr>
              <w:spacing w:after="0"/>
              <w:rPr>
                <w:sz w:val="17"/>
                <w:szCs w:val="17"/>
                <w:color w:val="auto"/>
              </w:rPr>
            </w:pPr>
          </w:p>
        </w:tc>
        <w:tc>
          <w:tcPr>
            <w:tcW w:w="2800" w:type="dxa"/>
            <w:vAlign w:val="bottom"/>
          </w:tcPr>
          <w:p>
            <w:pPr>
              <w:jc w:val="center"/>
              <w:spacing w:after="0" w:line="201" w:lineRule="exact"/>
              <w:rPr>
                <w:sz w:val="20"/>
                <w:szCs w:val="20"/>
                <w:color w:val="auto"/>
              </w:rPr>
            </w:pPr>
            <w:r>
              <w:rPr>
                <w:rFonts w:ascii="Arial" w:cs="Arial" w:eastAsia="Arial" w:hAnsi="Arial"/>
                <w:sz w:val="18"/>
                <w:szCs w:val="18"/>
                <w:color w:val="auto"/>
                <w:w w:val="91"/>
              </w:rPr>
              <w:t>Hospitality and Entertainment</w:t>
            </w:r>
          </w:p>
        </w:tc>
        <w:tc>
          <w:tcPr>
            <w:tcW w:w="120" w:type="dxa"/>
            <w:vAlign w:val="bottom"/>
          </w:tcPr>
          <w:p>
            <w:pPr>
              <w:spacing w:after="0"/>
              <w:rPr>
                <w:sz w:val="17"/>
                <w:szCs w:val="17"/>
                <w:color w:val="auto"/>
              </w:rPr>
            </w:pPr>
          </w:p>
        </w:tc>
        <w:tc>
          <w:tcPr>
            <w:tcW w:w="2800" w:type="dxa"/>
            <w:vAlign w:val="bottom"/>
          </w:tcPr>
          <w:p>
            <w:pPr>
              <w:jc w:val="center"/>
              <w:spacing w:after="0" w:line="201" w:lineRule="exact"/>
              <w:rPr>
                <w:sz w:val="20"/>
                <w:szCs w:val="20"/>
                <w:color w:val="auto"/>
              </w:rPr>
            </w:pPr>
            <w:r>
              <w:rPr>
                <w:rFonts w:ascii="Arial" w:cs="Arial" w:eastAsia="Arial" w:hAnsi="Arial"/>
                <w:sz w:val="18"/>
                <w:szCs w:val="18"/>
                <w:color w:val="auto"/>
                <w:w w:val="93"/>
              </w:rPr>
              <w:t>Chief Executive Officer and Director</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88"/>
              </w:rPr>
              <w:t>Company</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4"/>
              </w:rPr>
              <w:t>Dakia Entertainment &amp; Hospitality, LLC</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0"/>
              </w:rPr>
              <w:t>Entertainment Company</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1"/>
              </w:rPr>
              <w:t>Co-Founder</w:t>
            </w:r>
          </w:p>
        </w:tc>
        <w:tc>
          <w:tcPr>
            <w:tcW w:w="0" w:type="dxa"/>
            <w:vAlign w:val="bottom"/>
          </w:tcPr>
          <w:p>
            <w:pPr>
              <w:spacing w:after="0"/>
              <w:rPr>
                <w:sz w:val="1"/>
                <w:szCs w:val="1"/>
                <w:color w:val="auto"/>
              </w:rPr>
            </w:pPr>
          </w:p>
        </w:tc>
      </w:tr>
      <w:tr>
        <w:trPr>
          <w:trHeight w:val="202"/>
        </w:trPr>
        <w:tc>
          <w:tcPr>
            <w:tcW w:w="2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Hans H. Hertell</w:t>
            </w:r>
          </w:p>
        </w:tc>
        <w:tc>
          <w:tcPr>
            <w:tcW w:w="120" w:type="dxa"/>
            <w:vAlign w:val="bottom"/>
            <w:shd w:val="clear" w:color="auto" w:fill="CCEEFF"/>
          </w:tcPr>
          <w:p>
            <w:pPr>
              <w:spacing w:after="0"/>
              <w:rPr>
                <w:sz w:val="17"/>
                <w:szCs w:val="17"/>
                <w:color w:val="auto"/>
              </w:rPr>
            </w:pPr>
          </w:p>
        </w:tc>
        <w:tc>
          <w:tcPr>
            <w:tcW w:w="3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The Hertell Group LLC</w:t>
            </w:r>
          </w:p>
        </w:tc>
        <w:tc>
          <w:tcPr>
            <w:tcW w:w="120" w:type="dxa"/>
            <w:vAlign w:val="bottom"/>
            <w:shd w:val="clear" w:color="auto" w:fill="CCEEFF"/>
          </w:tcPr>
          <w:p>
            <w:pPr>
              <w:spacing w:after="0"/>
              <w:rPr>
                <w:sz w:val="17"/>
                <w:szCs w:val="17"/>
                <w:color w:val="auto"/>
              </w:rPr>
            </w:pPr>
          </w:p>
        </w:tc>
        <w:tc>
          <w:tcPr>
            <w:tcW w:w="28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Strategic Advisory Firm</w:t>
            </w:r>
          </w:p>
        </w:tc>
        <w:tc>
          <w:tcPr>
            <w:tcW w:w="120" w:type="dxa"/>
            <w:vAlign w:val="bottom"/>
            <w:shd w:val="clear" w:color="auto" w:fill="CCEEFF"/>
          </w:tcPr>
          <w:p>
            <w:pPr>
              <w:spacing w:after="0"/>
              <w:rPr>
                <w:sz w:val="17"/>
                <w:szCs w:val="17"/>
                <w:color w:val="auto"/>
              </w:rPr>
            </w:pPr>
          </w:p>
        </w:tc>
        <w:tc>
          <w:tcPr>
            <w:tcW w:w="28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Chairman of the Board and Chief</w:t>
            </w:r>
          </w:p>
        </w:tc>
        <w:tc>
          <w:tcPr>
            <w:tcW w:w="0" w:type="dxa"/>
            <w:vAlign w:val="bottom"/>
          </w:tcPr>
          <w:p>
            <w:pPr>
              <w:spacing w:after="0"/>
              <w:rPr>
                <w:sz w:val="1"/>
                <w:szCs w:val="1"/>
                <w:color w:val="auto"/>
              </w:rPr>
            </w:pPr>
          </w:p>
        </w:tc>
      </w:tr>
      <w:tr>
        <w:trPr>
          <w:trHeight w:val="122"/>
        </w:trPr>
        <w:tc>
          <w:tcPr>
            <w:tcW w:w="2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Executive Officer</w:t>
            </w:r>
          </w:p>
        </w:tc>
        <w:tc>
          <w:tcPr>
            <w:tcW w:w="0" w:type="dxa"/>
            <w:vAlign w:val="bottom"/>
          </w:tcPr>
          <w:p>
            <w:pPr>
              <w:spacing w:after="0"/>
              <w:rPr>
                <w:sz w:val="1"/>
                <w:szCs w:val="1"/>
                <w:color w:val="auto"/>
              </w:rPr>
            </w:pPr>
          </w:p>
        </w:tc>
      </w:tr>
      <w:tr>
        <w:trPr>
          <w:trHeight w:val="108"/>
        </w:trPr>
        <w:tc>
          <w:tcPr>
            <w:tcW w:w="2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260" w:type="dxa"/>
            <w:vAlign w:val="bottom"/>
          </w:tcPr>
          <w:p>
            <w:pPr>
              <w:spacing w:after="0" w:line="201" w:lineRule="exact"/>
              <w:rPr>
                <w:sz w:val="20"/>
                <w:szCs w:val="20"/>
                <w:color w:val="auto"/>
              </w:rPr>
            </w:pPr>
            <w:r>
              <w:rPr>
                <w:rFonts w:ascii="Arial" w:cs="Arial" w:eastAsia="Arial" w:hAnsi="Arial"/>
                <w:sz w:val="18"/>
                <w:szCs w:val="18"/>
                <w:color w:val="auto"/>
              </w:rPr>
              <w:t>Peter Plaut</w:t>
            </w:r>
          </w:p>
        </w:tc>
        <w:tc>
          <w:tcPr>
            <w:tcW w:w="120" w:type="dxa"/>
            <w:vAlign w:val="bottom"/>
          </w:tcPr>
          <w:p>
            <w:pPr>
              <w:spacing w:after="0"/>
              <w:rPr>
                <w:sz w:val="17"/>
                <w:szCs w:val="17"/>
                <w:color w:val="auto"/>
              </w:rPr>
            </w:pPr>
          </w:p>
        </w:tc>
        <w:tc>
          <w:tcPr>
            <w:tcW w:w="3020" w:type="dxa"/>
            <w:vAlign w:val="bottom"/>
          </w:tcPr>
          <w:p>
            <w:pPr>
              <w:jc w:val="center"/>
              <w:spacing w:after="0" w:line="201" w:lineRule="exact"/>
              <w:rPr>
                <w:sz w:val="20"/>
                <w:szCs w:val="20"/>
                <w:color w:val="auto"/>
              </w:rPr>
            </w:pPr>
            <w:r>
              <w:rPr>
                <w:rFonts w:ascii="Arial" w:cs="Arial" w:eastAsia="Arial" w:hAnsi="Arial"/>
                <w:sz w:val="18"/>
                <w:szCs w:val="18"/>
                <w:color w:val="auto"/>
                <w:w w:val="94"/>
              </w:rPr>
              <w:t>Wimmer Financial/ Wimmer Family</w:t>
            </w:r>
          </w:p>
        </w:tc>
        <w:tc>
          <w:tcPr>
            <w:tcW w:w="120" w:type="dxa"/>
            <w:vAlign w:val="bottom"/>
          </w:tcPr>
          <w:p>
            <w:pPr>
              <w:spacing w:after="0"/>
              <w:rPr>
                <w:sz w:val="17"/>
                <w:szCs w:val="17"/>
                <w:color w:val="auto"/>
              </w:rPr>
            </w:pPr>
          </w:p>
        </w:tc>
        <w:tc>
          <w:tcPr>
            <w:tcW w:w="2800" w:type="dxa"/>
            <w:vAlign w:val="bottom"/>
          </w:tcPr>
          <w:p>
            <w:pPr>
              <w:jc w:val="center"/>
              <w:spacing w:after="0" w:line="201" w:lineRule="exact"/>
              <w:rPr>
                <w:sz w:val="20"/>
                <w:szCs w:val="20"/>
                <w:color w:val="auto"/>
              </w:rPr>
            </w:pPr>
            <w:r>
              <w:rPr>
                <w:rFonts w:ascii="Arial" w:cs="Arial" w:eastAsia="Arial" w:hAnsi="Arial"/>
                <w:sz w:val="18"/>
                <w:szCs w:val="18"/>
                <w:color w:val="auto"/>
                <w:w w:val="93"/>
              </w:rPr>
              <w:t>Investment Bank/Family Office</w:t>
            </w:r>
          </w:p>
        </w:tc>
        <w:tc>
          <w:tcPr>
            <w:tcW w:w="120" w:type="dxa"/>
            <w:vAlign w:val="bottom"/>
          </w:tcPr>
          <w:p>
            <w:pPr>
              <w:spacing w:after="0"/>
              <w:rPr>
                <w:sz w:val="17"/>
                <w:szCs w:val="17"/>
                <w:color w:val="auto"/>
              </w:rPr>
            </w:pPr>
          </w:p>
        </w:tc>
        <w:tc>
          <w:tcPr>
            <w:tcW w:w="2800" w:type="dxa"/>
            <w:vAlign w:val="bottom"/>
          </w:tcPr>
          <w:p>
            <w:pPr>
              <w:jc w:val="center"/>
              <w:spacing w:after="0" w:line="201" w:lineRule="exact"/>
              <w:rPr>
                <w:sz w:val="20"/>
                <w:szCs w:val="20"/>
                <w:color w:val="auto"/>
              </w:rPr>
            </w:pPr>
            <w:r>
              <w:rPr>
                <w:rFonts w:ascii="Arial" w:cs="Arial" w:eastAsia="Arial" w:hAnsi="Arial"/>
                <w:sz w:val="18"/>
                <w:szCs w:val="18"/>
                <w:color w:val="auto"/>
                <w:w w:val="93"/>
              </w:rPr>
              <w:t>Executive Director</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7"/>
              </w:rPr>
              <w:t>Office</w:t>
            </w: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Michael Penrod</w:t>
            </w: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The Elbo Room</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Bar</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Chief Executive Officer</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Penrod Management LLC</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Hospitality</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MVP management Expert LLC</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Technology</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Leon Golden</w:t>
            </w:r>
          </w:p>
        </w:tc>
        <w:tc>
          <w:tcPr>
            <w:tcW w:w="12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2"/>
              </w:rPr>
              <w:t>ARG Associates Inc.</w:t>
            </w:r>
          </w:p>
        </w:tc>
        <w:tc>
          <w:tcPr>
            <w:tcW w:w="120" w:type="dxa"/>
            <w:vAlign w:val="bottom"/>
          </w:tcPr>
          <w:p>
            <w:pPr>
              <w:spacing w:after="0"/>
              <w:rPr>
                <w:sz w:val="20"/>
                <w:szCs w:val="20"/>
                <w:color w:val="auto"/>
              </w:rPr>
            </w:pPr>
          </w:p>
        </w:tc>
        <w:tc>
          <w:tcPr>
            <w:tcW w:w="2800" w:type="dxa"/>
            <w:vAlign w:val="bottom"/>
          </w:tcPr>
          <w:p>
            <w:pPr>
              <w:ind w:left="740"/>
              <w:spacing w:after="0"/>
              <w:rPr>
                <w:sz w:val="20"/>
                <w:szCs w:val="20"/>
                <w:color w:val="auto"/>
              </w:rPr>
            </w:pPr>
            <w:r>
              <w:rPr>
                <w:rFonts w:ascii="Arial" w:cs="Arial" w:eastAsia="Arial" w:hAnsi="Arial"/>
                <w:sz w:val="18"/>
                <w:szCs w:val="18"/>
                <w:color w:val="auto"/>
              </w:rPr>
              <w:t>Accounting Firm</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80" w:hanging="572"/>
        <w:spacing w:after="0"/>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person has a fiduciary duty with respect to the listed entities next to their respective names.</w:t>
      </w:r>
    </w:p>
    <w:p>
      <w:pPr>
        <w:spacing w:after="0" w:line="225" w:lineRule="exact"/>
        <w:rPr>
          <w:rFonts w:ascii="Arial" w:cs="Arial" w:eastAsia="Arial" w:hAnsi="Arial"/>
          <w:sz w:val="18"/>
          <w:szCs w:val="18"/>
          <w:color w:val="auto"/>
        </w:rPr>
      </w:pPr>
    </w:p>
    <w:p>
      <w:pPr>
        <w:ind w:left="580" w:right="100" w:hanging="572"/>
        <w:spacing w:after="0" w:line="277" w:lineRule="auto"/>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of the entities listed in this table has priority and preference relative to our company with respect to the performance by each individual listed in this table of his obligations and the presentation by each such individual of business opportunities.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6" w:name="page137"/>
    <w:bookmarkEnd w:id="136"/>
    <w:p>
      <w:pPr>
        <w:ind w:right="380" w:firstLine="324"/>
        <w:spacing w:after="0" w:line="311" w:lineRule="auto"/>
        <w:rPr>
          <w:sz w:val="20"/>
          <w:szCs w:val="20"/>
          <w:color w:val="auto"/>
        </w:rPr>
      </w:pPr>
      <w:r>
        <w:rPr>
          <w:rFonts w:ascii="Arial" w:cs="Arial" w:eastAsia="Arial" w:hAnsi="Arial"/>
          <w:sz w:val="16"/>
          <w:szCs w:val="16"/>
          <w:color w:val="auto"/>
        </w:rPr>
        <w:t>Accordingly, if any of the above executive officers, directors or director nominees becomes aware of a business combination opportunity which is suitable for any of the above entities to which he or she has current fiduciary or contractual obligations, he or she will honor his or her fiduciary or contractual obligations to present such business combination opportunity to such entity, and only present it to us if such entity rejects the opportunity.</w:t>
      </w:r>
    </w:p>
    <w:p>
      <w:pPr>
        <w:spacing w:after="0" w:line="149"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officers or directors. In the event we seek to complete our initial business combination with such a company, we, or a committee of independent directors, would obtain an opinion from an independent investment banking firm or another independent entity that commonly renders valuation opinions, that such an initial business combination is fair to our company from a financial point of view.</w:t>
      </w:r>
    </w:p>
    <w:p>
      <w:pPr>
        <w:spacing w:after="0" w:line="18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the event that we submit our initial business combination to our public stockholders for a vote, pursuant to the letter agreement, our sponsor, officers and directors have agreed to vote any founder shares or placement shares held by them and any public shares purchased during or after the offering (including in open market and privately negotiated transactions) in favor of our initial business combination.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229" w:lineRule="exact"/>
        <w:rPr>
          <w:sz w:val="20"/>
          <w:szCs w:val="20"/>
          <w:color w:val="auto"/>
        </w:rPr>
      </w:pPr>
    </w:p>
    <w:p>
      <w:pPr>
        <w:ind w:right="380" w:firstLine="324"/>
        <w:spacing w:after="0" w:line="296" w:lineRule="auto"/>
        <w:rPr>
          <w:sz w:val="20"/>
          <w:szCs w:val="20"/>
          <w:color w:val="auto"/>
        </w:rPr>
      </w:pPr>
      <w:r>
        <w:rPr>
          <w:rFonts w:ascii="Arial" w:cs="Arial" w:eastAsia="Arial" w:hAnsi="Arial"/>
          <w:sz w:val="16"/>
          <w:szCs w:val="16"/>
          <w:color w:val="auto"/>
        </w:rPr>
        <w:t>Our amended and restated certificate of incorporation will provide that our officers and directors will be indemnified by us to the fullest extent authorized by Delaware law, as it now exists or may in the future be amended. In addition, our amended and restated certificate of incorporation will provide that our directors will not be personally liable for monetary damages to us or our stockholders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161"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We will enter into agreements with our officers and directors to provide contractual indemnification in addition to the indemnification provided for in our amended and restated certificate of incorporation. Our bylaws also will permit us to secure insurance on behalf of any officer, director or employee for any liability arising out of his or her actions, regardless of whether Delaware law would permit such indemnification. We will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76"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These provisions may discourage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171"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We believe that these provisions, the directors’ and officers’ liability insurance and the indemnity agreements are necessary to attract and retain talented and experienced officers and directors.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PRINCIPAL STOCKHOLDERS</w:t>
      </w:r>
      <w:r>
        <w:rPr>
          <w:rFonts w:ascii="Arial" w:cs="Arial" w:eastAsia="Arial" w:hAnsi="Arial"/>
          <w:sz w:val="29"/>
          <w:szCs w:val="29"/>
          <w:b w:val="1"/>
          <w:bCs w:val="1"/>
          <w:color w:val="auto"/>
          <w:vertAlign w:val="superscript"/>
        </w:rPr>
        <w:t>3</w:t>
      </w:r>
    </w:p>
    <w:p>
      <w:pPr>
        <w:spacing w:after="0" w:line="139"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The following table sets forth information regarding the beneficial ownership of our common stock as of the date of this prospectus, and as adjusted to reflect the sale of our common stock included in the units offered by this prospectus, and assuming no purchase of units in this offering, by:</w:t>
      </w:r>
    </w:p>
    <w:p>
      <w:pPr>
        <w:spacing w:after="0" w:line="124"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of our executive officers, directors and director nominees that beneficially owns shares of our common stock;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our executive officers, directors and director nominees as a group.</w:t>
      </w:r>
    </w:p>
    <w:p>
      <w:pPr>
        <w:spacing w:after="0" w:line="22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shares of common stock beneficially owned by them. The following table does not reflect record or beneficial ownership of the placement warrants as these warrants are not exercisable within 60 days of the date of this prospectus.</w:t>
      </w:r>
    </w:p>
    <w:p>
      <w:pPr>
        <w:spacing w:after="0" w:line="184"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On May 21, 2021, our sponsor purchased 8,625,000 founder shares for an aggregate purchase price of $25,000. On September 24, 2021, the Company issued 862,500 shares of Class B common stock in connection with a 1.1 stock split, resulting in an aggregate of 9,487,500 shares of Class B common stock outstanding, or approximately $0.003 per share. In addition, our sponsor has committed, pursuant to a written agreement, to purchase an aggregate of 804,500 placement units for a purchase price of $10.00 per unit in a private placement that will occur simultaneously with the closing of this offering (assuming the underwriters do not exercise their over-allotment option). The following table presents the number of shares and percentage of our common stock beneficially owned as of the filing date, before and after this offering, by each person, or group of persons, known to us who beneficially owns more than 5% of our capital stock, each named executive officer, each of our directors and all directors and executive officers as a group. The post-offering numbers and percentages presented assume that the underwriters do not exercise their over-allotment option, that our sponsor forfeits 1,237,500 founder shares on a pro rata basis, and that there are 34,429,500 shares of our common stock issued and outstanding after this offering, consisting of (i) 25,804,500 shares of our Class A common stock (including 25,000,000 public shares, 804,500 placement shares, 375,000 shares of Class A common stock comprising the representative shares) and (ii) 8,250,000 shares of our Class B common, issued and outstanding after this offering.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tcBorders>
              <w:bottom w:val="single" w:sz="8" w:color="auto"/>
            </w:tcBorders>
            <w:gridSpan w:val="3"/>
          </w:tcPr>
          <w:p>
            <w:pPr>
              <w:ind w:left="1240"/>
              <w:spacing w:after="0"/>
              <w:rPr>
                <w:sz w:val="20"/>
                <w:szCs w:val="20"/>
                <w:color w:val="auto"/>
              </w:rPr>
            </w:pPr>
            <w:r>
              <w:rPr>
                <w:rFonts w:ascii="Arial" w:cs="Arial" w:eastAsia="Arial" w:hAnsi="Arial"/>
                <w:sz w:val="18"/>
                <w:szCs w:val="18"/>
                <w:b w:val="1"/>
                <w:bCs w:val="1"/>
                <w:color w:val="auto"/>
                <w:w w:val="90"/>
              </w:rPr>
              <w:t>Before Offering</w:t>
            </w:r>
          </w:p>
        </w:tc>
        <w:tc>
          <w:tcPr>
            <w:tcW w:w="12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40" w:type="dxa"/>
            <w:vAlign w:val="bottom"/>
            <w:tcBorders>
              <w:bottom w:val="single" w:sz="8" w:color="auto"/>
            </w:tcBorders>
            <w:gridSpan w:val="3"/>
          </w:tcPr>
          <w:p>
            <w:pPr>
              <w:ind w:left="1280"/>
              <w:spacing w:after="0"/>
              <w:rPr>
                <w:sz w:val="20"/>
                <w:szCs w:val="20"/>
                <w:color w:val="auto"/>
              </w:rPr>
            </w:pPr>
            <w:r>
              <w:rPr>
                <w:rFonts w:ascii="Arial" w:cs="Arial" w:eastAsia="Arial" w:hAnsi="Arial"/>
                <w:sz w:val="18"/>
                <w:szCs w:val="18"/>
                <w:b w:val="1"/>
                <w:bCs w:val="1"/>
                <w:color w:val="auto"/>
                <w:w w:val="97"/>
              </w:rPr>
              <w:t>After Offering</w:t>
            </w:r>
          </w:p>
        </w:tc>
        <w:tc>
          <w:tcPr>
            <w:tcW w:w="1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2"/>
              </w:rPr>
              <w:t>Approximate</w:t>
            </w:r>
          </w:p>
        </w:tc>
        <w:tc>
          <w:tcPr>
            <w:tcW w:w="2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2"/>
              </w:rPr>
              <w:t>Approximate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Percentage</w:t>
            </w:r>
          </w:p>
        </w:tc>
        <w:tc>
          <w:tcPr>
            <w:tcW w:w="2440" w:type="dxa"/>
            <w:vAlign w:val="bottom"/>
            <w:gridSpan w:val="3"/>
            <w:vMerge w:val="restart"/>
          </w:tcPr>
          <w:p>
            <w:pPr>
              <w:jc w:val="center"/>
              <w:ind w:right="360"/>
              <w:spacing w:after="0"/>
              <w:rPr>
                <w:sz w:val="20"/>
                <w:szCs w:val="20"/>
                <w:color w:val="auto"/>
              </w:rPr>
            </w:pPr>
            <w:r>
              <w:rPr>
                <w:rFonts w:ascii="Arial" w:cs="Arial" w:eastAsia="Arial" w:hAnsi="Arial"/>
                <w:sz w:val="18"/>
                <w:szCs w:val="18"/>
                <w:b w:val="1"/>
                <w:bCs w:val="1"/>
                <w:color w:val="auto"/>
                <w:w w:val="93"/>
              </w:rPr>
              <w:t>Number of</w:t>
            </w: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Percentage</w:t>
            </w: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gridSpan w:val="3"/>
          </w:tcPr>
          <w:p>
            <w:pPr>
              <w:jc w:val="center"/>
              <w:ind w:right="380"/>
              <w:spacing w:after="0" w:line="181" w:lineRule="exact"/>
              <w:rPr>
                <w:sz w:val="20"/>
                <w:szCs w:val="20"/>
                <w:color w:val="auto"/>
              </w:rPr>
            </w:pPr>
            <w:r>
              <w:rPr>
                <w:rFonts w:ascii="Arial" w:cs="Arial" w:eastAsia="Arial" w:hAnsi="Arial"/>
                <w:sz w:val="18"/>
                <w:szCs w:val="18"/>
                <w:b w:val="1"/>
                <w:bCs w:val="1"/>
                <w:color w:val="auto"/>
                <w:w w:val="93"/>
              </w:rPr>
              <w:t>Number of</w:t>
            </w:r>
          </w:p>
        </w:tc>
        <w:tc>
          <w:tcPr>
            <w:tcW w:w="1480" w:type="dxa"/>
            <w:vAlign w:val="bottom"/>
            <w:gridSpan w:val="2"/>
          </w:tcPr>
          <w:p>
            <w:pPr>
              <w:jc w:val="center"/>
              <w:ind w:right="420"/>
              <w:spacing w:after="0" w:line="181" w:lineRule="exact"/>
              <w:rPr>
                <w:sz w:val="20"/>
                <w:szCs w:val="20"/>
                <w:color w:val="auto"/>
              </w:rPr>
            </w:pPr>
            <w:r>
              <w:rPr>
                <w:rFonts w:ascii="Arial" w:cs="Arial" w:eastAsia="Arial" w:hAnsi="Arial"/>
                <w:sz w:val="18"/>
                <w:szCs w:val="18"/>
                <w:b w:val="1"/>
                <w:bCs w:val="1"/>
                <w:color w:val="auto"/>
                <w:w w:val="82"/>
              </w:rPr>
              <w:t>of</w:t>
            </w:r>
          </w:p>
        </w:tc>
        <w:tc>
          <w:tcPr>
            <w:tcW w:w="2440" w:type="dxa"/>
            <w:vAlign w:val="bottom"/>
            <w:gridSpan w:val="3"/>
            <w:vMerge w:val="continue"/>
          </w:tcPr>
          <w:p>
            <w:pPr>
              <w:spacing w:after="0"/>
              <w:rPr>
                <w:sz w:val="15"/>
                <w:szCs w:val="15"/>
                <w:color w:val="auto"/>
              </w:rPr>
            </w:pPr>
          </w:p>
        </w:tc>
        <w:tc>
          <w:tcPr>
            <w:tcW w:w="1400" w:type="dxa"/>
            <w:vAlign w:val="bottom"/>
            <w:gridSpan w:val="2"/>
          </w:tcPr>
          <w:p>
            <w:pPr>
              <w:jc w:val="center"/>
              <w:ind w:right="300"/>
              <w:spacing w:after="0" w:line="181" w:lineRule="exact"/>
              <w:rPr>
                <w:sz w:val="20"/>
                <w:szCs w:val="20"/>
                <w:color w:val="auto"/>
              </w:rPr>
            </w:pPr>
            <w:r>
              <w:rPr>
                <w:rFonts w:ascii="Arial" w:cs="Arial" w:eastAsia="Arial" w:hAnsi="Arial"/>
                <w:sz w:val="18"/>
                <w:szCs w:val="18"/>
                <w:b w:val="1"/>
                <w:bCs w:val="1"/>
                <w:color w:val="auto"/>
                <w:w w:val="82"/>
              </w:rPr>
              <w:t>of</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6"/>
              </w:rPr>
              <w:t>Shares</w:t>
            </w: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Outstanding</w:t>
            </w:r>
          </w:p>
        </w:tc>
        <w:tc>
          <w:tcPr>
            <w:tcW w:w="24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6"/>
              </w:rPr>
              <w:t>Shares</w:t>
            </w: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Outstanding</w:t>
            </w:r>
          </w:p>
        </w:tc>
        <w:tc>
          <w:tcPr>
            <w:tcW w:w="0" w:type="dxa"/>
            <w:vAlign w:val="bottom"/>
          </w:tcPr>
          <w:p>
            <w:pPr>
              <w:spacing w:after="0"/>
              <w:rPr>
                <w:sz w:val="1"/>
                <w:szCs w:val="1"/>
                <w:color w:val="auto"/>
              </w:rPr>
            </w:pPr>
          </w:p>
        </w:tc>
      </w:tr>
      <w:tr>
        <w:trPr>
          <w:trHeight w:val="216"/>
        </w:trPr>
        <w:tc>
          <w:tcPr>
            <w:tcW w:w="33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2"/>
              </w:rPr>
              <w:t>Name and Address of Beneficial Owner</w:t>
            </w:r>
            <w:r>
              <w:rPr>
                <w:rFonts w:ascii="Arial" w:cs="Arial" w:eastAsia="Arial" w:hAnsi="Arial"/>
                <w:sz w:val="29"/>
                <w:szCs w:val="29"/>
                <w:b w:val="1"/>
                <w:bCs w:val="1"/>
                <w:color w:val="auto"/>
                <w:w w:val="92"/>
                <w:vertAlign w:val="superscript"/>
              </w:rPr>
              <w:t>(1)</w:t>
            </w:r>
          </w:p>
        </w:tc>
        <w:tc>
          <w:tcPr>
            <w:tcW w:w="100" w:type="dxa"/>
            <w:vAlign w:val="bottom"/>
            <w:vMerge w:val="restart"/>
          </w:tcPr>
          <w:p>
            <w:pPr>
              <w:spacing w:after="0"/>
              <w:rPr>
                <w:sz w:val="18"/>
                <w:szCs w:val="18"/>
                <w:color w:val="auto"/>
              </w:rPr>
            </w:pPr>
          </w:p>
        </w:tc>
        <w:tc>
          <w:tcPr>
            <w:tcW w:w="24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9"/>
              </w:rPr>
              <w:t>Beneficially</w:t>
            </w: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Common</w:t>
            </w:r>
          </w:p>
        </w:tc>
        <w:tc>
          <w:tcPr>
            <w:tcW w:w="24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9"/>
              </w:rPr>
              <w:t>Beneficially</w:t>
            </w: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Common</w:t>
            </w:r>
          </w:p>
        </w:tc>
        <w:tc>
          <w:tcPr>
            <w:tcW w:w="0" w:type="dxa"/>
            <w:vAlign w:val="bottom"/>
          </w:tcPr>
          <w:p>
            <w:pPr>
              <w:spacing w:after="0"/>
              <w:rPr>
                <w:sz w:val="1"/>
                <w:szCs w:val="1"/>
                <w:color w:val="auto"/>
              </w:rPr>
            </w:pPr>
          </w:p>
        </w:tc>
      </w:tr>
      <w:tr>
        <w:trPr>
          <w:trHeight w:val="270"/>
        </w:trPr>
        <w:tc>
          <w:tcPr>
            <w:tcW w:w="3360" w:type="dxa"/>
            <w:vAlign w:val="bottom"/>
            <w:tcBorders>
              <w:bottom w:val="single" w:sz="8" w:color="auto"/>
            </w:tcBorders>
            <w:gridSpan w:val="2"/>
            <w:vMerge w:val="continue"/>
          </w:tcPr>
          <w:p>
            <w:pPr>
              <w:spacing w:after="0"/>
              <w:rPr>
                <w:sz w:val="23"/>
                <w:szCs w:val="23"/>
                <w:color w:val="auto"/>
              </w:rPr>
            </w:pPr>
          </w:p>
        </w:tc>
        <w:tc>
          <w:tcPr>
            <w:tcW w:w="100" w:type="dxa"/>
            <w:vAlign w:val="bottom"/>
            <w:tcBorders>
              <w:bottom w:val="single" w:sz="8" w:color="CCEEFF"/>
            </w:tcBorders>
            <w:vMerge w:val="continue"/>
          </w:tcPr>
          <w:p>
            <w:pPr>
              <w:spacing w:after="0"/>
              <w:rPr>
                <w:sz w:val="23"/>
                <w:szCs w:val="23"/>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Owned</w:t>
            </w:r>
          </w:p>
        </w:tc>
        <w:tc>
          <w:tcPr>
            <w:tcW w:w="2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5"/>
              </w:rPr>
              <w:t>Stock</w:t>
            </w:r>
          </w:p>
        </w:tc>
        <w:tc>
          <w:tcPr>
            <w:tcW w:w="260" w:type="dxa"/>
            <w:vAlign w:val="bottom"/>
            <w:tcBorders>
              <w:bottom w:val="single" w:sz="8" w:color="CCEEFF"/>
            </w:tcBorders>
          </w:tcPr>
          <w:p>
            <w:pPr>
              <w:spacing w:after="0"/>
              <w:rPr>
                <w:sz w:val="23"/>
                <w:szCs w:val="23"/>
                <w:color w:val="auto"/>
              </w:rPr>
            </w:pPr>
          </w:p>
        </w:tc>
        <w:tc>
          <w:tcPr>
            <w:tcW w:w="212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6"/>
              </w:rPr>
              <w:t>Owned</w:t>
            </w:r>
            <w:r>
              <w:rPr>
                <w:rFonts w:ascii="Arial" w:cs="Arial" w:eastAsia="Arial" w:hAnsi="Arial"/>
                <w:sz w:val="29"/>
                <w:szCs w:val="29"/>
                <w:b w:val="1"/>
                <w:bCs w:val="1"/>
                <w:color w:val="auto"/>
                <w:w w:val="86"/>
                <w:vertAlign w:val="superscript"/>
              </w:rPr>
              <w:t>(3)</w:t>
            </w:r>
          </w:p>
        </w:tc>
        <w:tc>
          <w:tcPr>
            <w:tcW w:w="2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5"/>
              </w:rPr>
              <w:t>Stock</w:t>
            </w:r>
          </w:p>
        </w:tc>
        <w:tc>
          <w:tcPr>
            <w:tcW w:w="1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6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color w:val="auto"/>
              </w:rPr>
              <w:t>BurTech LP LLC</w:t>
            </w:r>
            <w:r>
              <w:rPr>
                <w:rFonts w:ascii="Arial" w:cs="Arial" w:eastAsia="Arial" w:hAnsi="Arial"/>
                <w:sz w:val="28"/>
                <w:szCs w:val="28"/>
                <w:color w:val="auto"/>
                <w:vertAlign w:val="superscript"/>
              </w:rPr>
              <w:t>(2)</w:t>
            </w:r>
          </w:p>
        </w:tc>
        <w:tc>
          <w:tcPr>
            <w:tcW w:w="100" w:type="dxa"/>
            <w:vAlign w:val="bottom"/>
            <w:shd w:val="clear" w:color="auto" w:fill="CCEEFF"/>
          </w:tcPr>
          <w:p>
            <w:pPr>
              <w:spacing w:after="0"/>
              <w:rPr>
                <w:sz w:val="21"/>
                <w:szCs w:val="21"/>
                <w:color w:val="auto"/>
              </w:rPr>
            </w:pPr>
          </w:p>
        </w:tc>
        <w:tc>
          <w:tcPr>
            <w:tcW w:w="2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8,250,000</w:t>
            </w:r>
          </w:p>
        </w:tc>
        <w:tc>
          <w:tcPr>
            <w:tcW w:w="1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2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9,054,500</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57"/>
        </w:trPr>
        <w:tc>
          <w:tcPr>
            <w:tcW w:w="3460" w:type="dxa"/>
            <w:vAlign w:val="bottom"/>
            <w:gridSpan w:val="3"/>
          </w:tcPr>
          <w:p>
            <w:pPr>
              <w:spacing w:after="0" w:line="256" w:lineRule="exact"/>
              <w:rPr>
                <w:sz w:val="20"/>
                <w:szCs w:val="20"/>
                <w:color w:val="auto"/>
              </w:rPr>
            </w:pPr>
            <w:r>
              <w:rPr>
                <w:rFonts w:ascii="Arial" w:cs="Arial" w:eastAsia="Arial" w:hAnsi="Arial"/>
                <w:sz w:val="18"/>
                <w:szCs w:val="18"/>
                <w:color w:val="auto"/>
              </w:rPr>
              <w:t>Shahal Khan</w:t>
            </w:r>
            <w:r>
              <w:rPr>
                <w:rFonts w:ascii="Arial" w:cs="Arial" w:eastAsia="Arial" w:hAnsi="Arial"/>
                <w:sz w:val="29"/>
                <w:szCs w:val="29"/>
                <w:color w:val="auto"/>
                <w:vertAlign w:val="superscript"/>
              </w:rPr>
              <w:t>(2)</w:t>
            </w:r>
          </w:p>
        </w:tc>
        <w:tc>
          <w:tcPr>
            <w:tcW w:w="2340" w:type="dxa"/>
            <w:vAlign w:val="bottom"/>
            <w:gridSpan w:val="2"/>
          </w:tcPr>
          <w:p>
            <w:pPr>
              <w:jc w:val="right"/>
              <w:ind w:right="220"/>
              <w:spacing w:after="0"/>
              <w:rPr>
                <w:sz w:val="20"/>
                <w:szCs w:val="20"/>
                <w:color w:val="auto"/>
              </w:rPr>
            </w:pPr>
            <w:r>
              <w:rPr>
                <w:rFonts w:ascii="Arial" w:cs="Arial" w:eastAsia="Arial" w:hAnsi="Arial"/>
                <w:sz w:val="18"/>
                <w:szCs w:val="18"/>
                <w:color w:val="auto"/>
              </w:rPr>
              <w:t>8,250,000</w:t>
            </w:r>
          </w:p>
        </w:tc>
        <w:tc>
          <w:tcPr>
            <w:tcW w:w="120" w:type="dxa"/>
            <w:vAlign w:val="bottom"/>
          </w:tcPr>
          <w:p>
            <w:pPr>
              <w:spacing w:after="0"/>
              <w:rPr>
                <w:sz w:val="22"/>
                <w:szCs w:val="22"/>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340" w:type="dxa"/>
            <w:vAlign w:val="bottom"/>
            <w:gridSpan w:val="2"/>
          </w:tcPr>
          <w:p>
            <w:pPr>
              <w:jc w:val="right"/>
              <w:ind w:right="220"/>
              <w:spacing w:after="0"/>
              <w:rPr>
                <w:sz w:val="20"/>
                <w:szCs w:val="20"/>
                <w:color w:val="auto"/>
              </w:rPr>
            </w:pPr>
            <w:r>
              <w:rPr>
                <w:rFonts w:ascii="Arial" w:cs="Arial" w:eastAsia="Arial" w:hAnsi="Arial"/>
                <w:sz w:val="18"/>
                <w:szCs w:val="18"/>
                <w:color w:val="auto"/>
              </w:rPr>
              <w:t>9,054,500</w:t>
            </w:r>
          </w:p>
        </w:tc>
        <w:tc>
          <w:tcPr>
            <w:tcW w:w="100" w:type="dxa"/>
            <w:vAlign w:val="bottom"/>
          </w:tcPr>
          <w:p>
            <w:pPr>
              <w:spacing w:after="0"/>
              <w:rPr>
                <w:sz w:val="22"/>
                <w:szCs w:val="22"/>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56"/>
        </w:trPr>
        <w:tc>
          <w:tcPr>
            <w:tcW w:w="346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Roman Livson</w:t>
            </w:r>
            <w:r>
              <w:rPr>
                <w:rFonts w:ascii="Arial" w:cs="Arial" w:eastAsia="Arial" w:hAnsi="Arial"/>
                <w:sz w:val="29"/>
                <w:szCs w:val="29"/>
                <w:color w:val="auto"/>
                <w:vertAlign w:val="superscript"/>
              </w:rPr>
              <w:t>(2)</w:t>
            </w:r>
          </w:p>
        </w:tc>
        <w:tc>
          <w:tcPr>
            <w:tcW w:w="2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8,250,000</w:t>
            </w:r>
          </w:p>
        </w:tc>
        <w:tc>
          <w:tcPr>
            <w:tcW w:w="12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2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9,054,500</w:t>
            </w:r>
          </w:p>
        </w:tc>
        <w:tc>
          <w:tcPr>
            <w:tcW w:w="10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57"/>
        </w:trPr>
        <w:tc>
          <w:tcPr>
            <w:tcW w:w="3460" w:type="dxa"/>
            <w:vAlign w:val="bottom"/>
            <w:gridSpan w:val="3"/>
          </w:tcPr>
          <w:p>
            <w:pPr>
              <w:spacing w:after="0" w:line="256" w:lineRule="exact"/>
              <w:rPr>
                <w:sz w:val="20"/>
                <w:szCs w:val="20"/>
                <w:color w:val="auto"/>
              </w:rPr>
            </w:pPr>
            <w:r>
              <w:rPr>
                <w:rFonts w:ascii="Arial" w:cs="Arial" w:eastAsia="Arial" w:hAnsi="Arial"/>
                <w:sz w:val="18"/>
                <w:szCs w:val="18"/>
                <w:color w:val="auto"/>
              </w:rPr>
              <w:t>Isaac Chetrit</w:t>
            </w:r>
            <w:r>
              <w:rPr>
                <w:rFonts w:ascii="Arial" w:cs="Arial" w:eastAsia="Arial" w:hAnsi="Arial"/>
                <w:sz w:val="29"/>
                <w:szCs w:val="29"/>
                <w:color w:val="auto"/>
                <w:vertAlign w:val="superscript"/>
              </w:rPr>
              <w:t>(4)</w:t>
            </w:r>
          </w:p>
        </w:tc>
        <w:tc>
          <w:tcPr>
            <w:tcW w:w="2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46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Payel Farasat</w:t>
            </w:r>
            <w:r>
              <w:rPr>
                <w:rFonts w:ascii="Arial" w:cs="Arial" w:eastAsia="Arial" w:hAnsi="Arial"/>
                <w:sz w:val="29"/>
                <w:szCs w:val="29"/>
                <w:color w:val="auto"/>
                <w:vertAlign w:val="superscript"/>
              </w:rPr>
              <w:t>(4)</w:t>
            </w:r>
          </w:p>
        </w:tc>
        <w:tc>
          <w:tcPr>
            <w:tcW w:w="2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460" w:type="dxa"/>
            <w:vAlign w:val="bottom"/>
            <w:gridSpan w:val="3"/>
          </w:tcPr>
          <w:p>
            <w:pPr>
              <w:spacing w:after="0" w:line="256" w:lineRule="exact"/>
              <w:rPr>
                <w:sz w:val="20"/>
                <w:szCs w:val="20"/>
                <w:color w:val="auto"/>
              </w:rPr>
            </w:pPr>
            <w:r>
              <w:rPr>
                <w:rFonts w:ascii="Arial" w:cs="Arial" w:eastAsia="Arial" w:hAnsi="Arial"/>
                <w:sz w:val="18"/>
                <w:szCs w:val="18"/>
                <w:color w:val="auto"/>
              </w:rPr>
              <w:t>Christopher Schroeder</w:t>
            </w:r>
            <w:r>
              <w:rPr>
                <w:rFonts w:ascii="Arial" w:cs="Arial" w:eastAsia="Arial" w:hAnsi="Arial"/>
                <w:sz w:val="29"/>
                <w:szCs w:val="29"/>
                <w:color w:val="auto"/>
                <w:vertAlign w:val="superscript"/>
              </w:rPr>
              <w:t>(4)</w:t>
            </w:r>
          </w:p>
        </w:tc>
        <w:tc>
          <w:tcPr>
            <w:tcW w:w="2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46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Hans H. Hertell</w:t>
            </w:r>
            <w:r>
              <w:rPr>
                <w:rFonts w:ascii="Arial" w:cs="Arial" w:eastAsia="Arial" w:hAnsi="Arial"/>
                <w:sz w:val="29"/>
                <w:szCs w:val="29"/>
                <w:color w:val="auto"/>
                <w:vertAlign w:val="superscript"/>
              </w:rPr>
              <w:t>(4)</w:t>
            </w:r>
          </w:p>
        </w:tc>
        <w:tc>
          <w:tcPr>
            <w:tcW w:w="2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46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Gene Zolotarev </w:t>
            </w:r>
            <w:r>
              <w:rPr>
                <w:rFonts w:ascii="Arial" w:cs="Arial" w:eastAsia="Arial" w:hAnsi="Arial"/>
                <w:sz w:val="29"/>
                <w:szCs w:val="29"/>
                <w:color w:val="auto"/>
                <w:vertAlign w:val="superscript"/>
              </w:rPr>
              <w:t>(4)</w:t>
            </w:r>
          </w:p>
        </w:tc>
        <w:tc>
          <w:tcPr>
            <w:tcW w:w="2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46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Michael Penrod</w:t>
            </w:r>
            <w:r>
              <w:rPr>
                <w:rFonts w:ascii="Arial" w:cs="Arial" w:eastAsia="Arial" w:hAnsi="Arial"/>
                <w:sz w:val="29"/>
                <w:szCs w:val="29"/>
                <w:color w:val="auto"/>
                <w:vertAlign w:val="superscript"/>
              </w:rPr>
              <w:t>(4)</w:t>
            </w:r>
          </w:p>
        </w:tc>
        <w:tc>
          <w:tcPr>
            <w:tcW w:w="2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460" w:type="dxa"/>
            <w:vAlign w:val="bottom"/>
            <w:gridSpan w:val="3"/>
          </w:tcPr>
          <w:p>
            <w:pPr>
              <w:ind w:left="60"/>
              <w:spacing w:after="0" w:line="256" w:lineRule="exact"/>
              <w:rPr>
                <w:sz w:val="20"/>
                <w:szCs w:val="20"/>
                <w:color w:val="auto"/>
              </w:rPr>
            </w:pPr>
            <w:r>
              <w:rPr>
                <w:rFonts w:ascii="Arial" w:cs="Arial" w:eastAsia="Arial" w:hAnsi="Arial"/>
                <w:sz w:val="18"/>
                <w:szCs w:val="18"/>
                <w:color w:val="auto"/>
              </w:rPr>
              <w:t>Peter Plaut</w:t>
            </w:r>
            <w:r>
              <w:rPr>
                <w:rFonts w:ascii="Arial" w:cs="Arial" w:eastAsia="Arial" w:hAnsi="Arial"/>
                <w:sz w:val="29"/>
                <w:szCs w:val="29"/>
                <w:color w:val="auto"/>
                <w:vertAlign w:val="superscript"/>
              </w:rPr>
              <w:t>(4)</w:t>
            </w:r>
          </w:p>
        </w:tc>
        <w:tc>
          <w:tcPr>
            <w:tcW w:w="2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4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4"/>
              </w:rPr>
              <w:t>All executive officers and directors as a group</w:t>
            </w:r>
          </w:p>
        </w:tc>
        <w:tc>
          <w:tcPr>
            <w:tcW w:w="2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0" w:type="dxa"/>
            <w:vAlign w:val="bottom"/>
            <w:shd w:val="clear" w:color="auto" w:fill="CCEEFF"/>
          </w:tcPr>
          <w:p>
            <w:pPr>
              <w:spacing w:after="0"/>
              <w:rPr>
                <w:sz w:val="20"/>
                <w:szCs w:val="20"/>
                <w:color w:val="auto"/>
              </w:rPr>
            </w:pPr>
          </w:p>
        </w:tc>
        <w:tc>
          <w:tcPr>
            <w:tcW w:w="3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(nine individuals)</w:t>
            </w:r>
          </w:p>
        </w:tc>
        <w:tc>
          <w:tcPr>
            <w:tcW w:w="2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8,250,000</w:t>
            </w: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2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9,054,500</w:t>
            </w: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43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320" w:type="dxa"/>
            <w:vAlign w:val="bottom"/>
            <w:gridSpan w:val="2"/>
          </w:tcPr>
          <w:p>
            <w:pPr>
              <w:ind w:left="380"/>
              <w:spacing w:after="0"/>
              <w:rPr>
                <w:sz w:val="20"/>
                <w:szCs w:val="20"/>
                <w:color w:val="auto"/>
              </w:rPr>
            </w:pPr>
            <w:r>
              <w:rPr>
                <w:rFonts w:ascii="Arial" w:cs="Arial" w:eastAsia="Arial" w:hAnsi="Arial"/>
                <w:sz w:val="18"/>
                <w:szCs w:val="18"/>
                <w:color w:val="auto"/>
              </w:rPr>
              <w:t>Less than 1%</w:t>
            </w: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right="20" w:hanging="512"/>
        <w:spacing w:after="0" w:line="258" w:lineRule="auto"/>
        <w:tabs>
          <w:tab w:leader="none" w:pos="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Unless otherwise noted, the business address of each of these individuals is c/o BurTech Acquisition Corp., 1300 Pennsylvania Ave NW, Suite 700, Washington, DC 20004.</w:t>
      </w:r>
    </w:p>
    <w:p>
      <w:pPr>
        <w:spacing w:after="0" w:line="1" w:lineRule="exact"/>
        <w:rPr>
          <w:rFonts w:ascii="Arial" w:cs="Arial" w:eastAsia="Arial" w:hAnsi="Arial"/>
          <w:sz w:val="18"/>
          <w:szCs w:val="18"/>
          <w:color w:val="auto"/>
        </w:rPr>
      </w:pPr>
    </w:p>
    <w:p>
      <w:pPr>
        <w:ind w:left="520" w:right="20" w:hanging="512"/>
        <w:spacing w:after="0" w:line="250" w:lineRule="auto"/>
        <w:tabs>
          <w:tab w:leader="none" w:pos="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BurTech LP LLC, one of our sponsors, is the record holder of the securities reported herein. Shahal Khan and Roman Livson are the managing members of our sponsor. By virtue of this relationship, Messrs. Khan and Livson may be deemed to share beneficial ownership of the securities held of record by our sponsor. Messrs. Khan and Livson disclaim any beneficial ownership except to the extent of their pecuniary interest in such securities.</w:t>
      </w:r>
    </w:p>
    <w:p>
      <w:pPr>
        <w:spacing w:after="0" w:line="1" w:lineRule="exact"/>
        <w:rPr>
          <w:rFonts w:ascii="Arial" w:cs="Arial" w:eastAsia="Arial" w:hAnsi="Arial"/>
          <w:sz w:val="18"/>
          <w:szCs w:val="18"/>
          <w:color w:val="auto"/>
        </w:rPr>
      </w:pPr>
    </w:p>
    <w:p>
      <w:pPr>
        <w:ind w:left="520" w:right="200" w:hanging="512"/>
        <w:spacing w:after="0" w:line="250" w:lineRule="auto"/>
        <w:tabs>
          <w:tab w:leader="none" w:pos="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Interests shown consist solely of founder shares, classified as shares of Class B common stock, as well as placement shares after this offering (assumes the underwriters’ over-allotment option has not been exercised, and an aggregate of 1,237,500 founder shares have been forfeited by our sponsor). Founder shares are convertible into shares of Class A common stock on a one-for-one basis, subject to adjustment, as described in the section of this prospectus entitled “Description of Securities.”</w:t>
      </w:r>
    </w:p>
    <w:p>
      <w:pPr>
        <w:spacing w:after="0" w:line="1" w:lineRule="exact"/>
        <w:rPr>
          <w:rFonts w:ascii="Arial" w:cs="Arial" w:eastAsia="Arial" w:hAnsi="Arial"/>
          <w:sz w:val="18"/>
          <w:szCs w:val="18"/>
          <w:color w:val="auto"/>
        </w:rPr>
      </w:pPr>
    </w:p>
    <w:p>
      <w:pPr>
        <w:ind w:left="520" w:right="160" w:hanging="512"/>
        <w:spacing w:after="0" w:line="323" w:lineRule="auto"/>
        <w:tabs>
          <w:tab w:leader="none" w:pos="5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Each of our officers and directors is, directly or indirectly, a member of our sponsor or has direct or indirect economic interests in our sponsor, and each of them disclaims any beneficial ownership of any shares held by our sponsor except to the extent of his or her ultimate pecuniary interest.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064" w:gutter="0" w:footer="0" w:header="0"/>
        </w:sectPr>
      </w:pPr>
    </w:p>
    <w:bookmarkStart w:id="138" w:name="page139"/>
    <w:bookmarkEnd w:id="138"/>
    <w:p>
      <w:pPr>
        <w:ind w:firstLine="324"/>
        <w:spacing w:after="0" w:line="287" w:lineRule="auto"/>
        <w:rPr>
          <w:sz w:val="20"/>
          <w:szCs w:val="20"/>
          <w:color w:val="auto"/>
        </w:rPr>
      </w:pPr>
      <w:r>
        <w:rPr>
          <w:rFonts w:ascii="Arial" w:cs="Arial" w:eastAsia="Arial" w:hAnsi="Arial"/>
          <w:sz w:val="16"/>
          <w:szCs w:val="16"/>
          <w:color w:val="auto"/>
        </w:rPr>
        <w:t>After giving effect to the issuance of founder shares and the sale of the placement units, our sponsor will own approximately 26.6% of the outstanding common stock following the offering (including the placement shares to be issued to the sponsor, excluding representative shares and assuming they do not purchase any units in this offering or the public market). Because of this ownership block, our initial stockholders and the holders of placement shares will have significant influence over the outcome of all matters requiring approval by our stockholders, including the election of directors, amendments to our amended and restated certificate of incorporation and approval of significant corporate transactions other than approval of our initial business combination. If we increase or decrease the size of the offering, we will effect a stock dividend or a share contribution back to capital, or other appropriate mechanism, as applicable, with respect to our Class B common stock immediately prior to the consummation of the offering in such amount as to maintain the ownership of our initial stockholders, at 24.81% of the issued and outstanding shares of our common stock (excluding the shares of Class A common stock to be issued to the representative or its designees upon consummation of this offering, the placement units and securities underlying the placement units and assuming the initial stockholders do not purchase units in this offering) upon the consummation of this offering. The initial stockholders have agreed (A) to vote any shares owned by them in favor of any proposed initial business combination and (B) not to redeem any shares in connection with a stockholder vote to approve a proposed initial business combination.</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sponsor, executive officers and directors are deemed to be our “promoters” as such term is defined under the federal securities laws.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Transfers of Founder Shares and Placement Units</w:t>
      </w:r>
    </w:p>
    <w:p>
      <w:pPr>
        <w:spacing w:after="0" w:line="229" w:lineRule="exact"/>
        <w:rPr>
          <w:sz w:val="20"/>
          <w:szCs w:val="20"/>
          <w:color w:val="auto"/>
        </w:rPr>
      </w:pPr>
    </w:p>
    <w:p>
      <w:pPr>
        <w:ind w:right="60" w:firstLine="324"/>
        <w:spacing w:after="0" w:line="285" w:lineRule="auto"/>
        <w:rPr>
          <w:sz w:val="20"/>
          <w:szCs w:val="20"/>
          <w:color w:val="auto"/>
        </w:rPr>
      </w:pPr>
      <w:r>
        <w:rPr>
          <w:rFonts w:ascii="Arial" w:cs="Arial" w:eastAsia="Arial" w:hAnsi="Arial"/>
          <w:sz w:val="16"/>
          <w:szCs w:val="16"/>
          <w:color w:val="auto"/>
        </w:rPr>
        <w:t>The founder shares, and placement units, and securities contained therein, are each subject to transfer restrictions pursuant to lock-up provisions in a letter agreement with us to be entered into by our sponsor, officers and directors. Those lock-up provisions provide that such securities are not transferable or salable (i) in the case of the founder shares (or shares of common stock issuable upon conversion thereof), until the earlier to occur of: (A) six months after the completion of our initial business combination and (B) subsequent to our initial business combination, if the reported last sale price of our Class A common stock equals or exceeds $12.00 per share (as adjusted for stock splits, stock dividends, reorganizations, recapitalizations and the like) for any 20 trading days within any 30-trading day period commencing after our initial business combination. In the case of the placement units, including the component securities therein, until 30 days after the completion of our initial business combination, except in each case (a) to our officers or directors, any affiliates or family members of any of our officers or directors, any members of our sponsor, or any affiliates of our sponsor, (b) in the case of an individual, by gift to a member of one of the members of the individual’s immediate family or to a trust, the beneficiary of which is a member of one of the individual’s immediate family, an affiliate of such person or to a charitable organization; (c) in the case of an individual, by virtue of laws of descent and distribution upon death of any of our officers, our directors, the initial stockholders or members of our sponsor; (d) in the case of an individual, pursuant to a qualified domestic relations order; (e) by private sales or transfers made in connection with the consummation of an initial business combination at prices no greater than the price at which the securities were originally purchased; (f) in the event of our liquidation prior to the completion of our initial business combination; (g) by virtue of the laws of Delaware or our sponsor’s limited liability company agreement upon dissolution of our sponsor; or (h) in the event of our liquidation, merger, capital stock exchange, reorganization or other similar transaction which results in all of our stockholders having the right to exchange their shares of common stock for cash, securities or other property subsequent to our completion of our initial business combination; provided, however, that in the case of clauses (a) through (e) or (g) these permitted transferees must enter into a written agreement agreeing to be bound by these transfer restrictions and the other restrictions contained in the letter agreements and by the same agreements entered into by our sponsor with respect to such securities (including provisions relating to voting, the trust account and liquidating distributions described elsewhere in this prospectus).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holders of the founder shares, the representative shares, the placement units (including securities contained therein) and units (including securities contained therein) that may be issued upon conversion of working capital loans, and any shares of Class A common stock issuable upon the exercise of the placement warrants and any shares of Class A common stock, warrants (and underlying Class A common stock) that may be issued upon conversion of the units issued as part of the working capital loans and Class A common stock issuable upon conversion of the founder shares, will be entitled to registration rights pursuant to a registration rights agreement to be signed prior to or on the effective date of this offering, requiring us to register such securities for resale (in the case of the founder shares, only after conversion to our Class A common stock). The holders of the majority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and rights to require us to register for resale such securities pursuant to Rule 415 under the Securities Act. The registration rights agreement does not contain liquidated damages or other cash settlement provisions resulting from delays in registering our securities. We will bear the expenses incurred in connection with the filing of any such registration statements.</w:t>
      </w: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140" w:name="page141"/>
    <w:bookmarkEnd w:id="140"/>
    <w:p>
      <w:pPr>
        <w:jc w:val="center"/>
        <w:ind w:right="-3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On May 21, 2021, our sponsor purchased 8,625,000 founder shares for an aggregate purchase price of $25,000. On September 24, 2021, the Company issued 862,500 shares of Class B common stock in connection with a 1.1 stock split, resulting in an aggregate of 9,487,500 shares of Class B common stock outstanding, or approximately $0.003 per share.. The number of founder shares issued was determined based on the expectation that such founder shares would represent 24.81% of the outstanding shares upon completion of this offering (excluding the shares of Class A common stock to be issued to the representative or its designees upon consummation of this offering, the placement units and securities underlying the placement units and assuming the initial stockholders do not purchase units in this offering). If we increase or decrease the size of the offering we will effect a stock dividend or a share contribution back to capital or other appropriate mechanism, as applicable, with respect to our Class B common stock immediately prior to the consummation of the offering in such amount as to maintain the ownership of our initial stockholders, at 24.81% of the issued and outstanding shares of our common stock (excluding the shares of Class A common stock to be issued to the representative or its designees upon consummation of this offering, the placement units and securities underlying the placement units and assuming the initial stockholders do not purchase units in this offering) upon the consummation of this offering. Up to 1,237,500 founder shares held by our sponsor are subject to forfeiture by our sponsor depending on the extent to which the underwriters’ over-allotment option is exercised. The founder shares (including the Class A common stock issuable upon exercise thereof) may not, subject to certain limited exceptions, be transferred, assigned or sold by the holder.</w:t>
      </w:r>
    </w:p>
    <w:p>
      <w:pPr>
        <w:spacing w:after="0" w:line="174" w:lineRule="exact"/>
        <w:rPr>
          <w:sz w:val="20"/>
          <w:szCs w:val="20"/>
          <w:color w:val="auto"/>
        </w:rPr>
      </w:pPr>
    </w:p>
    <w:p>
      <w:pPr>
        <w:ind w:right="660" w:firstLine="324"/>
        <w:spacing w:after="0" w:line="291" w:lineRule="auto"/>
        <w:rPr>
          <w:sz w:val="20"/>
          <w:szCs w:val="20"/>
          <w:color w:val="auto"/>
        </w:rPr>
      </w:pPr>
      <w:r>
        <w:rPr>
          <w:rFonts w:ascii="Arial" w:cs="Arial" w:eastAsia="Arial" w:hAnsi="Arial"/>
          <w:sz w:val="16"/>
          <w:szCs w:val="16"/>
          <w:color w:val="auto"/>
        </w:rPr>
        <w:t>Our sponsor has agreed to purchase an aggregate of 804,500 placement units at a price of $10.00 per unit for an aggregate purchase price of $8,045,000. If the over-allotment option is exercised in full, the amount of placement units sold will be 898,250 for an aggregate purchase price of</w:t>
      </w:r>
    </w:p>
    <w:p>
      <w:pPr>
        <w:ind w:right="200"/>
        <w:spacing w:after="0" w:line="323" w:lineRule="auto"/>
        <w:rPr>
          <w:sz w:val="20"/>
          <w:szCs w:val="20"/>
          <w:color w:val="auto"/>
        </w:rPr>
      </w:pPr>
      <w:r>
        <w:rPr>
          <w:rFonts w:ascii="Arial" w:cs="Arial" w:eastAsia="Arial" w:hAnsi="Arial"/>
          <w:sz w:val="16"/>
          <w:szCs w:val="16"/>
          <w:color w:val="auto"/>
        </w:rPr>
        <w:t>$8,982,500. There will be no redemption rights or liquidating distributions from the trust account with respect to the founder shares, placement shares or placement warrants, which will expire worthless if we do not consummate a business combination within 15 months from the closing of this offering.</w:t>
      </w:r>
    </w:p>
    <w:p>
      <w:pPr>
        <w:spacing w:after="0" w:line="13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No compensation of any kind, including any finder’s fee, reimbursement, consulting fee or monies in respect of any payment of a loan, will be paid by us to our sponsor, officers or directors or any affiliate of our sponsor, officers or directors prior to, or in connection with any services rendered in order to effectuate, the consummation of an initial business combination (regardless of the type of transaction that it is).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166"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Prior to the closing of this offering, our sponsor has agreed to loan us up to $300,000 to be used for a portion of the expenses of this offering. As of September 30, 2021 and May 21, 2021, the Company had borrowed $100,091 and $100 under the promissory note. These loans are non-interest bearing, unsecured and are due at the earlier of December 31, 2021 or the closing of this offering. The loan will be repaid upon the closing of this offering out of the estimated $645,000 of offering proceeds that has been allocated to the payment of offering expenses (other than underwriting commissions). The value of our sponsor’s interest in this transaction corresponds to the principal amount outstanding under any such loan.</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41" w:name="page142"/>
    <w:bookmarkEnd w:id="141"/>
    <w:p>
      <w:pPr>
        <w:ind w:right="100" w:firstLine="324"/>
        <w:spacing w:after="0" w:line="257" w:lineRule="auto"/>
        <w:rPr>
          <w:sz w:val="20"/>
          <w:szCs w:val="20"/>
          <w:color w:val="auto"/>
        </w:rPr>
      </w:pPr>
      <w:r>
        <w:rPr>
          <w:rFonts w:ascii="Arial" w:cs="Arial" w:eastAsia="Arial" w:hAnsi="Arial"/>
          <w:sz w:val="18"/>
          <w:szCs w:val="18"/>
          <w:color w:val="auto"/>
        </w:rPr>
        <w:t>In addition, in order to finance transaction costs in connection with an intended initial business combination, our sponsor or an affiliate of our sponsor or certain of our officers and directors may, but are not obligated to, loan us funds on a non-interest bearing basis as may be required. If we complete an initial business combination, we would repay such loaned amounts. In the event that the initial business combination does not close, we may use a portion of the working capital held outside the trust account to repay such loaned amounts but no proceeds from our trust account would be used for such repayment.</w:t>
      </w:r>
    </w:p>
    <w:p>
      <w:pPr>
        <w:spacing w:after="0" w:line="188"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Up to $1,500,000 of the loans made by our sponsor, our officers and directors, or our or their affiliates to us prior to or in connection with our initial business combination may be convertible into units, at a price of $10.00 per unit at the option of the lender, upon consummation of our initial business combination. The units would be identical to the placement units. Other than as described above, the terms of such loans by our sponsor, our officers and directors or their affiliates, if any, have not been determined and no written agreements exist with respect to such loans.</w:t>
      </w:r>
    </w:p>
    <w:p>
      <w:pPr>
        <w:spacing w:after="0" w:line="17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70"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After our initial business combination, members of our management team who remain with us may be paid consulting, management or other fees from the combined company with any and all amounts being fully disclosed to our stockholders, to the extent then known, in the tender offer or proxy solicitation materials, as applicable, furnished to our stockholders. It is unlikely the amount of such compensation will be known at the time of distribution of such tender offer materials or at the time of a stockholder meeting held to consider our initial business combination, as applicable, as it will be up to the directors of the post-combination business to determine executive and director compensation.</w:t>
      </w:r>
    </w:p>
    <w:p>
      <w:pPr>
        <w:spacing w:after="0" w:line="176"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The holders of the founder shares, the representative shares, placement units, and units that may be issued upon conversion of working capital loans (and in each case holders of their component securities, as applicable) will have registration rights to require us to register a sale of any of our securities held by them pursuant to a registration rights agreement to be signed prior to or on the effective date of this offering. These holders will be entitled to make up to three demands, excluding short form registration demands, that we register such securities for sale under the Securities Act. In addition, these holders will have “piggy-back” registration rights to include their securities in other registration statements filed by us.</w:t>
      </w:r>
    </w:p>
    <w:p>
      <w:pPr>
        <w:spacing w:after="0" w:line="176"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We will enter into agreements with our officers and directors to provide contractual indemnification in addition to the indemnification provided for in our amended and restated certificate of incorporation. Our bylaws also will permit us to secure insurance on behalf of any officer, director or employee for any liability arising out of his or her actions, regardless of whether Delaware law would permit such indemnification. We will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Policy</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have not yet adopted a formal policy for the review, approval or ratification of related party transactions. Accordingly, the transactions discussed above were not reviewed, approved or ratified in accordance with any such policy.</w:t>
      </w:r>
    </w:p>
    <w:p>
      <w:pPr>
        <w:spacing w:after="0" w:line="170"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Prior to the consummation of this offering, we will adopt a code of ethics requiring us to avoid, wherever possible, all conflicts of interests, except under guidelines or resolutions approved by our board of directors (or the appropriate committee of our board) or as disclosed in our public filings with the SEC. Under our code of ethics, conflict of interest situations will include any financial transaction, arrangement or relationship (including any indebtedness or guarantee of indebtedness) involving the company. A form of the code of ethics that we plan to adopt prior to the consummation of this offering is filed as an exhibit to the registration statement of which this prospectus is a part.</w:t>
      </w:r>
    </w:p>
    <w:p>
      <w:pPr>
        <w:spacing w:after="0" w:line="17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addition, our audit committee, pursuant to a written charter that we will adopt prior to the consummation of this offering, will be responsible for reviewing and approving related party transactions to the extent that we enter into such transactions. An affirmative vote of a majority of the members of the audit committee present at a meeting at which a quorum is present will be required in order to approve a related party transaction. A majority of the members of the entire audit committee will constitute a quorum. Without a meeting, the unanimous written consent of all of the members of the audit committee will be required to approve a related party transaction. A form of the audit committee charter that we plan to adopt prior to the consummation of this offering is filed as an exhibit to the registration statement of which this prospectus is a part. We also require each of our directors and executive officers to complete a directors’ and officers’ questionnaire that elicits information about related party transactions.</w:t>
      </w:r>
    </w:p>
    <w:p>
      <w:pPr>
        <w:spacing w:after="0" w:line="17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42" w:name="page143"/>
    <w:bookmarkEnd w:id="142"/>
    <w:p>
      <w:pPr>
        <w:ind w:firstLine="324"/>
        <w:spacing w:after="0" w:line="290" w:lineRule="auto"/>
        <w:rPr>
          <w:sz w:val="20"/>
          <w:szCs w:val="20"/>
          <w:color w:val="auto"/>
        </w:rPr>
      </w:pPr>
      <w:r>
        <w:rPr>
          <w:rFonts w:ascii="Arial" w:cs="Arial" w:eastAsia="Arial" w:hAnsi="Arial"/>
          <w:sz w:val="16"/>
          <w:szCs w:val="16"/>
          <w:color w:val="auto"/>
        </w:rPr>
        <w:t>To further minimize conflicts of interest, we have agreed not to consummate an initial business combination with an entity that is affiliated with any of our sponsor, officers or directors unless we, or a committee of independent directors, have obtained an opinion from an independent investment banking firm or another independent entity that commonly renders valuation opinions that our initial business combination is fair to our company from a financial point of view. Furthermore, no finder’s fees, reimbursements, consulting fee, monies in respect of any payment of a loan or other compensation will be paid by us to our sponsor, officers or directors or any affiliate of our sponsor, officers or directors prior to, for services rendered to us prior to, or in connection with any services rendered in order to effectuate, the consummation of our initial business combination (regardless of the type of transaction that it is). However, the following payments will be made to our sponsor, officers or directors, or our or their affiliates, none of which will be made from the proceeds of this offering held in the trust account prior to the completion of our initial business combination:</w:t>
      </w:r>
    </w:p>
    <w:p>
      <w:pPr>
        <w:spacing w:after="0" w:line="165"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Repayment of up to an aggregate of $300,000 in loans made to us by our sponsor to cover offering-related and organizational expenses;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Reimbursement for any out-of-pocket expenses related to identifying, investigating and completing an initial business combination; and</w:t>
      </w:r>
    </w:p>
    <w:p>
      <w:pPr>
        <w:spacing w:after="0" w:line="236" w:lineRule="exact"/>
        <w:rPr>
          <w:rFonts w:ascii="Arial" w:cs="Arial" w:eastAsia="Arial" w:hAnsi="Arial"/>
          <w:sz w:val="17"/>
          <w:szCs w:val="17"/>
          <w:color w:val="auto"/>
        </w:rPr>
      </w:pPr>
    </w:p>
    <w:p>
      <w:pPr>
        <w:ind w:left="660" w:hanging="328"/>
        <w:spacing w:after="0" w:line="254"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Repayment of non-interest bearing loans which may be made by our sponsor or an affiliate of our sponsor or certain of our officers and directors to finance transaction costs in connection with an intended initial business combination and repayment of non-interest bearing loans which may be made by our sponsor or its affiliates to extend our time period for consummating a business combination, the terms of which (other than as described above) have not been determined nor have any written agreements been executed with respect thereto. Up to $1,500,000 of the loans made by our sponsor, our officers and directors, or our or their affiliates to us prior to or in connection with our initial business combination may be convertible into units, at a price of $10.00 per unit at the option of the lender, upon consummation of our initial business combination. The units would be identical to the placement units.</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audit committee will review on a quarterly basis all payments that were made to our sponsor, officers, directors or our or their affiliates.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3" w:name="page144"/>
    <w:bookmarkEnd w:id="143"/>
    <w:p>
      <w:pPr>
        <w:jc w:val="center"/>
        <w:ind w:right="-59"/>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Pursuant to our amended and restated certificate of incorporation, our authorized capital stock consists of 280,000,000 shares of Class A common stock, $0.0001 par value per share, 20,000,000 shares of Class B common stock, $0.0001 par value per share, and 1,000,000 shares of undesignated preferred stock, $0.0001 par value per share. The following description summarizes the material terms of our capital stock. Because it is only a summary, it may not contain all the information that is important to you.</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229" w:lineRule="exact"/>
        <w:rPr>
          <w:sz w:val="20"/>
          <w:szCs w:val="20"/>
          <w:color w:val="auto"/>
        </w:rPr>
      </w:pPr>
    </w:p>
    <w:p>
      <w:pPr>
        <w:jc w:val="both"/>
        <w:ind w:right="140" w:firstLine="324"/>
        <w:spacing w:after="0" w:line="311" w:lineRule="auto"/>
        <w:rPr>
          <w:sz w:val="20"/>
          <w:szCs w:val="20"/>
          <w:color w:val="auto"/>
        </w:rPr>
      </w:pPr>
      <w:r>
        <w:rPr>
          <w:rFonts w:ascii="Arial" w:cs="Arial" w:eastAsia="Arial" w:hAnsi="Arial"/>
          <w:sz w:val="16"/>
          <w:szCs w:val="16"/>
          <w:color w:val="auto"/>
        </w:rPr>
        <w:t>Each unit has an offering price of $10.00 and consists of one share of Class A common stock and one redeemable warrant. Each warrant entitles the holder to purchase one share of common stock. Pursuant to the warrant agreement, a warrant holder may exercise his, her or its warrants only for a whole number of shares of common stock. No fractional warrants will be issued upon separation of the units and only whole warrants will trade.</w:t>
      </w:r>
    </w:p>
    <w:p>
      <w:pPr>
        <w:spacing w:after="0" w:line="152" w:lineRule="exact"/>
        <w:rPr>
          <w:sz w:val="20"/>
          <w:szCs w:val="20"/>
          <w:color w:val="auto"/>
        </w:rPr>
      </w:pPr>
    </w:p>
    <w:p>
      <w:pPr>
        <w:ind w:right="60" w:firstLine="324"/>
        <w:spacing w:after="0" w:line="267" w:lineRule="auto"/>
        <w:rPr>
          <w:sz w:val="20"/>
          <w:szCs w:val="20"/>
          <w:color w:val="auto"/>
        </w:rPr>
      </w:pPr>
      <w:r>
        <w:rPr>
          <w:rFonts w:ascii="Arial" w:cs="Arial" w:eastAsia="Arial" w:hAnsi="Arial"/>
          <w:sz w:val="16"/>
          <w:szCs w:val="16"/>
          <w:color w:val="auto"/>
        </w:rPr>
        <w:t>We expect the Class A common stock and warrants comprising the units will begin separate trading on the 52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day following the date of this prospectus unless the representative informs us of its decision to allow earlier separate trading, subject to our having filed the Current Report on Form 8-K described below and having issued a press release announcing when such separate trading will begin. Once the shares of Class A common stock and warrants commence separate trading, holders will have the option to continue to hold units or separate their units into the component securities. Holders will need to have their brokers contact our transfer agent in order to separate the units into shares of Class A common stock and warrants.</w:t>
      </w:r>
    </w:p>
    <w:p>
      <w:pPr>
        <w:spacing w:after="0" w:line="181"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color w:val="auto"/>
        </w:rPr>
        <w:t>In no event will the Class A common stock and warrants be traded separately until we have filed with the SEC a Current Report on Form 8-K which includes an audited balance sheet reflecting our receipt of the gross proceeds at the closing of this offering. We will file a Current Report on Form 8-K which includes this audited balance sheet upon the completion of this offering, which is anticipated to take place four business days after the date of this prospectus.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Placement Units</w:t>
      </w:r>
    </w:p>
    <w:p>
      <w:pPr>
        <w:spacing w:after="0" w:line="229"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The placement units are identical to the units sold in this offering except that the placement units and their component securities will not be transferable, assignable or salable until 30 days after the consummation of our initial business combination except to permitted transferees, and will be entitled to registration rights.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Upon the closing of this offering, 34,429,500 shares of our common stock will be outstanding (assuming no exercise of the underwriters’ over-allotment option and the corresponding forfeiture of 1,237,500 founder shares by our sponsor), consisting of:</w:t>
      </w:r>
    </w:p>
    <w:p>
      <w:pPr>
        <w:spacing w:after="0" w:line="170"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25,804,500 shares of our Class A common stock underlying the units being offered in this offering and the private placement;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375,000 shares of Class A common stock issued to the Representative;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8,250,000 shares of Class B common stock held by our initial stockholders.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44" w:name="page145"/>
    <w:bookmarkEnd w:id="144"/>
    <w:p>
      <w:pPr>
        <w:ind w:left="340"/>
        <w:spacing w:after="0"/>
        <w:rPr>
          <w:sz w:val="20"/>
          <w:szCs w:val="20"/>
          <w:color w:val="auto"/>
        </w:rPr>
      </w:pPr>
      <w:r>
        <w:rPr>
          <w:rFonts w:ascii="Arial" w:cs="Arial" w:eastAsia="Arial" w:hAnsi="Arial"/>
          <w:sz w:val="17"/>
          <w:szCs w:val="17"/>
          <w:color w:val="auto"/>
        </w:rPr>
        <w:t>Our sponsor has agreed to purchase an aggregate of 804,500 placement units at a price of $10.00 per unit, for an aggregate purchase price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$8,045,000. The initial stockholders will hold an aggregate of approximately 26.6% of the issued and outstanding common stock following the offering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expiration of the underwriters’ over-allotment option (including the placement shares to be issued to the sponsor, excluding representative shares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assuming they do not purchase any units in this offering or the public market). If we increase or decrease the size of the offering we will effect a stock</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dividend or a share contribution back to capital or other appropriate mechanism, as applicable, with respect to our Class B common stock immediately prior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consummation of the offering in such amount as to maintain the ownership of our initial stockholders at 24.81% of the issued and outstanding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our common stock (excluding the shares of Class A common stock to be issued to the representative or its designees upon consummation of this offering,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placement units and underlying securities of the foregoing and assuming they do not purchase any units in this offering) upon the consummation of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offering.</w:t>
      </w:r>
    </w:p>
    <w:p>
      <w:pPr>
        <w:spacing w:after="0" w:line="21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Common stockholders of record are entitled to one vote for each share held on all matters to be voted on by stockholders. Holders of the Class A common stock and holders of the Class B common stock will vote together as a single class on all matters submitted to a vote of our stockholders, except as required by law. Unless specified in our amended and restated certificate of incorporation or bylaws, or as required by applicable provisions of the DGCL or applicable stock exchange rules, the affirmative vote of a majority of our shares of common stock that are voted is required to approve any such matter voted on by our stockholders. Our board of directors will be divided into two classes, each of which will generally serve for a term of two years with only one class of directors being elected in each year. There is no cumulative voting with respect to the election of directors, with the result that the holders of more than 50% of the shares voted for the election of directors can elect all of the directors. Our stockholders are entitled to receive ratable dividends when, as and if declared by the board of directors out of funds legally available therefor.</w:t>
      </w:r>
    </w:p>
    <w:p>
      <w:pPr>
        <w:spacing w:after="0" w:line="178"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Because our amended and restated certificate of incorporation authorizes the issuance of up to 280,000,000 shares of Class A common stock, if we were to enter into an initial business combination, we may (depending on the terms of such an initial business combination) be required to increase the number of shares of Class A common stock which we are authorized to issue at the same time as our stockholders vote on the initial business combination to the extent we seek stockholder approval in connection with our initial business combination.</w:t>
      </w:r>
    </w:p>
    <w:p>
      <w:pPr>
        <w:spacing w:after="0" w:line="17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accordance with Nasdaq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5" w:name="page146"/>
    <w:bookmarkEnd w:id="145"/>
    <w:p>
      <w:pPr>
        <w:ind w:firstLine="324"/>
        <w:spacing w:after="0" w:line="283" w:lineRule="auto"/>
        <w:rPr>
          <w:sz w:val="20"/>
          <w:szCs w:val="20"/>
          <w:color w:val="auto"/>
        </w:rPr>
      </w:pPr>
      <w:r>
        <w:rPr>
          <w:rFonts w:ascii="Arial" w:cs="Arial" w:eastAsia="Arial" w:hAnsi="Arial"/>
          <w:sz w:val="16"/>
          <w:szCs w:val="16"/>
          <w:color w:val="auto"/>
        </w:rPr>
        <w:t>We will provide our stockholders with the opportunity to redeem all or a portion of their public shares upon the completion of our initial business combination at a per-share price, payable in cash, equal to the aggregate amount then on deposit in the trust account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described herein. The amount in the trust account is initially anticipated to be approximately $10.15 per public share. The per-share amount we will distribute to investors who properly redeem their shares will not be reduced by the deferred underwriting commissions we will pay to the underwriters. Our sponsor, officers and directors will enter into a letter agreement with us, pursuant to which they will agree to waive their redemption rights with respect to any founder shares and placement shares and any public shares held by them in connection with the completion of our initial business combination. Unlike many blank check companies that hold stockholder votes and conduct proxy solicitations in conjunction with their initial business combinations and provide for related redemptions of public shares for cash upon completion of such initial business combinations even when a vote is not required by applicable law or stock exchange requirements, if a stockholder vote is not required by law and we do not decide to hold a stockholder vote for business or other legal reasons, we will, pursuant to our amended and restated certificate of incorporation, conduct the redemptions pursuant to the tender offer rules of the SEC, and file tender offer documents with the SEC prior to completing our initial business combination. Our amended and restated certificate of incorporation will require these tender offer documents to contain substantially the same financial and other information about the initial business combination and the redemption rights as is required under the SEC’s proxy rules. If, however, a stockholder approval of the transaction is required by applicable law or stock exchange requirements, or we decide to obtain stockholder approval for business or other legal reasons, we will, like many blank check companies, offer to redeem shares in conjunction with a proxy solicitation pursuant to the proxy rules and not pursuant to the tender offer rules. If we seek stockholder approval, we will complete our initial business combination only if a majority of the outstanding shares of common stock voted are voted in favor of the initial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 The underwriters will have the same redemption rights as a public stockholder with respect to any public shares it acquires. The representative has informed us that it has no current commitments, plans or intentions to acquire any public shares for its own account; however, if they do acquire public shares, it will do so in the ordinary course of business or in the types of transaction described in the first paragraph under “Proposed Business — Effecting our Initial Business Combination — Permitted purchases of our securities.” The underwriters will not make any such purchases when in possession of any material nonpublic information not disclosed to the seller, during a restricted period under Regulation M under the Exchange Act, in transactions that would violate Section 9(a)(2) or Rule 10(b)-5 under the Exchange Act, or if prohibited by applicable state securities laws or broker-dealer regulations. To the extent our initial stockholders or purchasers of placement units transfer any of these securities to certain permitted transferees, such permitted transferees will agree, as a condition to such transfer, to waive these same redemption rights. Also, our sponsor has committed to purchase 804,500 placement units (or up to 898,250 placement units if the over-allotment option is exercised in full) at the price of $10.00 per unit in a private placement that will occur simultaneously with the completion of this offering. If we submit our initial business combination to our public stockholders for a vote, our sponsor, the other initial stockholders, our officers and our directors have agreed to vote their respective founder shares, placement shares and any public shares held by them in favor of our initial business combination.</w:t>
      </w:r>
    </w:p>
    <w:p>
      <w:pPr>
        <w:spacing w:after="0" w:line="187"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participation of our sponsor, officers, directors or their affiliates in privately-negotiated transactions (as described in this prospectus), if any, could result in the approval of our initial business combination even if a majority of our public stockholders vote, or indicate their intention to vote, against such business combination. For purposes of seeking approval of the majority of our outstanding shares of common stock voted, non-votes will have no effect on the approval of our initial business combination once a quorum is obtained. We intend to give approximately 30 days (but not less than 10 days nor more than 60 days) prior written notice of any such meeting, if required, at which a vote shall be taken to approve our initial business combination. These quorum and voting thresholds, and the voting agreements of our initial stockholders, may make it more likely that we will consummate our initial business combination.</w:t>
      </w:r>
    </w:p>
    <w:p>
      <w:pPr>
        <w:spacing w:after="0" w:line="19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redeeming its shares with respect to more than an aggregate of 15% of the shares of common stock sold in this offering, which we refer to as the Excess Shares. However, we would not be restricting our stockholders’ ability to vote all of their shares (including Excess Shares) for or against our initial business combination. Our stockholders’ inability to redeem the Excess Shares will reduce their influence over our ability to complete our initial business combination, and such stockholders could suffer a material loss in their investment if they sell such Excess Shares on the open market. Additionally, such stockholders will not receive redemption distributions with respect to the Excess Shares if we complete the initial business combination. And, as a result, such stockholders will continue to hold that number of shares exceeding 15% and, in order to dispose such shares would be required to sell their stock in open market transactions, potentially at a loss.</w:t>
      </w:r>
    </w:p>
    <w:p>
      <w:pPr>
        <w:spacing w:after="0" w:line="18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If we seek stockholder approval in connection with our initial business combination, pursuant to the letter agreement our sponsor, officers and directors have agreed to vote any founder shares and placement shares held by them and any public shares they may acquire during or after this offering (including in open market and privately negotiated transactions) in favor of our initial business combination. As a result, in addition to our initial stockholders’ founder shares and placement shares, we would need no additional public shares sold in this offering to be voted in favor of an initial business combination (assuming only the minimum number of shares representing a quorum are voted) in order to have our initial business combination approved (assuming the over-allotment option is not exercised and that the initial stockholders do not purchase any units in this offering or units or shares in the after-market and excluding the representative’s shares). In the event that all shares of our outstanding common stock are voted, we would need 8,160,251 or 32.64%, of the 25,000,000 public shares sold in this offering to be voted in favor of an initial business combination in order to have our initial business combination approved (assuming the over-allotment option is not exercised, that the initial stockholders do not purchase any units in this offering or units or shares in the after-market and excluding the representative’s shares). Additionally, each public stockholder may elect to redeem its public shares irrespective of whether they vote for or against the proposed transaction (subject to the limitation described in the preceding paragraph).</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6" w:name="page147"/>
    <w:bookmarkEnd w:id="146"/>
    <w:p>
      <w:pPr>
        <w:ind w:firstLine="324"/>
        <w:spacing w:after="0" w:line="268" w:lineRule="auto"/>
        <w:rPr>
          <w:sz w:val="20"/>
          <w:szCs w:val="20"/>
          <w:color w:val="auto"/>
        </w:rPr>
      </w:pPr>
      <w:r>
        <w:rPr>
          <w:rFonts w:ascii="Arial" w:cs="Arial" w:eastAsia="Arial" w:hAnsi="Arial"/>
          <w:sz w:val="17"/>
          <w:szCs w:val="17"/>
          <w:color w:val="auto"/>
        </w:rPr>
        <w:t>Pursuant to our amended and restated certificate of incorporation, if we are unable to complete our initial business combination within 15 months from the closing of this offering, we will (i) cease all operations except for the purpose of winding up, (ii) as promptly as reasonably possible but no more than ten business days thereafter subject to lawfully available funds therefor,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the case of clauses (ii) and (iii) above to our obligations under Delaware law to provide for claims of creditors and the requirements of other applicable law. Our sponsor, officers and directors will enter into a letter agreement with us, pursuant to which they will agree to waive their rights to liquidating distributions from the trust account with respect to any founder shares and placement shares held by them if we fail to complete our initial business combination within 15 months from the closing of this offering. However, if our initial stockholders acquire public shares in or after this offering, they will be entitled to liquidating distributions from the trust account with respect to such public shares if we fail to complete our initial business combination within the prescribed time period.</w:t>
      </w:r>
    </w:p>
    <w:p>
      <w:pPr>
        <w:spacing w:after="0" w:line="18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the event of a liquidation, dissolution or winding up of the company after an initial business combination, our stockholders are entitled to share ratably in all assets remaining available for distribution to them after payment of liabilities and after provision is made for each class of stock, if any, having preference over the common stock. Our stockholders have no preemptive or other subscription rights. There are no sinking fund provisions applicable to the common stock, except that we will provide our stockholders with the opportunity to redeem their public shares for cash equal to their pro rata share of the aggregate amount then on deposit in the trust account, upon the completion of our initial business combination, subject to the limitations described herein.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 and Placement Shares</w:t>
      </w:r>
    </w:p>
    <w:p>
      <w:pPr>
        <w:spacing w:after="0" w:line="229" w:lineRule="exact"/>
        <w:rPr>
          <w:sz w:val="20"/>
          <w:szCs w:val="20"/>
          <w:color w:val="auto"/>
        </w:rPr>
      </w:pPr>
    </w:p>
    <w:p>
      <w:pPr>
        <w:ind w:right="60" w:firstLine="324"/>
        <w:spacing w:after="0" w:line="285" w:lineRule="auto"/>
        <w:rPr>
          <w:sz w:val="20"/>
          <w:szCs w:val="20"/>
          <w:color w:val="auto"/>
        </w:rPr>
      </w:pPr>
      <w:r>
        <w:rPr>
          <w:rFonts w:ascii="Arial" w:cs="Arial" w:eastAsia="Arial" w:hAnsi="Arial"/>
          <w:sz w:val="16"/>
          <w:szCs w:val="16"/>
          <w:color w:val="auto"/>
        </w:rPr>
        <w:t>The founder shares and placement shares are identical to the shares of Class A common stock included in the units being sold in this offering, and holders of founder shares and placement shares have the same stockholder rights as public stockholders, except that (i) the founder shares and placement shares are subject to certain transfer restrictions, as described in more detail below, (ii) our sponsor, officers and directors have entered into a letter agreement with us, pursuant to which they have agreed (A) to waive their redemption rights with respect to any founder shares and placement shares and any public shares held by them in connection with the completion of our initial business combination, (B) to waive their redemption rights with respect to their founder shares and placement shares and any public shares in connection with a stockholder vote to approve an amendment to our amended and restated certificate of incorporation (x) to modify the substance or timing of our obligation to allow redemption in connection with our initial business combination or certain amendments to our charter prior thereto or to redeem 100% of our public shares if we do not complete our initial business combination within 15 months from the closing of this offering or (y) with respect to any other provision relating to stockholders’ rights or pre-initial business combination activity and (C) to waive their rights to liquidating distributions from the trust account with respect to any founder shares held by them if we fail to complete our initial business combination within 15 months from the closing of this offering, although they will be entitled to liquidating distributions from the trust account with respect to any public shares they hold if we fail to complete our initial business combination within such time period, (iii) the founder shares are shares of our Class B common stock that will automatically convert into shares of our Class A common stock at the time of the consummation of our initial business combination, on a one-for-one basis, subject to adjustment as described herein, and (iv) are entitled to registration rights. If we submit our initial business combination to our public stockholders for a vote, our sponsor, officers and directors have agreed pursuant to the letter agreement to vote any founder shares and placement shares held by them and any public shares purchased during or after this offering (including in open market and privately negotiated transactions) in favor of our initial business combination. The placement shares will not be transferable, assignable or saleable until 30 days after the consummation of our initial business combination except to permitted transferees.</w:t>
      </w:r>
    </w:p>
    <w:p>
      <w:pPr>
        <w:spacing w:after="0" w:line="171"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The shares of Class B common stock will automatically convert into shares of Class A common stock at the time of the consummation of our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excess of the amounts offered in this prospectus and related to the closing of the initial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24.81% of the sum of the total number of all shares of common stock outstanding upon completion of this offering (excluding the shares of Class A common stock to be issued to the representative or its designees upon consummation of this offering, the placement units and securities underlying the placement units and assuming the initial stockholders do not purchase units in this offering)plus all shares of Class A common stock and equity-linked securities issued or deemed issued in connection with the initial business combination (excluding any shares or equity-linked securities issued, or to be issued, to any seller in the initial business combination, any private placement-equivalent units and their underlying securities issued to our sponsor or its affiliates upon conversion of loans made to us). We cannot determine at this time whether a majority of the holders of our Class B common stock at the time of any future issuance would agree to waive such adjustment to the conversion ratio. They may waive such adjustment due to (but not limited to) the following: (i) closing conditions which are part of the agreement for our initial business combination; (ii) negotiation with Class A stockholders on structuring an initial business combination; or</w:t>
      </w:r>
    </w:p>
    <w:p>
      <w:pPr>
        <w:ind w:right="160" w:firstLine="8"/>
        <w:spacing w:after="0" w:line="269" w:lineRule="auto"/>
        <w:tabs>
          <w:tab w:leader="none" w:pos="315" w:val="left"/>
        </w:tabs>
        <w:numPr>
          <w:ilvl w:val="0"/>
          <w:numId w:val="68"/>
        </w:numPr>
        <w:rPr>
          <w:rFonts w:ascii="Arial" w:cs="Arial" w:eastAsia="Arial" w:hAnsi="Arial"/>
          <w:sz w:val="17"/>
          <w:szCs w:val="17"/>
          <w:color w:val="auto"/>
        </w:rPr>
      </w:pPr>
      <w:r>
        <w:rPr>
          <w:rFonts w:ascii="Arial" w:cs="Arial" w:eastAsia="Arial" w:hAnsi="Arial"/>
          <w:sz w:val="17"/>
          <w:szCs w:val="17"/>
          <w:color w:val="auto"/>
        </w:rPr>
        <w:t>negotiation with parties providing financing which would trigger the anti-dilution provisions of the Class B common stock. If such adjustment is not waived, the issuance would not reduce the percentage ownership of holders of our Class B common stock, but would reduce the percentage ownership of holders of our Class A common stock. If such adjustment is waived, the issuance would reduce the percentage ownership of holders of both classes of our common stock. The term “equity-linked securities” refers to any debt or equity securities that are convertible, exercisable or exchangeable for shares of Class A common stock issues in a financing transaction in connection with our initial business combination, including but not limited to a private placement of equity or debt. Securities could be “deemed issued” for purposes of the conversion rate adjustment if such shares are issuable upon the conversion or exercise of convertible securities, warrants or similar securities.</w:t>
      </w:r>
    </w:p>
    <w:p>
      <w:pPr>
        <w:spacing w:after="0" w:line="180"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With certain limited exceptions, the founder shares are not transferable, assignable or saleable (except to our officers and directors and other persons or entities affiliated with our sponsor, each of whom will be subject to the same transfer restrictions) until the earlier to occur of: (A) six months after the completion of our initial business combination and (B) subsequent to our initial business combination, if the reported last sale price of our Class A common stock equals or exceeds $12.00 per share (as adjusted for stock splits, stock dividends, reorganizations, recapitalizations and the like) for any 20 trading days within any 30-trading day period commencing after our initial business combination.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ectPr>
          <w:pgSz w:w="11900" w:h="16838" w:orient="portrait"/>
          <w:cols w:equalWidth="0" w:num="1">
            <w:col w:w="11240"/>
          </w:cols>
          <w:pgMar w:left="320" w:top="908" w:right="339" w:bottom="0" w:gutter="0" w:footer="0" w:header="0"/>
        </w:sectPr>
      </w:pPr>
    </w:p>
    <w:bookmarkStart w:id="147" w:name="page148"/>
    <w:bookmarkEnd w:id="147"/>
    <w:p>
      <w:pPr>
        <w:ind w:firstLine="324"/>
        <w:spacing w:after="0" w:line="271" w:lineRule="auto"/>
        <w:rPr>
          <w:sz w:val="20"/>
          <w:szCs w:val="20"/>
          <w:color w:val="auto"/>
        </w:rPr>
      </w:pPr>
      <w:r>
        <w:rPr>
          <w:rFonts w:ascii="Arial" w:cs="Arial" w:eastAsia="Arial" w:hAnsi="Arial"/>
          <w:sz w:val="17"/>
          <w:szCs w:val="17"/>
          <w:color w:val="auto"/>
        </w:rPr>
        <w:t>Our amended and restated certificate of incorporation will provide that shares of preferred stock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stockholder approval, issue preferred stock with voting and other rights that could adversely affect the voting power and other rights of the holders of the common stock and could have anti-takeover effects. The ability of our board of directors to issue preferred stock without stockholder approval could have the effect of delaying, deferring or preventing a change of control of us or the removal of existing management. We have no preferred stock outstanding at the date hereof. Although we do not currently intend to issue any shares of preferred stock, we cannot assure you that we will not do so in the future. No shares of preferred stock are being issued or registered in this offering.</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t>Redeemable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Stockholders’ Warrants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Each warrant entitles the registered holder to purchase one share of our Class A common stock at a price of $11.50 per share, subject to adjustment as discussed below, at any time commencing on the later of 12 months from the closing of this offering and 30 days after the completion of our initial business combination. Pursuant to the warrant agreement, a warrant holder may exercise its warrants only for a whole number of shares of Class A common stock. This means that only a whole warrant may be exercised at any given time by a warrant holder. No fractional warrants will be issued upon separation of the units and only whole warrants will trade.</w:t>
      </w:r>
    </w:p>
    <w:p>
      <w:pPr>
        <w:spacing w:after="0" w:line="188"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The warrants will expire five years after the completion of our initial business combination, at 5:00 p.m., New York City time, or earlier upon redemption or liquidation.</w:t>
      </w:r>
    </w:p>
    <w:p>
      <w:pPr>
        <w:spacing w:after="0" w:line="17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our satisfying our obligations described below with respect to registration. No warrant will be exercisable and we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166" w:lineRule="exact"/>
        <w:rPr>
          <w:sz w:val="20"/>
          <w:szCs w:val="20"/>
          <w:color w:val="auto"/>
        </w:rPr>
      </w:pPr>
    </w:p>
    <w:p>
      <w:pPr>
        <w:ind w:right="120" w:firstLine="324"/>
        <w:spacing w:after="0" w:line="286" w:lineRule="auto"/>
        <w:rPr>
          <w:sz w:val="20"/>
          <w:szCs w:val="20"/>
          <w:color w:val="auto"/>
        </w:rPr>
      </w:pPr>
      <w:r>
        <w:rPr>
          <w:rFonts w:ascii="Arial" w:cs="Arial" w:eastAsia="Arial" w:hAnsi="Arial"/>
          <w:sz w:val="16"/>
          <w:szCs w:val="16"/>
          <w:color w:val="auto"/>
        </w:rPr>
        <w:t>We are not registering the shares of Class A common stock issuable upon exercise of the warrants at this time. However, we have agreed that as soon as practicable, after the closing of our initial business combination, we will use our best efforts to file with the SEC a registration statement covering the shares of Class A common stock issuable upon exercise of the warrants, to cause such registration statement to become effective and to maintain a current prospectus relating to those shares of Class A common stock until the warrants expire or are redeemed, as specified in the warrant agreement. If a</w:t>
      </w:r>
    </w:p>
    <w:p>
      <w:pPr>
        <w:spacing w:after="0" w:line="1"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registration statement covering the shares of Class A common stock issuable upon exercise of the warrants is not effective by the 60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business day after the closing of our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foregoing, if a registration statement covering the Class A common stock issuable upon exercise of the warrants is not effective within a specified period following the consummation of our initial business combination, warrant holders may, until such time as there is an effective registration statement and during any period when we shall have failed to maintain an effective registration statement, exercise warrants on a cashless basis pursuant to the exemption provided by Section 3(a)(9) of the Securities Act of 1933, as amended, or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Class A common stock for the 5 trading days ending on the trading day prior to the date of exercise. The warrants will expire on the fifth anniversary of our completion of an initial business combination, at 5:00 p.m., New York City time, or earlier upon redemption or liquidation.</w:t>
      </w:r>
    </w:p>
    <w:p>
      <w:pPr>
        <w:spacing w:after="0" w:line="18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placement warrants, as well as any warrants underlying additional units we issue to our sponsor, officers, directors, initial stockholders or their affiliates in payment of working capital loans made to us, will be identical to the warrants underlying the units being offered by this prospectus, except that they will not be transferable, assignable or saleable until 30 days after the consummation of the initial business combination.</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Once the warrants become exercisable, we may call the warrants for redemption:</w:t>
      </w:r>
    </w:p>
    <w:p>
      <w:pPr>
        <w:spacing w:after="0" w:line="225"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given after the warrants become exercisable (the “30-day redemption period”) to each warrant holder;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9" w:name="page150"/>
    <w:bookmarkEnd w:id="149"/>
    <w:p>
      <w:pPr>
        <w:ind w:left="660" w:right="220" w:hanging="328"/>
        <w:spacing w:after="0" w:line="286"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if, and only if, the reported last sale price of the Class A common stock equals or exceeds $18.00 per share (as adjusted for stock splits, stock dividends, reorganizations, recapitalizations and the like) for any 20 trading days within a 30-trading day period commencing once the warrants become exercisable and ending three business days before we send the notice of redemption to the warrant holders; and’</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if, and only if, there is a current registration statement in effect with respect to the shares of Class A common stock underlying such warrants.</w:t>
      </w:r>
    </w:p>
    <w:p>
      <w:pPr>
        <w:spacing w:after="0" w:line="248"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184"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its warrant prior to the scheduled redemption date. However, the price of the Class A common stock may fall below the $18.00 redemption trigger price (as adjusted for stock splits, stock dividends, reorganizations, recapitalizations and the like) as well as the $11.50 warrant exercise price after the redemption notice is issued.</w:t>
      </w:r>
    </w:p>
    <w:p>
      <w:pPr>
        <w:spacing w:after="0" w:line="18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If we call the warrants for redemption as described above, our management will have the option to require any holder that wishes to exercise its warrant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Class A common stock for the 5 trading days ending on the third trading day prior to the date on which the notice of redemption is sent to the holders of warrants.</w:t>
      </w:r>
    </w:p>
    <w:p>
      <w:pPr>
        <w:spacing w:after="0" w:line="17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warrants will be issued in registered form under a warrant agreement between Continental Stock Transfer &amp; Trust Company, as warrant agent, and us. The warrant agreement provides that the terms of the warrants may be amended without the consent of any holder (i) to cure any ambiguity or correct any mistake, including to conform the provisions of the warrant agreement to the description of the terms of the warrants and the warrant agreement set forth in this prospectus, or to cure, correct or supplement any defective provision, or (ii) to add or change any other provisions with respect to matters or questions arising under the warrant agreement as the parties to the warrant agreement may deem necessary or desirable and that the parties deem to not adversely affect the interests of the registered holders of the warrants. The warrant agreement requires the approval, by written consent or vote, of the holders of at least 50% of the then outstanding public warrants in order to make any change that adversely affects the interests of the registered holders.</w:t>
      </w:r>
    </w:p>
    <w:p>
      <w:pPr>
        <w:spacing w:after="0" w:line="166" w:lineRule="exact"/>
        <w:rPr>
          <w:sz w:val="20"/>
          <w:szCs w:val="20"/>
          <w:color w:val="auto"/>
        </w:rPr>
      </w:pPr>
    </w:p>
    <w:p>
      <w:pPr>
        <w:jc w:val="both"/>
        <w:ind w:right="440" w:firstLine="324"/>
        <w:spacing w:after="0" w:line="311" w:lineRule="auto"/>
        <w:rPr>
          <w:sz w:val="20"/>
          <w:szCs w:val="20"/>
          <w:color w:val="auto"/>
        </w:rPr>
      </w:pPr>
      <w:r>
        <w:rPr>
          <w:rFonts w:ascii="Arial" w:cs="Arial" w:eastAsia="Arial" w:hAnsi="Arial"/>
          <w:sz w:val="16"/>
          <w:szCs w:val="16"/>
          <w:color w:val="auto"/>
        </w:rPr>
        <w:t>The exercise price and number of shares of Class A common stock issuable on exercise of the warrants may be adjusted in certain circumstances including in the event of a stock dividend, extraordinary dividend or our recapitalization, reorganization, merger or consolidation. However, except as described below, the warrants will not be adjusted for issuances of shares of Class A common stock at a price below their respective exercise prices.</w:t>
      </w:r>
    </w:p>
    <w:p>
      <w:pPr>
        <w:spacing w:after="0" w:line="14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addition, if (x) we issue additional shares of Class A common stock or equity-linked securities for capital raising purposes in connection with the closing of our initial business combination at a Newly Issued Price of less than $9.20 per share of Class A common stock (with such issue price or effective issue price to be determined in good faith by our board of directors, and in the case of any such issuance to our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Market Value is below $9.20 per share, then the exercise price of the warrants will be adjusted (to the nearest cent) to be equal to 115% of the greater of (i) the Market Value or (ii) the Newly Issued Price, and the $18.00 per share redemption trigger price of the warrants will be adjusted (to the nearest cent) to be equal to 180% of the greater of (i) the Market Value or (ii) the Newly Issued Price.</w:t>
      </w:r>
    </w:p>
    <w:p>
      <w:pPr>
        <w:spacing w:after="0" w:line="196"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Class A common stock and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stockholders.</w:t>
      </w:r>
    </w:p>
    <w:p>
      <w:pPr>
        <w:spacing w:after="0" w:line="192"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Warrant holders may elect to be subject to a restriction on the exercise of their warrants such that an electing warrant holder would not be able to exercise their warrants to the extent that, after giving effect to such exercise, such holder would beneficially own in excess of 9.8% of the shares of Class A common stock outstanding.</w:t>
      </w:r>
    </w:p>
    <w:p>
      <w:pPr>
        <w:spacing w:after="0" w:line="18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No fractional shares will be issued upon exercise of the warrants. If, upon exercise of the warrants, a holder would be entitled to receive a fractional interest in a share, we will, upon exercise, round up to the nearest whole number the number of shares of Class A common stock to be issued to the warrant holder.</w:t>
      </w:r>
    </w:p>
    <w:p>
      <w:pPr>
        <w:spacing w:after="0" w:line="124" w:lineRule="exact"/>
        <w:rPr>
          <w:sz w:val="20"/>
          <w:szCs w:val="20"/>
          <w:color w:val="auto"/>
        </w:rPr>
      </w:pPr>
    </w:p>
    <w:p>
      <w:pPr>
        <w:ind w:right="140" w:firstLine="324"/>
        <w:spacing w:after="0" w:line="287" w:lineRule="auto"/>
        <w:rPr>
          <w:sz w:val="20"/>
          <w:szCs w:val="20"/>
          <w:color w:val="auto"/>
        </w:rPr>
      </w:pPr>
      <w:r>
        <w:rPr>
          <w:rFonts w:ascii="Arial" w:cs="Arial" w:eastAsia="Arial" w:hAnsi="Arial"/>
          <w:sz w:val="16"/>
          <w:szCs w:val="16"/>
          <w:color w:val="auto"/>
        </w:rPr>
        <w:t>We have agreed that, 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See “Risk Factors</w:t>
      </w:r>
    </w:p>
    <w:p>
      <w:pPr>
        <w:spacing w:after="0" w:line="2"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 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 This provision applies to claims under the Securities Act but does not apply to claims under the Exchange Act or any claim for which the federal district courts of the United States of America are the sole and exclusive forum.</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47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i w:val="1"/>
          <w:iCs w:val="1"/>
          <w:color w:val="auto"/>
        </w:rPr>
        <w:t>Placement warrants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placement warrants have terms and provisions that are identical to those of the warrants being sold as part of the units in this offering, including as to exercise price, exercisability and exercise period.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holders of our placement warrants are entitled to certain registration rights.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sponsor has agreed not to transfer, assign or sell any of the placement warrants (including the Class A common stock issuable upon exercise of any of these warrants) until the date that is 30 days after the date we complete our initial business combination, except among other limited exceptions as described under the section of this prospectus entitled “Principal Stockholders — Restrictions on Transfers of Founder Shares and Placement Warrants” made to our officers and directors and other persons or entities affiliated with our sponsor.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We have not paid any cash dividends on our common stock to date and do not intend to pay cash dividends prior to the completion of an initial business combination. The payment of cash dividends in the future will be dependent upon our revenues and earnings, if any, capital requirements and general financial conditions subsequent to completion of an initial business combination. The payment of any cash dividends subsequent to an initial business combination will be within the discretion of our board of directors at such time. If we increase or decrease the size of the offering we will effect a stock dividend or a share contribution back to capital or other appropriate mechanism, as applicable, with respect to our Class B common stock immediately prior to the consummation of the offering in such amount as to maintain the ownership of our initial stockholders at 24.81% of the issued and outstanding shares of our common stock (excluding the shares of Class A common stock to be issued to the representative or its designees upon consummation of this offering, the placement units and the securities underlying the placement units and assuming they do not purchase any units in this offering) upon the consummation of this offering. Further, if we incur any indebtedness, our ability to declare dividends may be limited by restrictive covenants we may agree to in connection therewith.</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t>Our Transfer Agent and Warrant Agent</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transfer agent for our common stock and warrant agent for our warrants is Continental Stock Transfer &amp; Trust Company. We have agreed to indemnify Continental Stock Transfer &amp; Trust Company in its roles as transfer agent and warrant agent, its agents and each of its stockholders, directors, officers and employees against all claims and losses that may arise out of acts performed or omitted for its activities in that capacity, except for any liability due to any gross negligence, willful misconduct or bad faith of the indemnified person or entity.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Amended and Restated Certificate of Incorporation</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amended and restated certificate of incorporation will contain certain requirements and restrictions relating to this offering that will apply to us until the completion of our initial business combination. These provisions cannot be amended without the approval of the holders of at least 65% of our common stock. Our initial stockholders, who will collectively beneficially own approximately 26.6% of our common stock upon the closing of this offering (including the placement shares to be issued to the sponsor, excluding representative shares and assuming they do not purchase any units in this offering), will participate in any vote to amend our amended and restated certificate of incorporation and will have the discretion to vote in any manner they choose. Specifically, our amended and restated certificate of incorporation provides, among other things, that:</w:t>
      </w:r>
    </w:p>
    <w:p>
      <w:pPr>
        <w:spacing w:after="0" w:line="178" w:lineRule="exact"/>
        <w:rPr>
          <w:sz w:val="20"/>
          <w:szCs w:val="20"/>
          <w:color w:val="auto"/>
        </w:rPr>
      </w:pPr>
    </w:p>
    <w:p>
      <w:pPr>
        <w:ind w:left="660" w:right="20" w:hanging="328"/>
        <w:spacing w:after="0" w:line="270" w:lineRule="auto"/>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If we are unable to complete our initial business combination within 15 months from the closing of this offering, we will (i) cease all operations except for the purpose of winding up, (ii) as promptly as reasonably possible but not more than ten business days thereafter subject to lawfully available funds therefor, redeem 100% of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the case of clauses (ii) and (iii) above to our obligations under Delaware law to provide for claims of creditors and the requirements of other applicable law;</w:t>
      </w:r>
    </w:p>
    <w:p>
      <w:pPr>
        <w:spacing w:after="0" w:line="180" w:lineRule="exact"/>
        <w:rPr>
          <w:rFonts w:ascii="Arial" w:cs="Arial" w:eastAsia="Arial" w:hAnsi="Arial"/>
          <w:sz w:val="17"/>
          <w:szCs w:val="17"/>
          <w:color w:val="auto"/>
        </w:rPr>
      </w:pPr>
    </w:p>
    <w:p>
      <w:pPr>
        <w:ind w:left="660" w:right="300" w:hanging="328"/>
        <w:spacing w:after="0" w:line="277"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shares of capital stock that would entitle the holders thereof to (i) receive funds from the trust account or (ii) vote on any initial business combination;</w:t>
      </w:r>
    </w:p>
    <w:p>
      <w:pPr>
        <w:spacing w:after="0" w:line="170"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Although we do not intend to enter into an initial business combination with a target business that is affiliated with our sponsor, our directors or our officers, we are not prohibited from doing so. In the event we enter into such a transaction, we, or a committee of independent directors, will obtain an opinion from an independent investment banking firm or another independent entity that commonly renders valuation opinions that such an initial business combination is fair to our company from a financial point of view;</w:t>
      </w:r>
    </w:p>
    <w:p>
      <w:pPr>
        <w:spacing w:after="0" w:line="186" w:lineRule="exact"/>
        <w:rPr>
          <w:rFonts w:ascii="Arial" w:cs="Arial" w:eastAsia="Arial" w:hAnsi="Arial"/>
          <w:sz w:val="18"/>
          <w:szCs w:val="18"/>
          <w:color w:val="auto"/>
        </w:rPr>
      </w:pPr>
    </w:p>
    <w:p>
      <w:pPr>
        <w:ind w:left="660" w:right="20" w:hanging="328"/>
        <w:spacing w:after="0" w:line="273" w:lineRule="auto"/>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If a stockholder vote on our initial business combination is not required by law and we do not decide to hold a stockholder vote for business or other legal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 whether or not we maintain our registration under the Exchange Act or our listing on Nasdaq, we will provide our public stockholders with the opportunity to redeem their public shares by one of the two methods listed above;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2" w:name="page153"/>
    <w:bookmarkEnd w:id="152"/>
    <w:p>
      <w:pPr>
        <w:ind w:left="660" w:right="380" w:hanging="328"/>
        <w:spacing w:after="0" w:line="259"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So long as we obtain and maintain a listing for our securities on Nasdaq, 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w:t>
      </w:r>
    </w:p>
    <w:p>
      <w:pPr>
        <w:spacing w:after="0" w:line="186" w:lineRule="exact"/>
        <w:rPr>
          <w:rFonts w:ascii="Arial" w:cs="Arial" w:eastAsia="Arial" w:hAnsi="Arial"/>
          <w:sz w:val="18"/>
          <w:szCs w:val="18"/>
          <w:color w:val="auto"/>
        </w:rPr>
      </w:pPr>
    </w:p>
    <w:p>
      <w:pPr>
        <w:ind w:left="660" w:hanging="328"/>
        <w:spacing w:after="0" w:line="272" w:lineRule="auto"/>
        <w:tabs>
          <w:tab w:leader="none" w:pos="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If our stockholders approve an amendment to our amended and restated certificate of incorporation (i) to modify the substance or timing of our obligation to allow redemption in connection with our initial business combination or certain amendments to our charter prior thereto or to redeem 100% of our public shares if we do not complete our initial business combination within 15 months from the closing of this offering or (ii) with respect to any other provision relating to stockholders’ rights or pre-business combination activity, we will provide our public stockholders with the opportunity to redeem all or a portion of their shares of Class A common stock upon such approval at a per-share price, payable in cash, equal to the aggregate amount then on deposit in the trust account, including interest earned on the funds held in the trust account and not previously released to us to pay our taxes, divided by the number of then outstanding public shares; and</w:t>
      </w:r>
    </w:p>
    <w:p>
      <w:pPr>
        <w:spacing w:after="0" w:line="177" w:lineRule="exact"/>
        <w:rPr>
          <w:rFonts w:ascii="Arial" w:cs="Arial" w:eastAsia="Arial" w:hAnsi="Arial"/>
          <w:sz w:val="17"/>
          <w:szCs w:val="17"/>
          <w:color w:val="auto"/>
        </w:rPr>
      </w:pPr>
    </w:p>
    <w:p>
      <w:pPr>
        <w:ind w:left="660" w:hanging="328"/>
        <w:spacing w:after="0"/>
        <w:tabs>
          <w:tab w:leader="none" w:pos="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We will not effectuate our initial business combination with another blank check company or a similar company with nominal operations.</w:t>
      </w:r>
    </w:p>
    <w:p>
      <w:pPr>
        <w:spacing w:after="0" w:line="23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addition, our amended and restated certificate of incorporation will provide that under no circumstances will we redeem our public shares unless our net tangible assets are at least $5,000,001 either immediately prior to or upon consummation of our initial business combination and after payment of underwriters’ fees and commissions.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Delaware Law and our Amended and Restated Certificate of Incorporation and Bylaws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will be subject to the provisions of Section 203 of the DGCL regulating corporate takeovers upon completion of this offering. This statute prevents certain Delaware corporations, under certain circumstances, from engaging in a “business combination” with:</w:t>
      </w:r>
    </w:p>
    <w:p>
      <w:pPr>
        <w:spacing w:after="0" w:line="170"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stockholder who owns 15% or more of our outstanding voting stock (otherwise known as an “interested stockholder”);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affiliate of an interested stockholder;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associate of an interested stockholder, for three years following the date that the stockholder became an interested stockholder.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 “business combination” includes a merger or sale of more than 10% of our assets. However, the above provisions of Section 203 do not apply if:</w:t>
      </w:r>
    </w:p>
    <w:p>
      <w:pPr>
        <w:spacing w:after="0" w:line="237"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our board of directors approves the transaction that made the stockholder an “interested stockholder,” prior to the date of the transaction;</w:t>
      </w:r>
    </w:p>
    <w:p>
      <w:pPr>
        <w:spacing w:after="0" w:line="236" w:lineRule="exact"/>
        <w:rPr>
          <w:rFonts w:ascii="Arial" w:cs="Arial" w:eastAsia="Arial" w:hAnsi="Arial"/>
          <w:sz w:val="17"/>
          <w:szCs w:val="17"/>
          <w:color w:val="auto"/>
        </w:rPr>
      </w:pPr>
    </w:p>
    <w:p>
      <w:pPr>
        <w:ind w:left="660" w:right="60" w:hanging="328"/>
        <w:spacing w:after="0" w:line="308" w:lineRule="auto"/>
        <w:tabs>
          <w:tab w:leader="none" w:pos="6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146"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initial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124" w:right="379" w:bottom="1440" w:gutter="0" w:footer="0" w:header="0"/>
        </w:sectPr>
      </w:pPr>
    </w:p>
    <w:bookmarkStart w:id="153" w:name="page154"/>
    <w:bookmarkEnd w:id="153"/>
    <w:p>
      <w:pPr>
        <w:jc w:val="both"/>
        <w:ind w:right="340" w:firstLine="324"/>
        <w:spacing w:after="0" w:line="342" w:lineRule="auto"/>
        <w:rPr>
          <w:sz w:val="20"/>
          <w:szCs w:val="20"/>
          <w:color w:val="auto"/>
        </w:rPr>
      </w:pPr>
      <w:r>
        <w:rPr>
          <w:rFonts w:ascii="Arial" w:cs="Arial" w:eastAsia="Arial" w:hAnsi="Arial"/>
          <w:sz w:val="16"/>
          <w:szCs w:val="16"/>
          <w:color w:val="auto"/>
        </w:rPr>
        <w:t>Our amended and restated certificate of incorporation will provide that our board of directors will be classified into three classes of directors. As a result, in most circumstances, a person can gain control of our board only by successfully engaging in a proxy contest at two or more annual meetings.</w:t>
      </w:r>
    </w:p>
    <w:p>
      <w:pPr>
        <w:spacing w:after="0" w:line="124"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forum for certain lawsuits</w:t>
      </w:r>
    </w:p>
    <w:p>
      <w:pPr>
        <w:spacing w:after="0" w:line="225"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color w:val="auto"/>
        </w:rPr>
        <w:t>Our amended and restated certificate of incorporation will require, to the fullest extent permitted by law, that derivative actions brought in our name, actions against directors, officers and employees for breach of fiduciary duty and certain other actions may be brought only in the Court of Chancery in the State of Delaware,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w:t>
      </w:r>
    </w:p>
    <w:p>
      <w:pPr>
        <w:spacing w:after="0" w:line="2" w:lineRule="exact"/>
        <w:rPr>
          <w:sz w:val="20"/>
          <w:szCs w:val="20"/>
          <w:color w:val="auto"/>
        </w:rPr>
      </w:pPr>
    </w:p>
    <w:p>
      <w:pPr>
        <w:ind w:right="20" w:firstLine="8"/>
        <w:spacing w:after="0" w:line="273" w:lineRule="auto"/>
        <w:tabs>
          <w:tab w:leader="none" w:pos="285" w:val="left"/>
        </w:tabs>
        <w:numPr>
          <w:ilvl w:val="0"/>
          <w:numId w:val="76"/>
        </w:numPr>
        <w:rPr>
          <w:rFonts w:ascii="Arial" w:cs="Arial" w:eastAsia="Arial" w:hAnsi="Arial"/>
          <w:sz w:val="17"/>
          <w:szCs w:val="17"/>
          <w:color w:val="auto"/>
        </w:rPr>
      </w:pPr>
      <w:r>
        <w:rPr>
          <w:rFonts w:ascii="Arial" w:cs="Arial" w:eastAsia="Arial" w:hAnsi="Arial"/>
          <w:sz w:val="17"/>
          <w:szCs w:val="17"/>
          <w:color w:val="auto"/>
        </w:rPr>
        <w:t>for which the Court of Chancery does not have subject matter jurisdiction. If an action is brought outside of Delaware, the stockholder bringing the suit will be deemed to have consented to service of process on such stockholder’s counsel. Although we believe this provision benefits us by providing increased consistency in the application of law in the types of lawsuits to which it applies, a court may determine that this provision is unenforceable, and to the extent it is enforceable, the provision may have the effect of discouraging lawsuits against our directors and officers.</w:t>
      </w:r>
    </w:p>
    <w:p>
      <w:pPr>
        <w:spacing w:after="0" w:line="17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amended and restated certificate of incorporation will provide that the exclusive forum provision will be applicable to the fullest extent permitted by applicable law, subject to certain exceptions.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our amended and restated certificate of incorporation provides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or the rules and regulations promulgated thereunder.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meeting of stockholders</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 by our Chief Executive Officer or by our Chairman.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225" w:lineRule="exact"/>
        <w:rPr>
          <w:sz w:val="20"/>
          <w:szCs w:val="20"/>
          <w:color w:val="auto"/>
        </w:rPr>
      </w:pPr>
    </w:p>
    <w:p>
      <w:pPr>
        <w:jc w:val="both"/>
        <w:ind w:right="220" w:firstLine="324"/>
        <w:spacing w:after="0" w:line="253" w:lineRule="auto"/>
        <w:rPr>
          <w:sz w:val="20"/>
          <w:szCs w:val="20"/>
          <w:color w:val="auto"/>
        </w:rPr>
      </w:pPr>
      <w:r>
        <w:rPr>
          <w:rFonts w:ascii="Arial" w:cs="Arial" w:eastAsia="Arial" w:hAnsi="Arial"/>
          <w:sz w:val="16"/>
          <w:szCs w:val="16"/>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received by the company secretary at our principal executive offices not later than the close of business on the 52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day nor earlier than the opening of</w:t>
      </w:r>
    </w:p>
    <w:p>
      <w:pPr>
        <w:spacing w:after="0" w:line="1"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business on the 120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prior to the anniversary date of the immediately preceding annual meeting of stockholders. Pursuant to Rule 14a-8 of the Exchange Act, proposals seeking inclusion in our annual proxy statement must comply with the notice periods contained therein.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124" w:right="37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225"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Subsequent to the consummation of the offering, any action required or permitted to be taken by our common stockholders must be effected by a duly called annual or special meeting of such stockholders and may not be effected by written consent of the stockholders other than with respect to our Class B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225"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Our board of directors will initially be divided into two classes, Class I and Class II, with members of each class serving staggered three-year terms. Our amended and restated certificate of incorporation will provide that the authorized number of directors may be changed only by resolution of the board of directors. Subject to the terms of any preferred stock, any or all of the directors may be removed from office at any time, but only for cause and only by the affirmative vote of holders of a majority of the voting power of all then outstanding shares of our capital stock entitled to vote generally in the election of directors, voting together as a single class. Any vacancy on our board of directors, including a vacancy resulting from an enlargement of our board of directors, may be filled only by vote of a majority of our directors then in office.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Common Stock Consent Right</w:t>
      </w:r>
    </w:p>
    <w:p>
      <w:pPr>
        <w:spacing w:after="0" w:line="225"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For so long as any shares of Class B common stock remain outstanding, we may not, without the prior vote or written consent of the holders of a majority of the shares of Class B common stock then outstanding, voting separately as a single class, amend, alter or repeal any provision our certificate of incorporation, whether by merger, consolidation or otherwise, if such amendment, alteration or repeal would alter or change the powers, preferences or relative, participating, optional or other or special rights of the Class B common stock. Any action required or permitted to be taken at any meeting of the holders of Class B common stock may be taken without a meeting, without prior notice and without a vote, if a consent or consents in writing, setting forth the action so taken, shall be signed by the holders of the outstanding Class B common stock having not less than the minimum number of votes that would be necessary to authorize or take such action at a meeting at which all shares of Class B common stock were present and voted.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Eligible for Future Sale</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Immediately after the consummation of this offering (assuming no exercise of the underwriters’ over-allotment option) we will have 34,429,500 (or 39,567,000 if the underwriters’ over-allotment option is exercised in full) shares of common stock outstanding. Of these shares, the 25,000,000 shares (or 28,750,000 if the underwriters’ over-allotment option is exercised in full) sold in this offering will be freely tradable without restriction or further registration under the Securities Act, except for any shares purchased by one of our affiliates within the meaning of Rule 144 under the Securities Act. All of the remaining 8,250,000 (or 9,487,500 if the underwriters’ over-allotment option is exercised in full) founder shares, all 804,500 placement units (or 898,250 if the underwriter’s over-allotment option is exercised in full, including component securities contained therein) and all 375,000 representative shares of Class A common stock (or 431,250 representative shares if the underwriters’ over-allotment option is exercised in full are restricted securities under Rule 144, in that they were issued in private transactions not involving a public offering, and the shares of Class B common stock, the placement units (including component securities contained therein) and the shares of Class A common stock partially comprising the representative shares issued upon consummation of this offering are subject to transfer restrictions as set forth elsewhere in this prospectus. These restricted securities will be entitled to registration rights as more fully described below under “— Registration Rights.”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Pursuant to Rule 144, a person who has beneficially owned restricted shares of our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5" w:name="page156"/>
    <w:bookmarkEnd w:id="155"/>
    <w:p>
      <w:pPr>
        <w:ind w:firstLine="324"/>
        <w:spacing w:after="0" w:line="263" w:lineRule="auto"/>
        <w:rPr>
          <w:sz w:val="20"/>
          <w:szCs w:val="20"/>
          <w:color w:val="auto"/>
        </w:rPr>
      </w:pPr>
      <w:r>
        <w:rPr>
          <w:rFonts w:ascii="Arial" w:cs="Arial" w:eastAsia="Arial" w:hAnsi="Arial"/>
          <w:sz w:val="18"/>
          <w:szCs w:val="18"/>
          <w:color w:val="auto"/>
        </w:rPr>
        <w:t>Persons who have beneficially owned restricted shares of our common stock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84" w:lineRule="exact"/>
        <w:rPr>
          <w:sz w:val="20"/>
          <w:szCs w:val="20"/>
          <w:color w:val="auto"/>
        </w:rPr>
      </w:pPr>
    </w:p>
    <w:p>
      <w:pPr>
        <w:ind w:left="660" w:right="140" w:hanging="328"/>
        <w:spacing w:after="0" w:line="277"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1% of the total number of shares of Class A and Class B common stock then outstanding, which will equal 344,295 shares immediately after this offering (or 395,670) if the underwriters exercise their over-allotment option in full); or</w:t>
      </w:r>
    </w:p>
    <w:p>
      <w:pPr>
        <w:spacing w:after="0" w:line="170"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common stock during the four calendar weeks preceding the filing of a notice on Form 144 with respect to the sale.</w:t>
      </w:r>
    </w:p>
    <w:p>
      <w:pPr>
        <w:spacing w:after="0" w:line="170"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229"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84"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225" w:lineRule="exact"/>
        <w:rPr>
          <w:rFonts w:ascii="Arial" w:cs="Arial" w:eastAsia="Arial" w:hAnsi="Arial"/>
          <w:sz w:val="18"/>
          <w:szCs w:val="18"/>
          <w:color w:val="auto"/>
        </w:rPr>
      </w:pPr>
    </w:p>
    <w:p>
      <w:pPr>
        <w:ind w:left="660" w:right="120" w:hanging="328"/>
        <w:spacing w:after="0" w:line="342" w:lineRule="auto"/>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issuer of the securities has filed all Exchange Act reports and materials required to be filed, as applicable, during the preceding 12 months (or such shorter period that the issuer was required to file such reports and materials), other than Current Reports on Form 8-K; and</w:t>
      </w:r>
    </w:p>
    <w:p>
      <w:pPr>
        <w:spacing w:after="0" w:line="123" w:lineRule="exact"/>
        <w:rPr>
          <w:rFonts w:ascii="Arial" w:cs="Arial" w:eastAsia="Arial" w:hAnsi="Arial"/>
          <w:sz w:val="16"/>
          <w:szCs w:val="16"/>
          <w:color w:val="auto"/>
        </w:rPr>
      </w:pPr>
    </w:p>
    <w:p>
      <w:pPr>
        <w:ind w:left="660" w:right="40" w:hanging="328"/>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70"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As a result, our initial stockholders will be able to sell their founder shares and placement units (including component securities contained therein), as applicable, pursuant to Rule 144 without registration one year after we have completed our initial business combination.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The holders of the founder shares, the representative shares, placement units (including component securities contained therein) and units (including securities contained therein) that may be issued upon conversion of working capital loans, and any shares of Class A common stock issuable upon the exercise of the placement warrants and any shares of Class A common stock and warrants (and underlying Class A common stock) that may be issued upon conversion of the units issued as part of the working capital loans and Class A common stock issuable upon conversion of the founder shares, will be entitled to registration rights pursuant to a registration rights agreement to be signed prior to or on the effective date of this offering, requiring us to register such securities for resale (in the case of the founder shares, only after conversion to our Class A common stock). The holders of the majority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and rights to require us to register for resale such securities pursuant to Rule 415 under the Securities Act. The registration rights agreement does not contain liquidated damages or other cash settlement provisions resulting from delays in registering our securities. We will bear the expenses incurred in connection with the filing of any such registration statements. We will bear the expenses incurred in connection with the filing of any such registration statements.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color w:val="auto"/>
        </w:rPr>
        <w:t>Listing of Securities</w:t>
      </w:r>
    </w:p>
    <w:p>
      <w:pPr>
        <w:spacing w:after="0" w:line="229"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We have applied to list our units, Class A common stock and warrants on Nasdaq under the symbols “BRKHU,” “BRKH” and “BRKHW,” respectively. We expect that our units will be listed on Nasdaq on or promptly after the effective date of the registration statement. Following the date the shares of our Class A common stock and warrants are eligible to trade separately, we anticipate that the shares of our Class A common stock and warrants will be listed separately and as a unit on Nasdaq. We cannot guarantee that our securities will be approved for listing on Nasdaq.</w:t>
      </w:r>
    </w:p>
    <w:p>
      <w:pPr>
        <w:spacing w:after="0" w:line="37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904" w:right="499" w:bottom="1440" w:gutter="0" w:footer="0" w:header="0"/>
        </w:sectPr>
      </w:pPr>
    </w:p>
    <w:bookmarkStart w:id="157" w:name="page158"/>
    <w:bookmarkEnd w:id="157"/>
    <w:p>
      <w:pPr>
        <w:jc w:val="center"/>
        <w:ind w:right="-39"/>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22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following discussion summarizes certain U.S. federal income tax considerations generally applicable to the acquisition, ownership and disposition of our units (each consisting of one share of our Class A common stock and one redeemable warrant to acquire one share of our Class A common stock) that are purchased in this offering by U.S. Holders (as defined below) and Non-U.S. Holders (as defined below). Because the components of a unit are generally separable at the option of the holder, the holder of a unit generally should be treated, for U.S. federal income tax purposes, as the owner of the underlying share of our Class A common stock and the one warrant components of the unit. As a result, the discussion below with respect to holders of shares of our Class A common stock and warrants should also apply to holders of units (as the deemed owners of the underlying common stock and warrants that constitute the units).</w:t>
      </w:r>
    </w:p>
    <w:p>
      <w:pPr>
        <w:spacing w:after="0" w:line="19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This discussion is limited to certain U.S. federal income tax considerations to beneficial owners of our securities who are initial purchasers of a unit pursuant to this offering and hold the unit and each component of the unit as capital assets within the meaning of Section 1221(a) of the U.S. Internal Revenue Code of 1986, as amended (the “Code”) (generally, property held for investment). This discussion assumes that the shares of our Class A common stock and warrants will trade separately and that any distributions made (or deemed made) by us on the shares of our Class A common stock and any consideration received (or deemed received) by a holder in consideration for the sale or other disposition of our securities will be in U.S. dollars. This discussion is a summary only and does not consider all aspects of U.S. federal income taxation that may be relevant to the acquisition, ownership and disposition of a unit by a prospective investor in light of its particular circumstances or that is subject to special rules under the U.S. federal income tax laws, including, but not limited to:</w:t>
      </w:r>
    </w:p>
    <w:p>
      <w:pPr>
        <w:spacing w:after="0" w:line="178"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sponsor, officers, directors or other holders of our Class B common stock or private placement warrants;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banks and other financial institutions or financial services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mutual funds;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retirement plans, individual retirement accounts or other tax-deferred accounts;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taxpayers that are subject to the mark-to-market tax accounting rules;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S-corporations, partnerships or other flow-through entities and investors therein;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qualified foreign pension funds;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expatriates or former long-term residents of the United States;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58" w:name="page159"/>
    <w:bookmarkEnd w:id="158"/>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or more of our voting shares;</w:t>
      </w:r>
    </w:p>
    <w:p>
      <w:pPr>
        <w:spacing w:after="0" w:line="225"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persons that acquired our securities pursuant to an exercise of employee share options, in connection with employee share incentive plans or otherwise as compensation or in connection with services;</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persons required for U.S. federal income tax purposes to conform the timing of income accruals to their financial statements under Section 451 of the Code;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persons that hold our securities as part of a straddle, constructive sale, hedging, conversion or other integrated or similar transaction; or</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discussion below is based upon current provisions of the Code, applicable U.S. Treasury regulations promulgated under the Code (“Treasury Regulations”), judicial decisions and administrative rulings of the IRS, all as in effect on the date hereof, and all of which are subject to differing interpretations or change, possibly on a retroactive basis. Any such differing interpretations or change could alter the U.S. federal income tax consequences discussed below. Furthermore, this discussion does not address any aspect of U.S. federal non-income tax laws, such as gift, estate or Medicare contribution tax laws, or state, local or non-U.S. tax laws.</w:t>
      </w:r>
    </w:p>
    <w:p>
      <w:pPr>
        <w:spacing w:after="0" w:line="188"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We have not sought, and will not seek, a ruling from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165"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As used herein, the term “U.S. Holder” means a beneficial owner of units, shares of our Class A common stock or warrants that is for U.S. federal income tax purposes: (i) an individual who is a citizen or resident of the United States, (ii) a corporation (or other entity treated as a corporation for U.S. federal income tax purposes) that is created or organized (or treated as created or organized) in or under the laws of the United States, any state thereof or the District of Columbia, (iii) an estate the income of which is subject to U.S. federal income taxation regardless of its source or (iv) a trust if (A) a court within the United States is able to exercise primary supervision over the administration of the trust and one or more United States persons have the authority to control all substantial decisions of the trust, or (B) it has in effect a valid election under Treasury Regulations to be treated as a United States person.</w:t>
      </w:r>
    </w:p>
    <w:p>
      <w:pPr>
        <w:spacing w:after="0" w:line="195"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This discussion does not consider the tax treatment of partnerships or other pass-through entities (including branches) or persons who hold our securities through such entities. If a partnership (or other entity or arrangement classified as a partnership for U.S. federal income tax purposes) is the beneficial owner of our securities, the U.S. federal income tax treatment of a partner in the partnership generally will depend on the status of the partner and the activities of the partner and the partnership. If you are a partner or a partnership holding our securities, we urge you to consult your own tax advisor.</w:t>
      </w:r>
    </w:p>
    <w:p>
      <w:pPr>
        <w:spacing w:after="0" w:line="18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THIS DISCUSSION IS ONLY A SUMMARY OF CERTAIN U.S. FEDERAL INCOME TAX CONSIDERATIONS ASSOCIATED WITH THE ACQUISITION, OWNERSHIP AND DISPOSITION OF OUR UNITS. EACH PROSPECTIVE INVESTOR IN OUR UNITS IS URGED TO CONSULT ITS OWN TAX ADVISOR WITH RESPECT TO THE PARTICULAR TAX CONSEQUENCES TO SUCH INVESTOR OF THE ACQUISITION, OWNERSHIP AND DISPOSITION OF OUR UNITS, INCLUDING THE APPLICABILITY AND EFFECT OF ANY STATE, LOCAL, AND NON-UNITED STATES TAX LAWS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i w:val="1"/>
          <w:iCs w:val="1"/>
          <w:color w:val="auto"/>
        </w:rPr>
        <w:t>Personal Holding Company Status</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could be subject to a second level of U.S. federal income tax on a portion of our income if we are determined to be a personal holding company (a “PHC”) for U.S. federal income tax purposes. A U.S. corporation generally will be classified as a PHC for U.S. federal income tax purposes in a given taxable year if (i) at any time during the last half of such taxable year, five or fewer individuals (without regard to their citizenship or residency and including as individuals for this purpose certain entities such as certain tax-exempt organizations, pension funds and charitable trusts) own or are deemed to own (pursuant to certain constructive ownership rules) more than 50% of the stock of the corporation by value and (ii) at least 60% of the corporation’s adjusted ordinary gross income, as determined for U.S. federal income tax purposes, for such taxable year consists of PHC income (which includes, among other things, dividends, interest, certain royalties, annuities and, under certain circumstances, rents).</w:t>
      </w:r>
    </w:p>
    <w:p>
      <w:pPr>
        <w:spacing w:after="0" w:line="17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Depending on the date and size of our initial business combination, it is possible that at least 60% of our adjusted ordinary gross income may consist of PHC income as discussed above. In addition, depending on the concentration of our stock in the hands of individuals, including the members of our sponsor and certain tax-exempt organizations, pension funds and charitable trusts, it is possible that more than 50% of our stock may be owned or deemed owned (pursuant to the constructive ownership rules) by such persons during the last half of a taxable year. Thus, no assurance can be given that we will not be a PHC following this offering or in the future. If we are or were to become a PHC in a given taxable year, we would be subject to an additional PHC tax, currently 20%, on our undistributed PHC income, which generally includes our taxable income, subject to certain adjustments.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Purchase Price and Characterization of a Unit</w:t>
      </w:r>
    </w:p>
    <w:p>
      <w:pPr>
        <w:spacing w:after="0" w:line="225"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No statutory, administrative or judicial authority directly addresses the treatment of a unit or instruments similar to a unit for U.S. federal income tax purposes, and therefore, that treatment is not entirely clear. The acquisition of a unit should be treated for U.S. federal income tax purposes as the acquisition of one share of our Class A common stock and one warrant, with each warrant exercisable to acquire one share of our Class A common stock, and we intend to treat the acquisition of a unit in this manner. For U.S. federal income tax purposes, each holder of a unit must allocate the purchase price paid by such holder for such unit among the one share of our Class A common stock and the one warrant based on the relative fair market value of each at the time of issuance. Under U.S. federal income tax law, each investor must make its own determination of such value based on all the relevant facts and circumstances. Therefore, we strongly urge each investor to consult its tax advisor regarding the determination of value for these purposes. The price allocated to each share of our Class A common stock and one warrant should constitute the holder’s initial tax basis in such share and one warrant, respectively. Any disposition of a unit should be treated for U.S. federal income tax purposes as a disposition of the share of our Class A common stock and one warrant comprising the unit, and the amount realized on the disposition should be allocated among the share of our Class A common stock and one warrant based on their respective relative fair market values at the time of disposition. Neither the separation of the share of our Class A common stock and the one warrant constituting a unit nor the combination of halves of warrants into a single warrant should be a taxable event for U.S. federal income tax purposes.</w:t>
      </w:r>
    </w:p>
    <w:p>
      <w:pPr>
        <w:spacing w:after="0" w:line="186"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foregoing treatment of the shares of our Class A common stock and warrants and a holder’s purchase price allocation are not binding on the IRS or the courts. Because there are no authorities that directly address instruments that are similar to the units, no assurance can be given that the IRS or the courts will agree with the characterization described above or the discussion below. Accordingly, each prospective investor is urged to consult its tax advisor regarding the tax consequences of an investment in a unit (including alternative characterizations of a unit). The balance of this discussion assumes that the characterization of the units described above is respected for U.S. federal income tax purposes.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Distributions</w:t>
      </w:r>
    </w:p>
    <w:p>
      <w:pPr>
        <w:spacing w:after="0" w:line="22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If we pay distributions in cash or other property (other than certain distributions of our stock) to U.S. Holders of our Class A common stock, such distributions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shares of our Class A common stock. Any remaining excess will be treated as gain realized on the sale or other disposition of the shares of our Class A common stock and will be treated as described under “U.S. Holders — Gain or Loss on Sale, Taxable Exchange or Other Taxable Disposition of Our Class A Common Stock and Warrants” below.</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0" w:name="page161"/>
    <w:bookmarkEnd w:id="160"/>
    <w:p>
      <w:pPr>
        <w:ind w:firstLine="324"/>
        <w:spacing w:after="0" w:line="253" w:lineRule="auto"/>
        <w:rPr>
          <w:sz w:val="20"/>
          <w:szCs w:val="20"/>
          <w:color w:val="auto"/>
        </w:rPr>
      </w:pPr>
      <w:r>
        <w:rPr>
          <w:rFonts w:ascii="Arial" w:cs="Arial" w:eastAsia="Arial" w:hAnsi="Arial"/>
          <w:sz w:val="18"/>
          <w:szCs w:val="18"/>
          <w:color w:val="auto"/>
        </w:rPr>
        <w:t>Dividends we pay to a corporate U.S. Holder generally will qualify for the dividends received deduction if certain holding period requirements are met. With certain exceptions (including, but not limited to, dividends treated as investment income for purposes of investment interest deduction limitations), and provided certain holding period requirements are met, dividends we pay to a non-corporate U.S. Holder will generally be taxed as qualified dividend income at the preferential tax rate for long-term capital gains. It is unclear whether the redemption rights with respect to the shares of our Class A common stock described in this prospectus may prevent a U.S. Holder from satisfying the applicable holding period requirements with respect to the dividends received deduction or the preferential tax rate on qualified dividend income, as the case may be. If the holding period requirements are not met, then a corporation may not be able to qualify for the dividends received deduction and would have taxable income equal to the entire dividend amount, and non-corporate holders may be subject to tax on such dividend at regular ordinary income tax rates instead of the preferential rate that applies to qualified dividend income.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or Loss on Sale, Taxable Exchange or Other Taxable Disposition of Our Securities</w:t>
      </w:r>
    </w:p>
    <w:p>
      <w:pPr>
        <w:spacing w:after="0" w:line="225"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A U.S. Holder generally will recognize capital gain or loss on a sale or other taxable disposition of our shares of Class A common stock or warrants (including on our dissolution and liquidation if we do not complete an initial business combination within the required time period). Any such capital gain or loss generally will be long-term capital gain or loss if the U.S. Holder’s holding period for such shares of our Class A common stock or warrants exceeds one year. Long-term capital gains recognized by a non-corporate U.S. Holder are currently eligible to be taxed preferential rates. It is unclear, however, whether certain redemption rights described in this prospectus may suspend the running of the applicable holding period for this purpose. If the running of the holding period for the Class A common stock is suspended, then non-corporate U.S. Holders may not be able to satisfy the one-year holding period requirement for long-term capital gain treatment, in which case any gain on a sale or taxable disposition of the shares would be subject to short-term capital gain treatment and would be taxed at regular ordinary income tax rates. The deductibility of capital losses is subject to limitations.</w:t>
      </w:r>
    </w:p>
    <w:p>
      <w:pPr>
        <w:spacing w:after="0" w:line="16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amount of gain or loss recognized on a sale or other taxable disposition generally will be equal to the difference between (i) the sum of the amount of cash and the fair market value of any property received in such disposition (or, if the shares of our Class A common stock or warrants are held as part of units at the time of the disposition, the portion of the amount realized on such disposition that is allocated to the shares of our Class A common stock or warrants based upon the then relative fair market values of the shares of our Class A common stock and the warrants included in the units) and (ii) the U.S. Holder’s adjusted tax basis in its shares of our Class A common stock or warrants so disposed of. A U.S. Holder’s adjusted tax basis in its shares of our Class A common stock and warrants generally will equal the U.S. Holder’s acquisition cost (that is, the portion of the purchase price of a unit allocated to a share of our Class A common stock or one warrant, as described above under “— Allocation of Purchase Price and Characterization of a Unit”) reduced, in the case of a share of our Class A common stock, by any prior distributions treated as a return of capital. See “U.S. Holders — Exercise, Lapse or Redemption of a Warrant” below for a discussion regarding a U.S. Holder’s tax basis in a share of our Class A common stock acquired pursuant to the exercise of a warrant.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Our Class A Common Stock</w:t>
      </w:r>
    </w:p>
    <w:p>
      <w:pPr>
        <w:spacing w:after="0" w:line="225"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In the event that a U.S. Holder’s shares of our Class A common stock are redeemed pursuant to the redemption provisions described in this prospectus under “Description of Securities — Common Stock” or if we purchase a U.S. Holder’s shares of our Class A common stock in an open market transaction (each referred to herein as a “redemption”), the treatment of the redemption for U.S. federal income tax purposes will depend on whether it qualifies as a sale or exchange of the shares of our Class A common stock under Section 302 of the Code. If the redemption qualifies as a sale or exchange of the shares of our Class A common stock under the tests described below, the U.S. Holder will be treated as described under “U.S. Holders — Gain or Loss on Sale, Taxable Exchange or Other Taxable Disposition of Our Class A Common Stock and Warrants” above. If the redemption does not qualify as a sale or exchange of the shares of our Class A common stock, the U.S. Holder will be treated as receiving a corporate distribution with the tax consequences described above under “U.S. Holders — Taxation of Distributions.” Whether a redemption qualifies for sale or exchange treatment will depend largely on the total number of our shares treated as held by the U.S. Holder (including any shares constructively owned by the U.S. Holder as described in the following paragraph) relative to all of our shares outstanding both before and after such redemption. The redemption of our Class A common stock generally will be treated as a sale or exchange of the shares of our Class A common stock (rather than as a corporate distribution) if, within the meaning of Section 302 of the Code, such redemption (i) is “substantially disproportionate” with respect to the U.S. Holder, (ii) results in a “complete termination” of the U.S. Holder’s interest in us or (iii) is “not essentially equivalent to a dividend” with respect to the U.S. Holder.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1" w:name="page162"/>
    <w:bookmarkEnd w:id="161"/>
    <w:p>
      <w:pPr>
        <w:ind w:firstLine="324"/>
        <w:spacing w:after="0" w:line="285" w:lineRule="auto"/>
        <w:rPr>
          <w:sz w:val="20"/>
          <w:szCs w:val="20"/>
          <w:color w:val="auto"/>
        </w:rPr>
      </w:pPr>
      <w:r>
        <w:rPr>
          <w:rFonts w:ascii="Arial" w:cs="Arial" w:eastAsia="Arial" w:hAnsi="Arial"/>
          <w:sz w:val="16"/>
          <w:szCs w:val="16"/>
          <w:color w:val="auto"/>
        </w:rPr>
        <w:t>In determining whether any of the foregoing tests are satisfied, a U.S. Holder must take into account not only shares of our stock actually owned by the U.S. Holder, but also shares of our stock that are constructively owned by it. A U.S. Holder may constructively own, in addition to stock owned directly, stock owned by certain related individuals and entities in which the U.S. Holder has an interest or that have an interest in such U.S. Holder, as well as any stock the U.S. Holder has a right to acquire by exercise of an option, which would generally include shares of our Class A common stock which could be acquired pursuant to the exercise of the warrants. In order to meet the “substantially disproportionate” test, the percentage of our outstanding voting shares actually and constructively owned by the U.S. Holder immediately following the redemption of shares of our Class A common stock must, among other requirements, be less than 80% of the percentage of our outstanding voting stock actually and constructively owned by the U.S. Holder immediately before the redemption. Prior to our initial business combination, the shares of our Class A common stock may not be treated as voting shares for this purpose and, consequently, this substantially disproportionate test may not be applicable. There will be a complete termination of a U.S. Holder’s interest if either (i) all of our shares actually and constructively owned by the U.S. Holder are redeemed or (ii) all of our shares actually owned by the U.S. Holder are redeemed and the U.S. Holder is eligible to waive, and effectively waives in accordance with specific rules, the attribution of shares owned by certain family members and the U.S. Holder does not constructively own any other shares of our stock. The redemption of the shares of our Class A common stock will not be essentially equivalent to a dividend with respect to a U.S. Holder if it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stockholder in a publicly-held corporation who exercises no control over corporate affairs may constitute such a “meaningful reduction.” A U.S. Holder should consult with its own tax advisors as to the tax consequences of a redemption.</w:t>
      </w:r>
    </w:p>
    <w:p>
      <w:pPr>
        <w:spacing w:after="0" w:line="174"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If none of the foregoing tests are satisfied, then the redemption will be treated as a corporate distribution and the tax effects will be as described under “U.S. Holders — Taxation of Distributions” above. After the application of those rules, any remaining tax basis of the U.S. Holder in the redeemed shares of our Class A common stock will be added to the U.S. Holder’s adjusted tax basis in its remaining shares, or, if it has none, to the U.S. Holder’s adjusted tax basis in its warrants or possibly in other stock constructively owned by 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Lapse or Redemption of a Warrant</w:t>
      </w:r>
    </w:p>
    <w:p>
      <w:pPr>
        <w:spacing w:after="0" w:line="225"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Except as discussed below with respect to the cashless exercise of a warrant, a U.S. Holder generally will not recognize gain or loss upon the acquisition of a share of our Class A common stock on the exercise of a warrant for cash. A U.S. Holder’s initial tax basis in a share of our Class A common stock received upon exercise of the warrant generally will equal the sum of the U.S. Holder’s initial investment in the warrant (that is, the portion of the U.S. Holder’s purchase price for the units that is allocated to the warrant, as described above under “— Allocation of Purchase Price and Characterization of a Unit”) and the exercise price of such warrant. It is unclear whether a U.S. Holder’s holding period for the share of our Class A common stock received upon exercise of the warrants will commence on the date of exercise of the warrant or the day following the date of exercise of the warrant; in either case, the holding period will not include the period during which the U.S. Holder held the warrant. If a warrant is allowed to lapse unexercised, a U.S. Holder generally will recognize a capital loss equal to such holder’s tax basis in the warrant.</w:t>
      </w:r>
    </w:p>
    <w:p>
      <w:pPr>
        <w:spacing w:after="0" w:line="178"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tax consequences of a cashless exercise of a warrant are not clear under current law. A cashless exercise may not be taxable, either because the exercise is not a realization event or because the exercise is treated as a “recapitalization” for U.S. federal income tax purposes. In either situation, a U.S. Holder’s tax basis in the shares of our Class A common stock received generally would equal the U.S. Holder’s tax basis in the warrants exercised therefor. If the cashless exercise were not a realization event, it is unclear whether a U.S. Holder’s holding period for the shares of our Class A common stock will commence on the date of exercise of the warrant or the day following the date of exercise of the warrant. If the cashless exercise were treated as a recapitalization, the holding period of the shares of our Class A common stock would include the holding period of the warrants exercised therefor.</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62" w:name="page163"/>
    <w:bookmarkEnd w:id="162"/>
    <w:p>
      <w:pPr>
        <w:ind w:right="40" w:firstLine="324"/>
        <w:spacing w:after="0" w:line="269" w:lineRule="auto"/>
        <w:rPr>
          <w:sz w:val="20"/>
          <w:szCs w:val="20"/>
          <w:color w:val="auto"/>
        </w:rPr>
      </w:pPr>
      <w:r>
        <w:rPr>
          <w:rFonts w:ascii="Arial" w:cs="Arial" w:eastAsia="Arial" w:hAnsi="Arial"/>
          <w:sz w:val="17"/>
          <w:szCs w:val="17"/>
          <w:color w:val="auto"/>
        </w:rPr>
        <w:t>It is also possible that a cashless exercise could be treated in whole or in part as a taxable exchange in which gain or loss would be recognized. In such event, a U.S. Holder could be deemed to have surrendered a number of warrants having an aggregate value (as measured by the excess of the fair market value of our Class A common stock over the exercise price of the warrants) equal to the exercise price for the total number of warrants to be exercised (</w:t>
      </w:r>
      <w:r>
        <w:rPr>
          <w:rFonts w:ascii="Arial" w:cs="Arial" w:eastAsia="Arial" w:hAnsi="Arial"/>
          <w:sz w:val="17"/>
          <w:szCs w:val="17"/>
          <w:i w:val="1"/>
          <w:iCs w:val="1"/>
          <w:color w:val="auto"/>
        </w:rPr>
        <w:t>i.e.</w:t>
      </w:r>
      <w:r>
        <w:rPr>
          <w:rFonts w:ascii="Arial" w:cs="Arial" w:eastAsia="Arial" w:hAnsi="Arial"/>
          <w:sz w:val="17"/>
          <w:szCs w:val="17"/>
          <w:color w:val="auto"/>
        </w:rPr>
        <w:t>, the warrants underlying the number of shares of our Class A common stock actually received by the U.S. Holder pursuant to the cashless exercise). The U.S. Holder would recognize capital gain or loss in an amount equal to the difference between the value of the warrants deemed surrendered and the U.S. Holder’s tax basis in such warrants. Such gain or loss would be long-term or short-term, depending on the U.S. Holder’s holding period in the warrants deemed surrendered. In this case, a U.S. Holder’s tax basis in the Class A common stock received would equal the sum of the U.S. Holder’s tax basis in the warrants exercised and the exercise price of such warrants. It is unclear whether a U.S. Holder’s holding period for the Class A common stock would commence on the date following the date of exercise or on the date of exercise of the warrant; in either case, the holding period would not include the period during which the U.S. Holder held the warrant.</w:t>
      </w:r>
    </w:p>
    <w:p>
      <w:pPr>
        <w:spacing w:after="0" w:line="18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Alternative characterizations are also possible (including as a taxable exchange of all of the warrants surrendered by the U.S. Holder for shares of our Class A common stock received upon exercise). Due to the absence of authority on the U.S. federal income tax treatment of a cashless exercise, including when a U.S. Holder’s holding period would commence with respect to the Class A common stock received, there can be no assurance 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18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If we redeem warrants for cash pursuant to the redemption provisions described in the section of this prospectus entitled “Description of Securities — Warrants — Public Stockholders’ Warrants” or if we purchase warrants in an open market transaction, such redemption or purchase generally will be treated as a taxable disposition to the U.S. Holder, taxed as described above under “U.S. Holders — Gain or Loss on Sale, Taxable Exchange or Other Taxable Disposition of Our Class A Common Stock and Warrants.”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Possible Constructive Distributions</w:t>
      </w:r>
    </w:p>
    <w:p>
      <w:pPr>
        <w:spacing w:after="0" w:line="22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terms of each warrant provide for an adjustment to the number of shares of our Class A common stock for which the warrant may be exercised or to the exercise price of the warrant in certain events, as discussed in the section of this prospectus entitled “Description of Securities — Warrants — Public Stockholders’ Warrants.” Depending on the circumstances, such adjustments may be treated as constructive distributions. An adjustment which has the effect of preventing dilution pursuant to a bona fide reasonable adjustment formula generally is not taxable. The U.S. Holders of the warrants would, however, be treated as receiving a constructive distribution from us if, for example, the adjustment increases the warrant holders’ proportionate interest in our assets or earnings and profits (e.g., through an increase in the number of shares of our Class A common stock that would be obtained upon exercise or through a decrease to the exercise price) as a result of a taxable distribution of cash or other property to the holders of shares of our Class A common stock. Any such constructive distribution would generally be subject to tax as described under “U.S. Holders — Taxation of Distributions” above in the same manner as if the U.S. Holders of the warrants received a cash distribution from us equal to the fair market value of such increased interest resulting from the adjustment.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Non-U.S. Holders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This section applies to “Non-U.S. Holders.” As used herein, the term “Non-U.S. Holder” means a beneficial owner of our units, Class A common stock or warrants that is not a U.S. Holder and is not a partnership or other entity classified as a partnership for U.S. federal income tax purposes, but such term generally does not include an individual who is present in the United States for 183 days or more in the taxable year of disposition. If you are such an individual, you should consult your tax advisor regarding the U.S. federal income tax consequences of the acquisition, ownership or sale or other disposition of our securities.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i w:val="1"/>
          <w:iCs w:val="1"/>
          <w:color w:val="auto"/>
        </w:rPr>
        <w:t>Taxation of Distributions</w:t>
      </w:r>
    </w:p>
    <w:p>
      <w:pPr>
        <w:spacing w:after="0" w:line="22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In general, any distributions (including constructive distributions) we make to a Non-U.S. Holder of shares of our Class A common stock, to the extent paid out of our current or accumulated earnings and profits (as determined under U.S. federal income tax principles), will constitute dividends for U.S. federal income tax purposes. Provided such dividends are not effectively connected with the Non-U.S. Holder’s conduct of a trade or business within the United States (or, if required pursuant to an applicable income tax treaty, are not attributable to a permanent establishment of fixed base maintained by the Non-U.S. Holder 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shares of our Class A common stock, which will be treated as described under “Non-U.S. Holders — Gain on Sale, Taxable Exchange or Other Taxable Disposition of Our Securities” below. In addition, if we determine that we are or are likely to be classified as a “United States real property holding corporation” (see “Non-U.S. Holders — Gain on Sale, Taxable Exchange or Other Taxable Disposition of Our Securities” below), we will withhold 15% of any distribution that exceeds our current and accumulated earnings and profits, including a distribution in redemption of shares of our Class A common stock. See also “Non-U.S. Holders — Possible Constructive Distributions” for potential U.S. federal tax consequences with respect to constructive distributions.</w:t>
      </w:r>
    </w:p>
    <w:p>
      <w:pPr>
        <w:spacing w:after="0" w:line="176" w:lineRule="exact"/>
        <w:rPr>
          <w:sz w:val="20"/>
          <w:szCs w:val="20"/>
          <w:color w:val="auto"/>
        </w:rPr>
      </w:pPr>
    </w:p>
    <w:p>
      <w:pPr>
        <w:ind w:right="400" w:firstLine="324"/>
        <w:spacing w:after="0" w:line="291" w:lineRule="auto"/>
        <w:rPr>
          <w:sz w:val="20"/>
          <w:szCs w:val="20"/>
          <w:color w:val="auto"/>
        </w:rPr>
      </w:pPr>
      <w:r>
        <w:rPr>
          <w:rFonts w:ascii="Arial" w:cs="Arial" w:eastAsia="Arial" w:hAnsi="Arial"/>
          <w:sz w:val="16"/>
          <w:szCs w:val="16"/>
          <w:color w:val="auto"/>
        </w:rPr>
        <w:t>Dividends that we pay to a Non-U.S. Holder that are effectively connected with such Non-U.S. Holder’s conduct of a trade or business within the United States (and, if a tax treaty applies, are attributable to a permanent establishment or fixed base maintained by the Non-U.S. Holder in the</w:t>
      </w:r>
    </w:p>
    <w:p>
      <w:pPr>
        <w:ind w:right="100"/>
        <w:spacing w:after="0" w:line="295" w:lineRule="auto"/>
        <w:rPr>
          <w:sz w:val="20"/>
          <w:szCs w:val="20"/>
          <w:color w:val="auto"/>
        </w:rPr>
      </w:pPr>
      <w:r>
        <w:rPr>
          <w:rFonts w:ascii="Arial" w:cs="Arial" w:eastAsia="Arial" w:hAnsi="Arial"/>
          <w:sz w:val="16"/>
          <w:szCs w:val="16"/>
          <w:color w:val="auto"/>
        </w:rPr>
        <w:t>United States) will not be subject to U.S. withholding tax, provided such Non-U.S. Holder complies with certain certification and disclosure requirements (usually by providing an IRS Form W-8ECI). Instead, the effectively connected dividends will be subject to regular U.S. federal income tax as if the Non-U.S. Holder were a U.S. resident, unless an applicable income tax treaty provides otherwise. A Non-U.S. Holder that is a foreign corporation receiving effectively connected dividends may also be subject to an additional “branch profits tax” imposed at a rate of 30% (or a lower treaty rate).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Lapse or Redemption of a Warrant.</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U.S. federal income tax treatment of a Non-U.S. Holder’s exercise of a warrant or the lapse of a warrant held by a Non-U.S. Holder generally will correspond to the U.S. federal income tax treatment of a U.S. Holder, as described under “U.S. Holders — Exercise, Lapse or Redemption of a Warrant” above, although to the extent a cashless exercise results in a taxable exchange, the consequences would be similar to those described below under “Non-U.S. Holders — Gain on Sale, Taxable Exchange or Other Taxable Disposition of Our Securities.” The U.S. federal income tax treatment for a Non-U.S. Holder of a redemption of warrants for cash (or if we purchase warrants in an open market transaction) would be similar to that described below in “Non-U.S. Holders — Gain on Sale, Taxable Exchange or Other Taxable Disposition of Our Securities.”</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i w:val="1"/>
          <w:iCs w:val="1"/>
          <w:color w:val="auto"/>
        </w:rPr>
        <w:t>Gain on Sale, Taxable Exchange or Other Taxable Disposition of Our Securities</w:t>
      </w:r>
    </w:p>
    <w:p>
      <w:pPr>
        <w:spacing w:after="0" w:line="225"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Subject to the discussion of FATCA and backup withholding below, a Non-U.S. Holder generally will not be subject to U.S. federal income or withholding tax in respect of gain recognized on a sale, taxable exchange or other taxable disposition of shares of our Class A common stock (including upon a dissolution and liquidation if we do not complete an initial business combination within the required time period) or warrants (including an expiration or redemption of our warrants), in each case without regard to whether such securities were held as part of a unit, unless:</w:t>
      </w:r>
    </w:p>
    <w:p>
      <w:pPr>
        <w:spacing w:after="0" w:line="171" w:lineRule="exact"/>
        <w:rPr>
          <w:sz w:val="20"/>
          <w:szCs w:val="20"/>
          <w:color w:val="auto"/>
        </w:rPr>
      </w:pPr>
    </w:p>
    <w:p>
      <w:pPr>
        <w:ind w:left="660" w:right="480" w:hanging="328"/>
        <w:spacing w:after="0" w:line="342" w:lineRule="auto"/>
        <w:tabs>
          <w:tab w:leader="none" w:pos="6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gain is effectively connected with the conduct of a trade or business by the Non-U.S. Holder within the United States (and, under certain income tax treaties, is attributable to a permanent establishment or fixed base maintained by the Non-U.S. Holder in the United States); or</w:t>
      </w:r>
    </w:p>
    <w:p>
      <w:pPr>
        <w:spacing w:after="0" w:line="123" w:lineRule="exact"/>
        <w:rPr>
          <w:rFonts w:ascii="Arial" w:cs="Arial" w:eastAsia="Arial" w:hAnsi="Arial"/>
          <w:sz w:val="16"/>
          <w:szCs w:val="16"/>
          <w:color w:val="auto"/>
        </w:rPr>
      </w:pPr>
    </w:p>
    <w:p>
      <w:pPr>
        <w:ind w:left="660" w:right="40" w:hanging="328"/>
        <w:spacing w:after="0" w:line="271" w:lineRule="auto"/>
        <w:tabs>
          <w:tab w:leader="none" w:pos="6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has owned, directly or constructively, more than 5% of our Class A common stock at any time within the shorter of the five-year period preceding the disposition or such Non-U.S. Holder’s holding period for the shares of our Class A common stock. There can be no assurance that our Class A common stock will be treated as regularly traded on an established securities market for this purpose. These rules may be modified for Non-U.S. Holders of warrants. If we are or have been a “United States real property holding corporation” and you own warrants, you are urged to consult your own tax advisor regarding the application of these rules.</w:t>
      </w:r>
    </w:p>
    <w:p>
      <w:pPr>
        <w:spacing w:after="0" w:line="178"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Unless an applicable treaty provides otherwise, gain described in the first bullet point above will generally be subject to tax at the applicable U.S. federal income tax rates as if the Non-U.S. Holder were a U.S. resident. Any gains described in the first bullet point above of a Non-U.S. Holder that is a foreign corporation may also be subject to an additional “branch profits tax” at a 30% rate (or lower treaty rate).</w:t>
      </w:r>
    </w:p>
    <w:p>
      <w:pPr>
        <w:spacing w:after="0" w:line="16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If the second bullet point above applies to a Non-U.S. Holder, gain recognized by such holder on the sale, exchange or other disposition of our Class A common stock or warrants will generally be subject to tax at applicable U.S. federal income tax rates as if the Non-U.S. Holder were a U.S. resident. In addition, a buyer of our Class A common stock or warrants from such holder may be required to withhold U.S. federal income tax at a rate of 15% of the amount realized upon such disposition. We cannot determine whether we will be a United States real property holding corporation in the future until we complete an initial business combination. In general, we would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Our Class A Common Stock</w:t>
      </w:r>
    </w:p>
    <w:p>
      <w:pPr>
        <w:spacing w:after="0" w:line="225" w:lineRule="exact"/>
        <w:rPr>
          <w:sz w:val="20"/>
          <w:szCs w:val="20"/>
          <w:color w:val="auto"/>
        </w:rPr>
      </w:pPr>
    </w:p>
    <w:p>
      <w:pPr>
        <w:jc w:val="both"/>
        <w:ind w:right="160" w:firstLine="324"/>
        <w:spacing w:after="0" w:line="287" w:lineRule="auto"/>
        <w:rPr>
          <w:sz w:val="20"/>
          <w:szCs w:val="20"/>
          <w:color w:val="auto"/>
        </w:rPr>
      </w:pPr>
      <w:r>
        <w:rPr>
          <w:rFonts w:ascii="Arial" w:cs="Arial" w:eastAsia="Arial" w:hAnsi="Arial"/>
          <w:sz w:val="16"/>
          <w:szCs w:val="16"/>
          <w:color w:val="auto"/>
        </w:rPr>
        <w:t>The characterization for U.S. federal income tax purposes of the redemption of a Non-U.S. Holder’s shares of our Class A common stock pursuant to the redemption provisions described in the section of this prospectus entitled “Description of Securities — Common Stock” will generally correspond to the U.S. federal income tax characterization of such a redemption of a U.S. Holder’s shares of our Class A common stock, as described under “U.S.</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Holders — Redemption of Our Class A Common Stock” above, and the consequences of the redemption to the Non-U.S. Holder will be as described above under “Non-U.S. Holders — Taxation of Distributions” and “Non-U.S. Holders — Gain on Sale, Taxable Exchange or Other Taxable Disposition of Our Securities,” as applicable.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Possible Constructive Distributions</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terms of each warrant provide for an adjustment to the number of shares of our Class A common stock for which the warrant may be exercised or to the exercise price of the warrant in certain events, as discussed in the section of this prospectus entitled “Description of Securities — Warrants — Public Stockholders’ Warrants.” Depending on the circumstances, such adjustments may be treated as constructive distributions. An adjustment which has the effect of preventing dilution pursuant to a bona fide reasonable adjustment formula generally is not taxable. The Non-U.S. Holders of the warrants would, however, be treated as receiving a constructive distribution from us if, for example, the adjustment increases the warrant holders’ proportionate interest in our assets or earnings and profits (e.g., through an increase in the number of shares of our Class A common stock that would be obtained upon exercise or through a decrease to the exercise price) as a result of a taxable distribution of cash or other property to the holders of shares of our Class A common stock. Any such constructive distribution would generally be taxed as described under “Non-U.S. Holders — Taxation of Distributions” above, in the same manner as if the Non-U.S. Holders of the warrants received a cash distribution from us equal to the fair market value of such increased interest resulting from the adjustment.</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Dividend payments (including constructive dividends) with respect to our Class A common stock and proceeds from the sale, exchange or redemption of shares of our Class A common stock or warrants may be subject to information reporting to the IRS and possible United States backup withholding. Backup withholding will not apply, however, to payments made to a U.S. Holder who furnishes a correct taxpayer identification number and makes other required certifications, or who is otherwise exempt from backup withholding and establishes such exempt status. Payments made to a Non-U.S. Holder generally will not be subject to backup withholding if the Non-U.S. Holder provides certification of its foreign status, under penalties of perjury, on a duly executed applicable IRS Form W-8 or by otherwise establishing an exemption.</w:t>
      </w:r>
    </w:p>
    <w:p>
      <w:pPr>
        <w:spacing w:after="0" w:line="17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Backup withholding is not an additional tax. Amounts withheld under the backup withholding rules may be credited against a holder’s U.S. federal income tax liability, and a holder generally may obtain a refund of any excess amounts withheld by timely filing the appropriate claim for refund with the IRS and furnishing any required information. All holders should consult their tax advisors regarding the application of information reporting and backup withholding to them.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 Withholding Taxes</w:t>
      </w:r>
    </w:p>
    <w:p>
      <w:pPr>
        <w:spacing w:after="0" w:line="229"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Sections 1471 through 1474 of the Code and the Treasury Regulations and administrative guidance promulgated thereunder (commonly referred to as the “Foreign Account Tax Compliance Act” or “FATCA”) generally impose withholding of 30% in certain circumstances on payments of dividends (including constructive dividends) and, subject to the proposed Treasury Regulations discussed below, on proceeds from sales or other disposition of our securities paid to “foreign financial institutions” (which is broadly defined for this purpose and includes investment vehicles) and certain other non-U.S. entities unless various U.S. information reporting and due diligence requirements (relating to ownership by U.S. persons of interests in or accounts with those entities) have been satisfied or an exemption applies (typically certified as to by the delivery of a properly completed IRS Form W-8BEN-E). If FATCA withholding is imposed, a beneficial owner that is not a foreign financial institution will be entitled to a refund of any amounts withheld by filing a U.S. federal income tax return (which may entail significant administrative burden). Foreign financial institutions located in jurisdictions that have an intergovernmental agreement with the United States governing FATCA may be subject to different rules. Similarly, dividends and, subject to the proposed Treasury Regulations discussed below, proceeds from sales or other disposition in respect of our units held by an investor that is a non-financial non-U.S. entity that does not qualify under certain exceptions generally will be subject to withholding at a rate of 30%, unless such entity either (i) certifies to us or the applicable withholding agent that such entity does not have any “substantial United States owners” or (ii) provides certain information regarding the entity’s “substantial United States owners,” which will in turn be provided to the U.S. Department of the Treasury. The U.S. Department of the Treasury has proposed regulations which eliminate the federal withholding tax of 30% applicable to the gross proceeds of a sale or other disposition of our securities. Withholding agents may rely on the proposed Treasury Regulations until final regulations are issued. Prospective investors should consult their tax advisors regarding the possible effects of FATCA on their investment in our securities.</w:t>
      </w:r>
    </w:p>
    <w:p>
      <w:pPr>
        <w:spacing w:after="0" w:line="172"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b w:val="1"/>
          <w:bCs w:val="1"/>
          <w:color w:val="auto"/>
        </w:rPr>
        <w:t>THE U.S. FEDERAL INCOME TAX DISCUSSION SET FORTH ABOVE IS INCLUDED FOR GENERAL INFORMATION ONLY AND MAY NOT BE APPLICABLE DEPENDING UPON A HOLDER’S PARTICULAR SITUATION. HOLDERS ARE URGED TO CONSULT THEIR OWN TAX ADVISORS WITH RESPECT TO THE TAX CONSEQUENCES TO THEM OF THE ACQUISITION, OWNERSHIP AND DISPOSITION OF OUR CLASS A COMMON STOCK AND WARRANTS, INCLUDING THE TAX CONSEQUENCES UNDER STATE, LOCAL, ESTATE, NON-U.S. AND OTHER TAX LAWS AND TAX TREATIES AND THE POSSIBLE EFFECTS OF CHANGES IN U.S. OR OTHER TAX LAWS.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representative is acting as the sole book-running manager of the offering and as representative of the underwriters named below. Subject to the terms and conditions of the underwriting agreement dated the date of this prospectus, the underwriters named below, through the representative, have severally agreed to purchase, and we have agreed to sell to the underwriters, the following respective number of units set forth opposite the underwriter’s name.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ind w:left="180"/>
              <w:spacing w:after="0"/>
              <w:rPr>
                <w:sz w:val="20"/>
                <w:szCs w:val="20"/>
                <w:color w:val="auto"/>
              </w:rPr>
            </w:pPr>
            <w:r>
              <w:rPr>
                <w:rFonts w:ascii="Arial" w:cs="Arial" w:eastAsia="Arial" w:hAnsi="Arial"/>
                <w:sz w:val="18"/>
                <w:szCs w:val="18"/>
                <w:b w:val="1"/>
                <w:bCs w:val="1"/>
                <w:color w:val="auto"/>
              </w:rPr>
              <w:t>Number of</w:t>
            </w:r>
          </w:p>
        </w:tc>
      </w:tr>
      <w:tr>
        <w:trPr>
          <w:trHeight w:val="234"/>
        </w:trPr>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Underwriters</w:t>
            </w:r>
          </w:p>
        </w:tc>
        <w:tc>
          <w:tcPr>
            <w:tcW w:w="1340" w:type="dxa"/>
            <w:vAlign w:val="bottom"/>
            <w:gridSpan w:val="3"/>
          </w:tcPr>
          <w:p>
            <w:pPr>
              <w:ind w:left="420"/>
              <w:spacing w:after="0"/>
              <w:rPr>
                <w:sz w:val="20"/>
                <w:szCs w:val="20"/>
                <w:color w:val="auto"/>
              </w:rPr>
            </w:pPr>
            <w:r>
              <w:rPr>
                <w:rFonts w:ascii="Arial" w:cs="Arial" w:eastAsia="Arial" w:hAnsi="Arial"/>
                <w:sz w:val="18"/>
                <w:szCs w:val="18"/>
                <w:b w:val="1"/>
                <w:bCs w:val="1"/>
                <w:color w:val="auto"/>
              </w:rPr>
              <w:t>Units</w:t>
            </w:r>
          </w:p>
        </w:tc>
      </w:tr>
      <w:tr>
        <w:trPr>
          <w:trHeight w:val="223"/>
        </w:trPr>
        <w:tc>
          <w:tcPr>
            <w:tcW w:w="9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EF Hutton, division of Benchmark Investments, LLC</w:t>
            </w:r>
          </w:p>
        </w:tc>
        <w:tc>
          <w:tcPr>
            <w:tcW w:w="2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88"/>
              </w:rPr>
              <w:t>25,000,000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r>
      <w:tr>
        <w:trPr>
          <w:trHeight w:val="223"/>
        </w:trPr>
        <w:tc>
          <w:tcPr>
            <w:tcW w:w="9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88"/>
              </w:rPr>
              <w:t>25,000,000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underwriting agreement provides that the obligations of the underwriters to purchase the units included in this offering are subject to approval of legal matters by counsel and to other conditions. The underwriters are obligated to purchase all of the units (other than those covered by the over-allotment option described below) if they purchase any of the units.</w:t>
      </w:r>
    </w:p>
    <w:p>
      <w:pPr>
        <w:spacing w:after="0" w:line="184"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Units sold by the underwriters to the public will initially be offered at the initial public offering price set forth on the cover of this prospectus. Any units sold by the underwriters to securities dealers may be sold at a discount from the initial public offering price not to exceed $0.45 per unit. If all of the units are not sold at the initial offering price, the underwriters may change the offering price and the other selling terms. The underwriters have advised us that they do not intend to make sales to discretionary accounts.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Units</w:t>
      </w:r>
    </w:p>
    <w:p>
      <w:pPr>
        <w:spacing w:after="0" w:line="229"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If the underwriters sell more units than the total number set forth in the table above, we have granted to the underwriters an option, exercisable for 45 days from the date of this prospectus, to purchase up to 3,750,000 additional units at the public offering price less the underwriting discount. The underwriters may exercise this option solely for the purpose of covering over-allotments, if any, in connection with this offering. Any units issued or sold under the option will be issued and sold on the same terms and conditions as the other units that are the subject of this offering.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 Agreements</w:t>
      </w:r>
    </w:p>
    <w:p>
      <w:pPr>
        <w:spacing w:after="0" w:line="22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our sponsor and our officers and directors have agreed that, for a period of 180 days from the date of this prospectus, we and they will not, without the prior written consent of the representative,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with respect to any units, shares of common stock, warrants or any securities convertible into, or exercisable, or exchangeable for, shares of common stock, (ii) enter into any swap or other arrangement that transfers to another, in whole or in part, any of the economic consequences of ownership of any units, shares of common stock, warrants or any securities convertible into, or exercisable, or exchangeable for, shares of common stock, whether any such transaction is to be settled by delivery of such securities, in cash or otherwise, or (iii) publicly announce any intention to effect any transaction specified in clause (i) or (ii), subject to certain exceptions. The representative in its sole discretion may release any of the securities subject to the lock-up agreement at any time without notice, other than in the case of the officers and directors, which shall be with notice. Our sponsor, officers and directors are also subject to separate transfer restrictions on their founder shares and placement units pursuant to the letter agreement as described herein.</w:t>
      </w:r>
    </w:p>
    <w:p>
      <w:pPr>
        <w:spacing w:after="0" w:line="182"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Our initial stockholders have agreed not to transfer, assign or sell any of their founder shares (or shares of common stock issuable upon conversion thereof) until the earlier to occur of: (A) six months after the completion of our initial business combination and (B) subsequent to our initial business combination, if the reported last sale price of our Class A common stock equals or exceeds $12.00 per share (as adjusted for stock splits, stock dividends, reorganizations, recapitalizations and the like) for any 20 trading days within any 30-trading day period commencing after our initial business combination (except with respect to permitted transferees as described herein under the section of this prospectus entitled “Principal Stockholders — Restrictions on Transfers of Founder Shares and Placement Units”).</w:t>
      </w:r>
    </w:p>
    <w:p>
      <w:pPr>
        <w:spacing w:after="0" w:line="192" w:lineRule="exact"/>
        <w:rPr>
          <w:sz w:val="20"/>
          <w:szCs w:val="20"/>
          <w:color w:val="auto"/>
        </w:rPr>
      </w:pPr>
    </w:p>
    <w:p>
      <w:pPr>
        <w:ind w:right="460" w:firstLine="324"/>
        <w:spacing w:after="0" w:line="259" w:lineRule="auto"/>
        <w:rPr>
          <w:sz w:val="20"/>
          <w:szCs w:val="20"/>
          <w:color w:val="auto"/>
        </w:rPr>
      </w:pPr>
      <w:r>
        <w:rPr>
          <w:rFonts w:ascii="Arial" w:cs="Arial" w:eastAsia="Arial" w:hAnsi="Arial"/>
          <w:sz w:val="18"/>
          <w:szCs w:val="18"/>
          <w:color w:val="auto"/>
        </w:rPr>
        <w:t>The placement units, placement shares and placement warrants (including the Class A common stock issuable upon exercise of the placement warrants) will not be transferable, assignable or salable until 30 days after the completion of our initial business combination (except with respect to permitted transferees as described herein under the section of this prospectus entitled “Principal Stockholders — Restrictions on Transfers of Founder Shares and Placement Units”).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Prior to this offering, there has been no public market for our securities. Consequently, the initial public offering price for the units was determined by negotiations between us and the underwriters. Among the factors considered in determining the initial public offering price were the history and prospects of companies whose principal business is the acquisition of other companies, prior offerings of those companies, our management, our capital structure, and currently prevailing general conditions in the equity securities markets, including current market valuations of publicly traded companies considered comparable to our company. We cannot assure you, however, that the price at which the units, Class A common stock or warrants will sell in the public market after this offering will not be lower than the initial public offering price or that an active trading market in our units, Class A common stock or warrants will develop and continue after this offering.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Listing</w:t>
      </w:r>
    </w:p>
    <w:p>
      <w:pPr>
        <w:spacing w:after="0" w:line="229" w:lineRule="exact"/>
        <w:rPr>
          <w:sz w:val="20"/>
          <w:szCs w:val="20"/>
          <w:color w:val="auto"/>
        </w:rPr>
      </w:pPr>
    </w:p>
    <w:p>
      <w:pPr>
        <w:ind w:right="200" w:firstLine="324"/>
        <w:spacing w:after="0" w:line="311" w:lineRule="auto"/>
        <w:rPr>
          <w:sz w:val="20"/>
          <w:szCs w:val="20"/>
          <w:color w:val="auto"/>
        </w:rPr>
      </w:pPr>
      <w:r>
        <w:rPr>
          <w:rFonts w:ascii="Arial" w:cs="Arial" w:eastAsia="Arial" w:hAnsi="Arial"/>
          <w:sz w:val="16"/>
          <w:szCs w:val="16"/>
          <w:color w:val="auto"/>
        </w:rPr>
        <w:t>We have applied to list our units on Nasdaq under the symbol “BRKHU.” We cannot guarantee that our securities will be approved for listing on Nasdaq. We expect that our units will be listed on Nasdaq on or promptly after the date of this prospectus. We expect that our Class A common stock and warrants will be listed under the symbols “BRKH” and “BRKHW,” respectively, once the Class A common stock and warrants begin separate trading.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Discount</w:t>
      </w:r>
    </w:p>
    <w:p>
      <w:pPr>
        <w:spacing w:after="0" w:line="229"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The following table shows the underwriting discounts and commissions that we are to pay to the underwriters in connection with this offering. These amounts are shown assuming both no exercise and full exercise of the underwriters’ over-allotment option. The upfront portion of the underwriting discounts and commissions will be $0.10 per unit.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gridSpan w:val="6"/>
          </w:tcPr>
          <w:p>
            <w:pPr>
              <w:ind w:left="460"/>
              <w:spacing w:after="0"/>
              <w:rPr>
                <w:sz w:val="20"/>
                <w:szCs w:val="20"/>
                <w:color w:val="auto"/>
              </w:rPr>
            </w:pPr>
            <w:r>
              <w:rPr>
                <w:rFonts w:ascii="Arial" w:cs="Arial" w:eastAsia="Arial" w:hAnsi="Arial"/>
                <w:sz w:val="18"/>
                <w:szCs w:val="18"/>
                <w:b w:val="1"/>
                <w:bCs w:val="1"/>
                <w:color w:val="auto"/>
              </w:rPr>
              <w:t>Payable by BurTech</w:t>
            </w: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gridSpan w:val="6"/>
          </w:tcPr>
          <w:p>
            <w:pPr>
              <w:ind w:left="580"/>
              <w:spacing w:after="0"/>
              <w:rPr>
                <w:sz w:val="20"/>
                <w:szCs w:val="20"/>
                <w:color w:val="auto"/>
              </w:rPr>
            </w:pPr>
            <w:r>
              <w:rPr>
                <w:rFonts w:ascii="Arial" w:cs="Arial" w:eastAsia="Arial" w:hAnsi="Arial"/>
                <w:sz w:val="18"/>
                <w:szCs w:val="18"/>
                <w:b w:val="1"/>
                <w:bCs w:val="1"/>
                <w:color w:val="auto"/>
              </w:rPr>
              <w:t>Acquisition Corp.</w:t>
            </w:r>
          </w:p>
        </w:tc>
        <w:tc>
          <w:tcPr>
            <w:tcW w:w="0" w:type="dxa"/>
            <w:vAlign w:val="bottom"/>
          </w:tcPr>
          <w:p>
            <w:pPr>
              <w:spacing w:after="0"/>
              <w:rPr>
                <w:sz w:val="1"/>
                <w:szCs w:val="1"/>
                <w:color w:val="auto"/>
              </w:rPr>
            </w:pPr>
          </w:p>
        </w:tc>
      </w:tr>
      <w:tr>
        <w:trPr>
          <w:trHeight w:val="223"/>
        </w:trPr>
        <w:tc>
          <w:tcPr>
            <w:tcW w:w="4560" w:type="dxa"/>
            <w:vAlign w:val="bottom"/>
            <w:tcBorders>
              <w:bottom w:val="single" w:sz="8" w:color="CCEEFF"/>
            </w:tcBorders>
          </w:tcPr>
          <w:p>
            <w:pPr>
              <w:spacing w:after="0"/>
              <w:rPr>
                <w:sz w:val="19"/>
                <w:szCs w:val="19"/>
                <w:color w:val="auto"/>
              </w:rPr>
            </w:pPr>
          </w:p>
        </w:tc>
        <w:tc>
          <w:tcPr>
            <w:tcW w:w="37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No Exercise</w:t>
            </w:r>
          </w:p>
        </w:tc>
        <w:tc>
          <w:tcPr>
            <w:tcW w:w="3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Full Exercise</w:t>
            </w:r>
          </w:p>
        </w:tc>
        <w:tc>
          <w:tcPr>
            <w:tcW w:w="100" w:type="dxa"/>
            <w:vAlign w:val="bottom"/>
            <w:tcBorders>
              <w:bottom w:val="single" w:sz="8" w:color="CCEEFF"/>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56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Per Unit</w:t>
            </w:r>
            <w:r>
              <w:rPr>
                <w:rFonts w:ascii="Arial" w:cs="Arial" w:eastAsia="Arial" w:hAnsi="Arial"/>
                <w:sz w:val="28"/>
                <w:szCs w:val="28"/>
                <w:color w:val="auto"/>
                <w:vertAlign w:val="superscript"/>
              </w:rPr>
              <w:t>(1)</w:t>
            </w:r>
          </w:p>
        </w:tc>
        <w:tc>
          <w:tcPr>
            <w:tcW w:w="3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line="284" w:lineRule="exact"/>
              <w:rPr>
                <w:sz w:val="20"/>
                <w:szCs w:val="20"/>
                <w:color w:val="auto"/>
              </w:rPr>
            </w:pPr>
            <w:r>
              <w:rPr>
                <w:rFonts w:ascii="Arial" w:cs="Arial" w:eastAsia="Arial" w:hAnsi="Arial"/>
                <w:sz w:val="18"/>
                <w:szCs w:val="18"/>
                <w:color w:val="auto"/>
              </w:rPr>
              <w:t>Total</w:t>
            </w:r>
            <w:r>
              <w:rPr>
                <w:rFonts w:ascii="Arial" w:cs="Arial" w:eastAsia="Arial" w:hAnsi="Arial"/>
                <w:sz w:val="29"/>
                <w:szCs w:val="29"/>
                <w:color w:val="auto"/>
                <w:vertAlign w:val="superscript"/>
              </w:rPr>
              <w:t>(1)</w:t>
            </w:r>
          </w:p>
        </w:tc>
        <w:tc>
          <w:tcPr>
            <w:tcW w:w="3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560" w:type="dxa"/>
            <w:vAlign w:val="bottom"/>
            <w:vMerge w:val="continue"/>
          </w:tcPr>
          <w:p>
            <w:pPr>
              <w:spacing w:after="0"/>
              <w:rPr>
                <w:sz w:val="22"/>
                <w:szCs w:val="22"/>
                <w:color w:val="auto"/>
              </w:rPr>
            </w:pPr>
          </w:p>
        </w:tc>
        <w:tc>
          <w:tcPr>
            <w:tcW w:w="3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11,250,000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12,937,500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40" w:hanging="332"/>
        <w:spacing w:after="0" w:line="311" w:lineRule="auto"/>
        <w:tabs>
          <w:tab w:leader="none" w:pos="3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Includes $0.35 per unit, or $8,750,000 (or $10,062,500 if the underwriters’ over-allotment option is exercised in full) in the aggregate payable to the underwriters for deferred underwriting commissions to be placed in a trust account located in the United States as described herein. The deferred commissions will be released to the representative only on completion of an initial business combination as described in this prospectus.</w:t>
      </w:r>
    </w:p>
    <w:p>
      <w:pPr>
        <w:spacing w:after="0" w:line="149"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If we do not complete our initial business combination and subsequently liquidate, the underwriters have agreed that (i) they will forfeit any rights or claims to their deferred underwriting discounts and commissions, including any accrued interest thereon, then in the trust account upon liquidation, and</w:t>
      </w:r>
    </w:p>
    <w:p>
      <w:pPr>
        <w:ind w:right="80" w:firstLine="8"/>
        <w:spacing w:after="0" w:line="260" w:lineRule="auto"/>
        <w:tabs>
          <w:tab w:leader="none" w:pos="26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that the deferred underwriters’ discounts and commissions will be distributed on a pro rata basis, including interest earned on the funds held in the trust account and not previously released to us to pay our taxes to the public stockholders.</w:t>
      </w:r>
    </w:p>
    <w:p>
      <w:pPr>
        <w:spacing w:after="0" w:line="185"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In addition to the underwriting discount, we have agreed to pay or reimburse the underwriters for bound volumes in form and style reasonably satisfactory to the Representative and transaction Lucite cubes or similar commemorative items in a style as reasonably requested by the Representative, reimbursement for background checks on our directors and executive officers, the reasonable fees of counsel of the Underwriters and other expenses, all subject to a maximum aggregate expense reimbursement of $50,000.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Representative Shares</w:t>
      </w:r>
    </w:p>
    <w:p>
      <w:pPr>
        <w:spacing w:after="0" w:line="22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have agreed to issue to the representative or its designees 375,000 shares (or 431,250 shares if the underwriters’ over-allotment option is exercised in full) of our Class A common stock upon the consummation of this offering. We refer to such shares of Class A common stock as the “representative shares.” The holders of the representative shares have agreed not to transfer, assign or sell any such shares without our prior consent until the completion of our initial business combination. In addition, the holders of the representative shares have agreed (i) to waive their redemption rights (or right to participate in any tender offer) with respect to such shares in connection with the completion of our initial business combination and (ii) to waive their rights to liquidating distributions from the trust account with respect to such shares if we fail to complete our initial business combination within 15 month from the closing of this offering.</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8" w:name="page169"/>
    <w:bookmarkEnd w:id="168"/>
    <w:p>
      <w:pPr>
        <w:ind w:right="20" w:firstLine="324"/>
        <w:spacing w:after="0" w:line="272" w:lineRule="auto"/>
        <w:rPr>
          <w:sz w:val="20"/>
          <w:szCs w:val="20"/>
          <w:color w:val="auto"/>
        </w:rPr>
      </w:pPr>
      <w:r>
        <w:rPr>
          <w:rFonts w:ascii="Arial" w:cs="Arial" w:eastAsia="Arial" w:hAnsi="Arial"/>
          <w:sz w:val="17"/>
          <w:szCs w:val="17"/>
          <w:color w:val="auto"/>
        </w:rPr>
        <w:t>The representative shares have been deemed compensation by FINRA and are therefore subject to a lock-up for a period of 180 days immediately following the date of the effectiveness of the registration statement of which this prospectus forms a part pursuant to Rule 5110(e)(1) of the FINRA Manual. Pursuant to FINRA Rule 5110(e)(1), these securities will not be sold during the offering, or sold, transferred, assigned, pledged, or hypothecated, or be the subject of any hedging, short sale, derivative, put or call transaction that would result in the economic disposition of the securities by any person for a period of 180 days immediately following the effective date of the registration statement of which this prospectus forms a part or commencement of sales of the public offering, except to any underwriter and selected dealer participating in the offering and their bona fide officers or partners, provided that all securities so transferred remain subject to the lockup restriction above for the remainder of the time period.</w:t>
      </w:r>
    </w:p>
    <w:p>
      <w:pPr>
        <w:spacing w:after="0" w:line="17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have granted the holders of these shares the registration rights as described under the section “Shares Eligible for Future Sale — Registration Rights.” Notwithstanding anything to the contrary, under FINRA Rule 5110(g)(8), the underwriters and/or their designees may only make a demand registration on one occasion during the five-year period beginning on the effective date of the registration statement of which this prospectus is a part, and the underwriters and/or their designees may participate in a “piggy-back” registration only during the seven-year period beginning on the effective date of the registration statement of which this prospectus is a part.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First Refusal</w:t>
      </w:r>
    </w:p>
    <w:p>
      <w:pPr>
        <w:spacing w:after="0" w:line="229"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Subject to certain conditions, we granted the representative, for a period of 15 months after the date of the consummation of our business combination, an irrevocable right of first refusal to act as sole investment banker, sole book runner, and/or sole placement agent, at the representative’s sole discretion, for each and every future public and private equity and debt offering, including all equity linked financings for us or any of our successors or current or future subsidiaries. In accordance with FINRA Rule 5110(g)(6)(A), such right of first refusal shall not have a duration of more than three years from the effective date of the registration statement of which this prospectus forms a part.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We have agreed to indemnify the underwriters against certain liabilities, including civil liabilities under the Securities Act. If we are unable to provide this indemnification, we have agreed to contribute to payments the underwriters may be required to make in respect of those liabilities.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Sales</w:t>
      </w:r>
    </w:p>
    <w:p>
      <w:pPr>
        <w:spacing w:after="0" w:line="229"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In connection with the offering, the underwriters may purchase and sell units in the open market. Purchases and sales in the open market may include short sales, purchases to cover short positions, which may include purchases pursuant to the over-allotment option and stabilizing purchases, in accordance with Regulation M under the Exchange Act.</w:t>
      </w:r>
    </w:p>
    <w:p>
      <w:pPr>
        <w:spacing w:after="0" w:line="184" w:lineRule="exact"/>
        <w:rPr>
          <w:sz w:val="20"/>
          <w:szCs w:val="20"/>
          <w:color w:val="auto"/>
        </w:rPr>
      </w:pPr>
    </w:p>
    <w:p>
      <w:pPr>
        <w:ind w:left="720" w:hanging="388"/>
        <w:spacing w:after="0"/>
        <w:tabs>
          <w:tab w:leader="none" w:pos="7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Short sales involve secondary market sales by the underwriters of a greater number of units than it is required to purchase in the offering.</w:t>
      </w:r>
    </w:p>
    <w:p>
      <w:pPr>
        <w:spacing w:after="0" w:line="236" w:lineRule="exact"/>
        <w:rPr>
          <w:rFonts w:ascii="Arial" w:cs="Arial" w:eastAsia="Arial" w:hAnsi="Arial"/>
          <w:sz w:val="17"/>
          <w:szCs w:val="17"/>
          <w:color w:val="auto"/>
        </w:rPr>
      </w:pPr>
    </w:p>
    <w:p>
      <w:pPr>
        <w:ind w:left="720" w:hanging="388"/>
        <w:spacing w:after="0"/>
        <w:tabs>
          <w:tab w:leader="none" w:pos="7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“Covered” short sales are sales of units in an amount up to the number of units represented by the underwriters’ over-allotment option.</w:t>
      </w:r>
    </w:p>
    <w:p>
      <w:pPr>
        <w:spacing w:after="0" w:line="236" w:lineRule="exact"/>
        <w:rPr>
          <w:rFonts w:ascii="Arial" w:cs="Arial" w:eastAsia="Arial" w:hAnsi="Arial"/>
          <w:sz w:val="17"/>
          <w:szCs w:val="17"/>
          <w:color w:val="auto"/>
        </w:rPr>
      </w:pPr>
    </w:p>
    <w:p>
      <w:pPr>
        <w:ind w:left="720" w:hanging="388"/>
        <w:spacing w:after="0"/>
        <w:tabs>
          <w:tab w:leader="none" w:pos="7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“Naked” short sales are sales of units in an amount in excess of the number of units represented by the underwriters’ over-allotment option.</w:t>
      </w: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69" w:name="page170"/>
    <w:bookmarkEnd w:id="169"/>
    <w:p>
      <w:pPr>
        <w:ind w:left="720" w:hanging="388"/>
        <w:spacing w:after="0" w:line="277" w:lineRule="auto"/>
        <w:tabs>
          <w:tab w:leader="none" w:pos="7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Covering transactions involve purchases of units either pursuant to the over-allotment option or in the open market after the distribution has been completed in order to cover short positions.</w:t>
      </w:r>
    </w:p>
    <w:p>
      <w:pPr>
        <w:spacing w:after="0" w:line="170" w:lineRule="exact"/>
        <w:rPr>
          <w:rFonts w:ascii="Arial" w:cs="Arial" w:eastAsia="Arial" w:hAnsi="Arial"/>
          <w:sz w:val="18"/>
          <w:szCs w:val="18"/>
          <w:color w:val="auto"/>
        </w:rPr>
      </w:pPr>
    </w:p>
    <w:p>
      <w:pPr>
        <w:ind w:left="720" w:right="20" w:hanging="388"/>
        <w:spacing w:after="0" w:line="286" w:lineRule="auto"/>
        <w:tabs>
          <w:tab w:leader="none" w:pos="7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To close a naked short position, the underwriters must purchase units in the open market after the distribution has been completed. A naked short position is more likely to be created if the underwriters are concerned that there may be downward pressure on the price of the units in the open market after pricing that could adversely affect investors who purchase in the offering.</w:t>
      </w:r>
    </w:p>
    <w:p>
      <w:pPr>
        <w:spacing w:after="0" w:line="165" w:lineRule="exact"/>
        <w:rPr>
          <w:rFonts w:ascii="Arial" w:cs="Arial" w:eastAsia="Arial" w:hAnsi="Arial"/>
          <w:sz w:val="17"/>
          <w:szCs w:val="17"/>
          <w:color w:val="auto"/>
        </w:rPr>
      </w:pPr>
    </w:p>
    <w:p>
      <w:pPr>
        <w:ind w:left="720" w:right="140" w:hanging="388"/>
        <w:spacing w:after="0" w:line="259" w:lineRule="auto"/>
        <w:tabs>
          <w:tab w:leader="none" w:pos="7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close a covered short position, the underwriters must purchase units in the open market after the distribution has been completed or must exercise the over-allotment option. In determining the source of units to close the covered short position, the underwriters will consider, among other things, the price of units available for purchase in the open market as compared to the price at which they may purchase units through the over-allotment option.</w:t>
      </w:r>
    </w:p>
    <w:p>
      <w:pPr>
        <w:spacing w:after="0" w:line="186" w:lineRule="exact"/>
        <w:rPr>
          <w:rFonts w:ascii="Arial" w:cs="Arial" w:eastAsia="Arial" w:hAnsi="Arial"/>
          <w:sz w:val="18"/>
          <w:szCs w:val="18"/>
          <w:color w:val="auto"/>
        </w:rPr>
      </w:pPr>
    </w:p>
    <w:p>
      <w:pPr>
        <w:ind w:left="720" w:hanging="388"/>
        <w:spacing w:after="0"/>
        <w:tabs>
          <w:tab w:leader="none" w:pos="7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units so long as the stabilizing bids do not exceed a specified maximum.</w:t>
      </w:r>
    </w:p>
    <w:p>
      <w:pPr>
        <w:spacing w:after="0" w:line="22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Purchases to cover short positions and stabilizing purchases, as well as other purchases by the underwriters for their own account, may have the effect of preventing or retarding a decline in the market price of the units. They may also cause the price of the units to be higher than the price that would otherwise exist in the open market in the absence of these transactions. The underwriters may conduct these transactions in the over-the-counter market or otherwise. If the underwriters commence any of these transactions, it may discontinue them at any time.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estimate that our portion of the total expenses of this offering payable by us will be $645,000, excluding underwriting discounts and commissions.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have agreed to reimburse the underwriters for expenses and fees of up to $50,000.</w:t>
      </w:r>
    </w:p>
    <w:p>
      <w:pPr>
        <w:spacing w:after="0" w:line="21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color w:val="auto"/>
        </w:rPr>
        <w:t>Affiliations</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underwriters and their respective affiliates are financial institutions engaged in various activities, which may include, among other things, securities trading, commercial and investment banking, financial advisory, investment management, financing and brokerage activities. Such underwriters and their affiliates have in the past, in the ordinary course of business, provided certain of these services to affiliates of the sponsor, and have arrangements in place whereby they may currently or in the future provide such services to affiliates of the sponsor, for which they have received and may receive customary fees, interest, commissions and other compensation.</w:t>
      </w:r>
    </w:p>
    <w:p>
      <w:pPr>
        <w:spacing w:after="0" w:line="188"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are not under any contractual obligation to engage the underwriters to provide any services for us after this offering, and have no present intent to do so. However, the underwriters may introduce us to potential target businesses or assist us in raising additional capital in the future. If the underwriters provide services to us after this offering, we may pay the underwriters fair and reasonable fees that would be determined at that time in an arm’s length negotiation; provided that no agreement will be entered into with the underwriters and no fees for such services will be paid to the underwriters prior to the date that is 90 days from the date of this prospectus, unless FINRA determines that such payment would not be deemed underwriters’ compensation in connection with this offering and we may pay the underwriters of this offering or any entity with which it is affiliated a finder’s fee or other compensation for services rendered to us in connection with the completion of an initial business combination.</w:t>
      </w:r>
    </w:p>
    <w:p>
      <w:pPr>
        <w:spacing w:after="0" w:line="177"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The underwriters and their affiliates may in the future engage in, investment banking and other commercial dealings in the ordinary course of business with us or our affiliates, for which it may in the future receive, customary fees and commissions for any such transactions.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 prospectus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common shares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has not been approved and/or endorsed by us or the underwriters and should not be relied upon by investors.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 and the United Kingdom</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relation to each member state of the European Economic Area and the United Kingdom (each, a “relevant state”), no units have been offered or will be offered pursuant to the offering to the public in that relevant state prior to the publication of a prospectus in relation to the units that has been approved by the competent authority in that relevant state or, where appropriate, approved in another relevant state and notified to the competent authority in that relevant state, all in accordance with the Prospectus Regulation, except that offers of our units may be made to the public in that relevant state at any time under the following exemptions under the Prospectus Regulation:</w:t>
      </w:r>
    </w:p>
    <w:p>
      <w:pPr>
        <w:spacing w:after="0" w:line="188"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 for any such offer;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provided that no such offer of units shall require the issuer or the representative to publish a prospectus pursuant to Article 3 of the Prospectus Regulation or supplement a prospectus pursuant to Article 23 of the Prospectus Regulation.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1" w:name="page172"/>
    <w:bookmarkEnd w:id="171"/>
    <w:p>
      <w:pPr>
        <w:ind w:right="200" w:firstLine="324"/>
        <w:spacing w:after="0" w:line="342" w:lineRule="auto"/>
        <w:rPr>
          <w:sz w:val="20"/>
          <w:szCs w:val="20"/>
          <w:color w:val="auto"/>
        </w:rPr>
      </w:pPr>
      <w:r>
        <w:rPr>
          <w:rFonts w:ascii="Arial" w:cs="Arial" w:eastAsia="Arial" w:hAnsi="Arial"/>
          <w:sz w:val="16"/>
          <w:szCs w:val="16"/>
          <w:color w:val="auto"/>
        </w:rPr>
        <w:t>Each person in a relevant state who initially acquires any units or to whom any offer is made will be deemed to have represented, acknowledged and agreed to and with the Company and the representative that it is a qualified investor within the meaning of the Prospectus Regulation.</w:t>
      </w:r>
    </w:p>
    <w:p>
      <w:pPr>
        <w:spacing w:after="0" w:line="124"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the case of any units being offered to a financial intermediary as that term is used in Article 5(1) of the Prospectus Regulation, each such financial intermediary will be deemed to have represented, acknowledged and agreed that the units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representative has been obtained to each such proposed offer or resale.</w:t>
      </w:r>
    </w:p>
    <w:p>
      <w:pPr>
        <w:spacing w:after="0" w:line="188" w:lineRule="exact"/>
        <w:rPr>
          <w:sz w:val="20"/>
          <w:szCs w:val="20"/>
          <w:color w:val="auto"/>
        </w:rPr>
      </w:pPr>
    </w:p>
    <w:p>
      <w:pPr>
        <w:ind w:right="1040" w:firstLine="324"/>
        <w:spacing w:after="0" w:line="277" w:lineRule="auto"/>
        <w:rPr>
          <w:sz w:val="20"/>
          <w:szCs w:val="20"/>
          <w:color w:val="auto"/>
        </w:rPr>
      </w:pPr>
      <w:r>
        <w:rPr>
          <w:rFonts w:ascii="Arial" w:cs="Arial" w:eastAsia="Arial" w:hAnsi="Arial"/>
          <w:sz w:val="18"/>
          <w:szCs w:val="18"/>
          <w:color w:val="auto"/>
        </w:rPr>
        <w:t>We, the representative and each of our and the representative’s respective affiliates will rely upon the truth and accuracy of the foregoing representations, acknowledgements and agreements.</w:t>
      </w:r>
    </w:p>
    <w:p>
      <w:pPr>
        <w:spacing w:after="0" w:line="170"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any units in any relevant state means the communication in any form and by any means of sufficient information on the terms of the offer and any units to be offered so as to enable an investor to decide to purchase or subscribe for any units, and the expression “Prospectus Regulation” means Regulation (EU) 2017/1129.</w:t>
      </w:r>
    </w:p>
    <w:p>
      <w:pPr>
        <w:spacing w:after="0" w:line="16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References to the Prospectus Regulation include, in relation to the United Kingdom, the Prospectus Regulation as it forms part of United Kingdom domestic law by virtue of the European Union (Withdrawal) Act 2018.</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22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In connection with the offering, the representative is not acting for anyone other than the issuer and will not be responsible to anyone other than the issuer for providing the protections afforded to its clients nor for providing advice in relation to the offering.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This prospectus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France</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Neither this prospectus nor any other offering material relating to the units described in this prospectus has been submitted to the clearance procedures of the Autorité des Marchés Financiers or of the competent authority of another member state of the European Economic Area and notified to the Autorité des Marchés Financiers. The units have not been offered or sold and will not be offered or sold, directly or indirectly, to the public in France. Neither this prospectus nor any other offering material relating to the units has been or will be:</w:t>
      </w:r>
    </w:p>
    <w:p>
      <w:pPr>
        <w:spacing w:after="0" w:line="187" w:lineRule="exact"/>
        <w:rPr>
          <w:sz w:val="20"/>
          <w:szCs w:val="20"/>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units to the public in France.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72" w:name="page173"/>
    <w:bookmarkEnd w:id="172"/>
    <w:p>
      <w:pPr>
        <w:ind w:left="34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225" w:lineRule="exact"/>
        <w:rPr>
          <w:sz w:val="20"/>
          <w:szCs w:val="20"/>
          <w:color w:val="auto"/>
        </w:rPr>
      </w:pPr>
    </w:p>
    <w:p>
      <w:pPr>
        <w:ind w:left="660" w:right="120" w:hanging="328"/>
        <w:spacing w:after="0" w:line="263"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225" w:lineRule="exact"/>
        <w:rPr>
          <w:rFonts w:ascii="Arial" w:cs="Arial" w:eastAsia="Arial" w:hAnsi="Arial"/>
          <w:sz w:val="18"/>
          <w:szCs w:val="18"/>
          <w:color w:val="auto"/>
        </w:rPr>
      </w:pPr>
    </w:p>
    <w:p>
      <w:pPr>
        <w:ind w:left="660" w:right="300" w:hanging="328"/>
        <w:spacing w:after="0" w:line="342" w:lineRule="auto"/>
        <w:tabs>
          <w:tab w:leader="none" w:pos="6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 a transaction that, in accordance with article L.411-2-II-1° -or-2° -or 3° of the French Code monétaire et financier and article 211-2 of the General Regulations (Règlement Général) of the Autorité des Marchés Financiers, does not constitute a public offer (appel public à l’épargne).</w:t>
      </w:r>
    </w:p>
    <w:p>
      <w:pPr>
        <w:spacing w:after="0" w:line="12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units may be resold directly or indirectly, only in compliance with articles L.411-1, L.411-2, L.412-1 and L.621-8 through L.621-8-3 of the French Code monétaire et financier.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22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units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units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units which are or are intended to be disposed of only to persons outside Hong Kong or only to “professional investors” as defined in the Securities and Futures Ordinance and any rules made under that Ordinance.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22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units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225"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the units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units,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73" w:name="page174"/>
    <w:bookmarkEnd w:id="173"/>
    <w:p>
      <w:pPr>
        <w:ind w:left="340"/>
        <w:spacing w:after="0"/>
        <w:rPr>
          <w:sz w:val="20"/>
          <w:szCs w:val="20"/>
          <w:color w:val="auto"/>
        </w:rPr>
      </w:pPr>
      <w:r>
        <w:rPr>
          <w:rFonts w:ascii="Arial" w:cs="Arial" w:eastAsia="Arial" w:hAnsi="Arial"/>
          <w:sz w:val="18"/>
          <w:szCs w:val="18"/>
          <w:color w:val="auto"/>
        </w:rPr>
        <w:t>Where the units are subscribed or purchased under Section 275 of the SFA by a relevant person which is:</w:t>
      </w:r>
    </w:p>
    <w:p>
      <w:pPr>
        <w:spacing w:after="0" w:line="225" w:lineRule="exact"/>
        <w:rPr>
          <w:sz w:val="20"/>
          <w:szCs w:val="20"/>
          <w:color w:val="auto"/>
        </w:rPr>
      </w:pPr>
    </w:p>
    <w:p>
      <w:pPr>
        <w:ind w:left="660" w:right="60" w:hanging="328"/>
        <w:spacing w:after="0" w:line="277"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units pursuant to an offer made under Section 275 of the SFA except:</w:t>
      </w:r>
    </w:p>
    <w:p>
      <w:pPr>
        <w:spacing w:after="0" w:line="184" w:lineRule="exact"/>
        <w:rPr>
          <w:sz w:val="20"/>
          <w:szCs w:val="20"/>
          <w:color w:val="auto"/>
        </w:rPr>
      </w:pPr>
    </w:p>
    <w:p>
      <w:pPr>
        <w:ind w:left="660" w:right="100" w:hanging="328"/>
        <w:spacing w:after="0" w:line="277"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as specified in Section 276(7) of the SFA.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225" w:lineRule="exact"/>
        <w:rPr>
          <w:sz w:val="20"/>
          <w:szCs w:val="20"/>
          <w:color w:val="auto"/>
        </w:rPr>
      </w:pPr>
    </w:p>
    <w:p>
      <w:pPr>
        <w:jc w:val="both"/>
        <w:ind w:right="140" w:firstLine="324"/>
        <w:spacing w:after="0" w:line="279" w:lineRule="auto"/>
        <w:rPr>
          <w:sz w:val="20"/>
          <w:szCs w:val="20"/>
          <w:color w:val="auto"/>
        </w:rPr>
      </w:pPr>
      <w:r>
        <w:rPr>
          <w:rFonts w:ascii="Arial" w:cs="Arial" w:eastAsia="Arial" w:hAnsi="Arial"/>
          <w:sz w:val="17"/>
          <w:szCs w:val="17"/>
          <w:color w:val="auto"/>
        </w:rPr>
        <w:t xml:space="preserve">The units may be sold in Canada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are permitted clients, as defined in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Any resale of the units must be made in accordance with an exemption from, or in a transaction not subject to, the prospectus requirements of applicable securities laws.</w:t>
      </w:r>
    </w:p>
    <w:p>
      <w:pPr>
        <w:spacing w:after="0" w:line="17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w:t>
      </w:r>
    </w:p>
    <w:p>
      <w:pPr>
        <w:spacing w:after="0" w:line="225" w:lineRule="exact"/>
        <w:rPr>
          <w:sz w:val="20"/>
          <w:szCs w:val="20"/>
          <w:color w:val="auto"/>
        </w:rPr>
      </w:pPr>
    </w:p>
    <w:p>
      <w:pPr>
        <w:jc w:val="both"/>
        <w:ind w:right="60" w:firstLine="324"/>
        <w:spacing w:after="0" w:line="275" w:lineRule="auto"/>
        <w:rPr>
          <w:sz w:val="20"/>
          <w:szCs w:val="20"/>
          <w:color w:val="auto"/>
        </w:rPr>
      </w:pPr>
      <w:r>
        <w:rPr>
          <w:rFonts w:ascii="Arial" w:cs="Arial" w:eastAsia="Arial" w:hAnsi="Arial"/>
          <w:sz w:val="17"/>
          <w:szCs w:val="17"/>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securities to which this prospectus relates may be illiquid and/or subject to restrictions on their resale.</w:t>
      </w:r>
    </w:p>
    <w:p>
      <w:pPr>
        <w:spacing w:after="0" w:line="17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Prospective purchasers of the securities offered should conduct their own due diligence on the securities. If you do not understand the contents of this prospectus you should consult an authorized financial advisor.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Any offer in Australia of the securities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spacing w:after="0" w:line="166"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 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225"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17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securities will not be supervised by, the Swiss Financial Market Supervisory Authority FINMA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Israel</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the State of Israel, this prospectus shall not be regarded as an offer to the public to purchase securities under the Israeli Securities Law, 5728 – 1968, which requires a prospectus to be published and authorized by the Israel Securities Authority, if it complies with certain provisions of Section 15 of the Israeli Securities Law, 5728 – 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 –1968,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 – 1968. We have not and will not distribute this prospectus or make, distribute or direct an offer to subscribe for our securities to any person within the State of Israel, other than to Qualified Investors and up to 35 Addressed Investors.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75" w:name="page176"/>
    <w:bookmarkEnd w:id="175"/>
    <w:p>
      <w:pPr>
        <w:ind w:right="40" w:firstLine="324"/>
        <w:spacing w:after="0" w:line="284" w:lineRule="auto"/>
        <w:rPr>
          <w:sz w:val="20"/>
          <w:szCs w:val="20"/>
          <w:color w:val="auto"/>
        </w:rPr>
      </w:pPr>
      <w:r>
        <w:rPr>
          <w:rFonts w:ascii="Arial" w:cs="Arial" w:eastAsia="Arial" w:hAnsi="Arial"/>
          <w:sz w:val="16"/>
          <w:szCs w:val="16"/>
          <w:color w:val="auto"/>
        </w:rPr>
        <w:t>Qualified Investors may have to submit written evidence that they meet the definitions set out in of the First Addendum to the Israeli Securities Law, 5728 – 1968. In particular, we may request, as a condition to be offered securities, that Qualified Investors will each represent, warrant and certify to us and/or to anyone acting on our behalf: (i) that it is an investor falling within one of the categories listed in the First Addendum to the Israeli Securities Law, 5728 – 1968; (ii) which of the categories listed in the First Addendum to the Israeli Securities Law, 5728 – 1968 regarding Qualified Investors is applicable to it; (iii) that it will abide by all provisions set forth in the Israeli Securities Law, 5728 – 1968 and the regulations promulgated thereunder in connection with the offer to be issued securities; (iv) that the securities that it will be issued are, subject to exemptions available under the Israeli Securities Law, 5728</w:t>
      </w:r>
    </w:p>
    <w:p>
      <w:pPr>
        <w:spacing w:after="0" w:line="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1968: (a) for its own account; (b) for investment purposes only; and (c)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193"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We have not authorized and do not authorize the making of any offer of securities through any financial intermediary on our behalf, other than offers made by the underwriters and their respective affiliates, with a view to the final placement of the securities as contemplated in this document. Accordingly, no purchaser of the shares, other than the underwriters, is authorized to make any further offer of shares on our behalf or on behalf of the underwriters.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Loeb &amp; Loeb LLP, New York, New York, is acting as counsel in connection with the registration of our securities under the Securities Act, and as such, will pass upon the validity of the securities offered in this prospectus. Certain legal matters will be passed upon on behalf of the underwriters by Lucosky Brookman LLP, New York, New York.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financial statements of BurTech Acquisition Corp. as of May 21, 2021, and for the period from March 2, 2021 (inception) through May 21, 2021 appearing in this prospectus have been audited by Marcum LLP, independent registered public accounting firm, as stated in their report herein (which contains an explanatory paragraph relating to substantial doubt about the ability of BurTech Acquisition Corp. to continue as a going concern as described in Note 1 to the financial statements), appearing elsewhere in this prospectus, and are included in reliance upon such report given on the authority of such firm as experts in accounting and auditing.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6" w:name="page177"/>
    <w:bookmarkEnd w:id="176"/>
    <w:p>
      <w:pPr>
        <w:jc w:val="center"/>
        <w:ind w:right="-7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19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 xml:space="preserve">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177" w:name="page178"/>
    <w:bookmarkEnd w:id="177"/>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Borders>
              <w:bottom w:val="single" w:sz="8" w:color="CCEEFF"/>
            </w:tcBorders>
          </w:tcPr>
          <w:p>
            <w:pPr>
              <w:spacing w:after="0"/>
              <w:rPr>
                <w:sz w:val="20"/>
                <w:szCs w:val="20"/>
                <w:color w:val="auto"/>
              </w:rPr>
            </w:pPr>
          </w:p>
        </w:tc>
        <w:tc>
          <w:tcPr>
            <w:tcW w:w="1980" w:type="dxa"/>
            <w:vAlign w:val="bottom"/>
            <w:tcBorders>
              <w:bottom w:val="single" w:sz="8" w:color="CCEEFF"/>
            </w:tcBorders>
          </w:tcPr>
          <w:p>
            <w:pPr>
              <w:spacing w:after="0"/>
              <w:rPr>
                <w:sz w:val="20"/>
                <w:szCs w:val="20"/>
                <w:color w:val="auto"/>
              </w:rPr>
            </w:pPr>
          </w:p>
        </w:tc>
        <w:tc>
          <w:tcPr>
            <w:tcW w:w="158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42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169"/>
        </w:trPr>
        <w:tc>
          <w:tcPr>
            <w:tcW w:w="10120" w:type="dxa"/>
            <w:vAlign w:val="bottom"/>
            <w:gridSpan w:val="10"/>
            <w:shd w:val="clear" w:color="auto" w:fill="CCEEFF"/>
          </w:tcPr>
          <w:p>
            <w:pPr>
              <w:spacing w:after="0" w:line="169" w:lineRule="exact"/>
              <w:rPr>
                <w:rFonts w:ascii="Arial" w:cs="Arial" w:eastAsia="Arial" w:hAnsi="Arial"/>
                <w:sz w:val="18"/>
                <w:szCs w:val="18"/>
                <w:color w:val="0000EE"/>
              </w:rPr>
            </w:pPr>
            <w:hyperlink w:anchor="page179">
              <w:r>
                <w:rPr>
                  <w:rFonts w:ascii="Arial" w:cs="Arial" w:eastAsia="Arial" w:hAnsi="Arial"/>
                  <w:sz w:val="18"/>
                  <w:szCs w:val="18"/>
                  <w:color w:val="0000EE"/>
                </w:rPr>
                <w:t>Report of Independent Registered Public Accounting Firm</w:t>
              </w:r>
            </w:hyperlink>
          </w:p>
        </w:tc>
        <w:tc>
          <w:tcPr>
            <w:tcW w:w="1120" w:type="dxa"/>
            <w:vAlign w:val="bottom"/>
            <w:gridSpan w:val="3"/>
            <w:shd w:val="clear" w:color="auto" w:fill="CCEEFF"/>
          </w:tcPr>
          <w:p>
            <w:pPr>
              <w:jc w:val="center"/>
              <w:spacing w:after="0" w:line="169" w:lineRule="exact"/>
              <w:rPr>
                <w:rFonts w:ascii="Arial" w:cs="Arial" w:eastAsia="Arial" w:hAnsi="Arial"/>
                <w:sz w:val="18"/>
                <w:szCs w:val="18"/>
                <w:color w:val="0000EE"/>
                <w:w w:val="88"/>
              </w:rPr>
            </w:pPr>
            <w:hyperlink w:anchor="page179">
              <w:r>
                <w:rPr>
                  <w:rFonts w:ascii="Arial" w:cs="Arial" w:eastAsia="Arial" w:hAnsi="Arial"/>
                  <w:sz w:val="18"/>
                  <w:szCs w:val="18"/>
                  <w:color w:val="0000EE"/>
                  <w:w w:val="88"/>
                </w:rPr>
                <w:t>F-2</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20" w:type="dxa"/>
            <w:vAlign w:val="bottom"/>
            <w:gridSpan w:val="10"/>
          </w:tcPr>
          <w:p>
            <w:pPr>
              <w:spacing w:after="0" w:line="176" w:lineRule="exact"/>
              <w:rPr>
                <w:rFonts w:ascii="Arial" w:cs="Arial" w:eastAsia="Arial" w:hAnsi="Arial"/>
                <w:sz w:val="18"/>
                <w:szCs w:val="18"/>
                <w:color w:val="0000EE"/>
              </w:rPr>
            </w:pPr>
            <w:hyperlink w:anchor="page180">
              <w:r>
                <w:rPr>
                  <w:rFonts w:ascii="Arial" w:cs="Arial" w:eastAsia="Arial" w:hAnsi="Arial"/>
                  <w:sz w:val="18"/>
                  <w:szCs w:val="18"/>
                  <w:color w:val="0000EE"/>
                </w:rPr>
                <w:t>Balance Sheets as of September 30, 2021 (unaudited) and May 21, 2021</w:t>
              </w:r>
            </w:hyperlink>
          </w:p>
        </w:tc>
        <w:tc>
          <w:tcPr>
            <w:tcW w:w="1120" w:type="dxa"/>
            <w:vAlign w:val="bottom"/>
            <w:gridSpan w:val="3"/>
          </w:tcPr>
          <w:p>
            <w:pPr>
              <w:jc w:val="center"/>
              <w:spacing w:after="0" w:line="176" w:lineRule="exact"/>
              <w:rPr>
                <w:rFonts w:ascii="Arial" w:cs="Arial" w:eastAsia="Arial" w:hAnsi="Arial"/>
                <w:sz w:val="18"/>
                <w:szCs w:val="18"/>
                <w:color w:val="0000EE"/>
                <w:w w:val="88"/>
              </w:rPr>
            </w:pPr>
            <w:hyperlink w:anchor="page180">
              <w:r>
                <w:rPr>
                  <w:rFonts w:ascii="Arial" w:cs="Arial" w:eastAsia="Arial" w:hAnsi="Arial"/>
                  <w:sz w:val="18"/>
                  <w:szCs w:val="18"/>
                  <w:color w:val="0000EE"/>
                  <w:w w:val="88"/>
                </w:rPr>
                <w:t>F-3</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5"/>
        </w:trPr>
        <w:tc>
          <w:tcPr>
            <w:tcW w:w="988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1"/>
              </w:rPr>
            </w:pPr>
            <w:hyperlink w:anchor="page181">
              <w:r>
                <w:rPr>
                  <w:rFonts w:ascii="Arial" w:cs="Arial" w:eastAsia="Arial" w:hAnsi="Arial"/>
                  <w:sz w:val="18"/>
                  <w:szCs w:val="18"/>
                  <w:color w:val="0000EE"/>
                  <w:w w:val="91"/>
                </w:rPr>
                <w:t>Statements of Operations for the period from March 2, 2021 (inception) through September 30, 2021 (unaudited) and for the period from</w:t>
              </w:r>
            </w:hyperlink>
          </w:p>
        </w:tc>
        <w:tc>
          <w:tcPr>
            <w:tcW w:w="240" w:type="dxa"/>
            <w:vAlign w:val="bottom"/>
            <w:tcBorders>
              <w:bottom w:val="single" w:sz="8" w:color="CCEEFF"/>
            </w:tcBorders>
            <w:gridSpan w:val="2"/>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3560" w:type="dxa"/>
            <w:vAlign w:val="bottom"/>
            <w:gridSpan w:val="2"/>
            <w:shd w:val="clear" w:color="auto" w:fill="CCEEFF"/>
          </w:tcPr>
          <w:p>
            <w:pPr>
              <w:spacing w:after="0" w:line="196" w:lineRule="exact"/>
              <w:rPr>
                <w:rFonts w:ascii="Arial" w:cs="Arial" w:eastAsia="Arial" w:hAnsi="Arial"/>
                <w:sz w:val="18"/>
                <w:szCs w:val="18"/>
                <w:color w:val="0000EE"/>
                <w:w w:val="92"/>
              </w:rPr>
            </w:pPr>
            <w:hyperlink w:anchor="page181">
              <w:r>
                <w:rPr>
                  <w:rFonts w:ascii="Arial" w:cs="Arial" w:eastAsia="Arial" w:hAnsi="Arial"/>
                  <w:sz w:val="18"/>
                  <w:szCs w:val="18"/>
                  <w:color w:val="0000EE"/>
                  <w:w w:val="92"/>
                </w:rPr>
                <w:t>March 2, 2021 (inception) through May 21, 2021</w:t>
              </w:r>
            </w:hyperlink>
          </w:p>
        </w:tc>
        <w:tc>
          <w:tcPr>
            <w:tcW w:w="6380" w:type="dxa"/>
            <w:vAlign w:val="bottom"/>
            <w:gridSpan w:val="7"/>
            <w:shd w:val="clear" w:color="auto" w:fill="CCEEFF"/>
          </w:tcPr>
          <w:p>
            <w:pPr>
              <w:spacing w:after="0"/>
              <w:rPr>
                <w:sz w:val="17"/>
                <w:szCs w:val="17"/>
                <w:color w:val="auto"/>
              </w:rPr>
            </w:pPr>
          </w:p>
        </w:tc>
        <w:tc>
          <w:tcPr>
            <w:tcW w:w="1120" w:type="dxa"/>
            <w:vAlign w:val="bottom"/>
            <w:gridSpan w:val="3"/>
            <w:shd w:val="clear" w:color="auto" w:fill="CCEEFF"/>
          </w:tcPr>
          <w:p>
            <w:pPr>
              <w:jc w:val="center"/>
              <w:spacing w:after="0" w:line="196" w:lineRule="exact"/>
              <w:rPr>
                <w:rFonts w:ascii="Arial" w:cs="Arial" w:eastAsia="Arial" w:hAnsi="Arial"/>
                <w:sz w:val="18"/>
                <w:szCs w:val="18"/>
                <w:color w:val="0000EE"/>
                <w:w w:val="88"/>
              </w:rPr>
            </w:pPr>
            <w:hyperlink w:anchor="page181">
              <w:r>
                <w:rPr>
                  <w:rFonts w:ascii="Arial" w:cs="Arial" w:eastAsia="Arial" w:hAnsi="Arial"/>
                  <w:sz w:val="18"/>
                  <w:szCs w:val="18"/>
                  <w:color w:val="0000EE"/>
                  <w:w w:val="88"/>
                </w:rPr>
                <w:t>F-4</w:t>
              </w:r>
            </w:hyperlink>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20" w:type="dxa"/>
            <w:vAlign w:val="bottom"/>
            <w:gridSpan w:val="10"/>
          </w:tcPr>
          <w:p>
            <w:pPr>
              <w:spacing w:after="0" w:line="176" w:lineRule="exact"/>
              <w:rPr>
                <w:rFonts w:ascii="Arial" w:cs="Arial" w:eastAsia="Arial" w:hAnsi="Arial"/>
                <w:sz w:val="18"/>
                <w:szCs w:val="18"/>
                <w:color w:val="0000EE"/>
                <w:w w:val="94"/>
              </w:rPr>
            </w:pPr>
            <w:hyperlink w:anchor="page182">
              <w:r>
                <w:rPr>
                  <w:rFonts w:ascii="Arial" w:cs="Arial" w:eastAsia="Arial" w:hAnsi="Arial"/>
                  <w:sz w:val="18"/>
                  <w:szCs w:val="18"/>
                  <w:color w:val="0000EE"/>
                  <w:w w:val="94"/>
                </w:rPr>
                <w:t>Statements of Changes in Stockholder’s Equity for the period from March 2, 2021 (inception) through September 30, 2021 (unaudited)</w:t>
              </w:r>
            </w:hyperlink>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95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82">
              <w:r>
                <w:rPr>
                  <w:rFonts w:ascii="Arial" w:cs="Arial" w:eastAsia="Arial" w:hAnsi="Arial"/>
                  <w:sz w:val="18"/>
                  <w:szCs w:val="18"/>
                  <w:color w:val="0000EE"/>
                </w:rPr>
                <w:t>and for the period from March 2, 2021 (inception) through May 21, 2021</w:t>
              </w:r>
            </w:hyperlink>
          </w:p>
        </w:tc>
        <w:tc>
          <w:tcPr>
            <w:tcW w:w="400" w:type="dxa"/>
            <w:vAlign w:val="bottom"/>
            <w:gridSpan w:val="3"/>
          </w:tcPr>
          <w:p>
            <w:pPr>
              <w:spacing w:after="0"/>
              <w:rPr>
                <w:sz w:val="17"/>
                <w:szCs w:val="17"/>
                <w:color w:val="auto"/>
              </w:rPr>
            </w:pPr>
          </w:p>
        </w:tc>
        <w:tc>
          <w:tcPr>
            <w:tcW w:w="1120" w:type="dxa"/>
            <w:vAlign w:val="bottom"/>
            <w:gridSpan w:val="3"/>
          </w:tcPr>
          <w:p>
            <w:pPr>
              <w:jc w:val="center"/>
              <w:spacing w:after="0" w:line="196" w:lineRule="exact"/>
              <w:rPr>
                <w:rFonts w:ascii="Arial" w:cs="Arial" w:eastAsia="Arial" w:hAnsi="Arial"/>
                <w:sz w:val="18"/>
                <w:szCs w:val="18"/>
                <w:color w:val="0000EE"/>
                <w:w w:val="88"/>
              </w:rPr>
            </w:pPr>
            <w:hyperlink w:anchor="page182">
              <w:r>
                <w:rPr>
                  <w:rFonts w:ascii="Arial" w:cs="Arial" w:eastAsia="Arial" w:hAnsi="Arial"/>
                  <w:sz w:val="18"/>
                  <w:szCs w:val="18"/>
                  <w:color w:val="0000EE"/>
                  <w:w w:val="88"/>
                </w:rPr>
                <w:t>F-5</w:t>
              </w:r>
            </w:hyperlink>
          </w:p>
        </w:tc>
      </w:tr>
      <w:tr>
        <w:trPr>
          <w:trHeight w:val="21"/>
        </w:trPr>
        <w:tc>
          <w:tcPr>
            <w:tcW w:w="180" w:type="dxa"/>
            <w:vAlign w:val="bottom"/>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5"/>
        </w:trPr>
        <w:tc>
          <w:tcPr>
            <w:tcW w:w="10120" w:type="dxa"/>
            <w:vAlign w:val="bottom"/>
            <w:gridSpan w:val="10"/>
            <w:shd w:val="clear" w:color="auto" w:fill="CCEEFF"/>
          </w:tcPr>
          <w:p>
            <w:pPr>
              <w:spacing w:after="0" w:line="176" w:lineRule="exact"/>
              <w:rPr>
                <w:rFonts w:ascii="Arial" w:cs="Arial" w:eastAsia="Arial" w:hAnsi="Arial"/>
                <w:sz w:val="18"/>
                <w:szCs w:val="18"/>
                <w:color w:val="0000EE"/>
                <w:w w:val="92"/>
              </w:rPr>
            </w:pPr>
            <w:hyperlink w:anchor="page183">
              <w:r>
                <w:rPr>
                  <w:rFonts w:ascii="Arial" w:cs="Arial" w:eastAsia="Arial" w:hAnsi="Arial"/>
                  <w:sz w:val="18"/>
                  <w:szCs w:val="18"/>
                  <w:color w:val="0000EE"/>
                  <w:w w:val="92"/>
                </w:rPr>
                <w:t>Statements of Cash Flows for the period from March 2, 2021 (inception) through September 30, 2021 (unaudited) and for the period from</w:t>
              </w:r>
            </w:hyperlink>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356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w w:val="92"/>
              </w:rPr>
            </w:pPr>
            <w:hyperlink w:anchor="page183">
              <w:r>
                <w:rPr>
                  <w:rFonts w:ascii="Arial" w:cs="Arial" w:eastAsia="Arial" w:hAnsi="Arial"/>
                  <w:sz w:val="18"/>
                  <w:szCs w:val="18"/>
                  <w:color w:val="0000EE"/>
                  <w:w w:val="92"/>
                </w:rPr>
                <w:t>March 2, 2021 (inception) through May 21, 2021</w:t>
              </w:r>
            </w:hyperlink>
          </w:p>
        </w:tc>
        <w:tc>
          <w:tcPr>
            <w:tcW w:w="6180" w:type="dxa"/>
            <w:vAlign w:val="bottom"/>
            <w:tcBorders>
              <w:top w:val="single" w:sz="8" w:color="0000EE"/>
            </w:tcBorders>
            <w:gridSpan w:val="6"/>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gridSpan w:val="3"/>
            <w:shd w:val="clear" w:color="auto" w:fill="CCEEFF"/>
          </w:tcPr>
          <w:p>
            <w:pPr>
              <w:jc w:val="center"/>
              <w:spacing w:after="0" w:line="196" w:lineRule="exact"/>
              <w:rPr>
                <w:rFonts w:ascii="Arial" w:cs="Arial" w:eastAsia="Arial" w:hAnsi="Arial"/>
                <w:sz w:val="18"/>
                <w:szCs w:val="18"/>
                <w:color w:val="0000EE"/>
                <w:w w:val="88"/>
              </w:rPr>
            </w:pPr>
            <w:hyperlink w:anchor="page183">
              <w:r>
                <w:rPr>
                  <w:rFonts w:ascii="Arial" w:cs="Arial" w:eastAsia="Arial" w:hAnsi="Arial"/>
                  <w:sz w:val="18"/>
                  <w:szCs w:val="18"/>
                  <w:color w:val="0000EE"/>
                  <w:w w:val="88"/>
                </w:rPr>
                <w:t>F-6</w:t>
              </w:r>
            </w:hyperlink>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20" w:type="dxa"/>
            <w:vAlign w:val="bottom"/>
            <w:gridSpan w:val="10"/>
          </w:tcPr>
          <w:p>
            <w:pPr>
              <w:spacing w:after="0" w:line="176" w:lineRule="exact"/>
              <w:rPr>
                <w:rFonts w:ascii="Arial" w:cs="Arial" w:eastAsia="Arial" w:hAnsi="Arial"/>
                <w:sz w:val="18"/>
                <w:szCs w:val="18"/>
                <w:color w:val="0000EE"/>
              </w:rPr>
            </w:pPr>
            <w:hyperlink w:anchor="page184">
              <w:r>
                <w:rPr>
                  <w:rFonts w:ascii="Arial" w:cs="Arial" w:eastAsia="Arial" w:hAnsi="Arial"/>
                  <w:sz w:val="18"/>
                  <w:szCs w:val="18"/>
                  <w:color w:val="0000EE"/>
                </w:rPr>
                <w:t>Notes to Financial Statements</w:t>
              </w:r>
            </w:hyperlink>
          </w:p>
        </w:tc>
        <w:tc>
          <w:tcPr>
            <w:tcW w:w="1120" w:type="dxa"/>
            <w:vAlign w:val="bottom"/>
            <w:gridSpan w:val="3"/>
          </w:tcPr>
          <w:p>
            <w:pPr>
              <w:jc w:val="center"/>
              <w:spacing w:after="0" w:line="176" w:lineRule="exact"/>
              <w:rPr>
                <w:rFonts w:ascii="Arial" w:cs="Arial" w:eastAsia="Arial" w:hAnsi="Arial"/>
                <w:sz w:val="18"/>
                <w:szCs w:val="18"/>
                <w:color w:val="0000EE"/>
                <w:w w:val="88"/>
              </w:rPr>
            </w:pPr>
            <w:hyperlink w:anchor="page184">
              <w:r>
                <w:rPr>
                  <w:rFonts w:ascii="Arial" w:cs="Arial" w:eastAsia="Arial" w:hAnsi="Arial"/>
                  <w:sz w:val="18"/>
                  <w:szCs w:val="18"/>
                  <w:color w:val="0000EE"/>
                  <w:w w:val="88"/>
                </w:rPr>
                <w:t>F-7</w:t>
              </w:r>
            </w:hyperlink>
          </w:p>
        </w:tc>
      </w:tr>
      <w:tr>
        <w:trPr>
          <w:trHeight w:val="669"/>
        </w:trPr>
        <w:tc>
          <w:tcPr>
            <w:tcW w:w="180" w:type="dxa"/>
            <w:vAlign w:val="bottom"/>
            <w:tcBorders>
              <w:top w:val="single" w:sz="8" w:color="0000EE"/>
              <w:bottom w:val="single" w:sz="8" w:color="auto"/>
            </w:tcBorders>
          </w:tcPr>
          <w:p>
            <w:pPr>
              <w:spacing w:after="0"/>
              <w:rPr>
                <w:sz w:val="24"/>
                <w:szCs w:val="24"/>
                <w:color w:val="auto"/>
              </w:rPr>
            </w:pPr>
          </w:p>
        </w:tc>
        <w:tc>
          <w:tcPr>
            <w:tcW w:w="1980" w:type="dxa"/>
            <w:vAlign w:val="bottom"/>
            <w:tcBorders>
              <w:top w:val="single" w:sz="8" w:color="0000EE"/>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color w:val="auto"/>
              </w:rPr>
              <w:t>F-1</w:t>
            </w:r>
          </w:p>
        </w:tc>
        <w:tc>
          <w:tcPr>
            <w:tcW w:w="440" w:type="dxa"/>
            <w:vAlign w:val="bottom"/>
            <w:tcBorders>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78" w:name="page179"/>
    <w:bookmarkEnd w:id="178"/>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BurTech Acquisition Corp.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have audited the accompanying balance sheet of BurTech Acquisition Corp. (the “Company”) as of May 21, 2021, the related statements of operations, changes in stockholder’s equity and cash flows for the period from March 2, 2021 (inception) through May 21, 2021, and the related notes (collectively referred to as the “financial statements”). In our opinion, the financial statements present fairly, in all material respects, the financial position of the Company as of May 21, 2021, and the results of its operations and its cash flows for the period from March 2, 2021 (inception) through May 21, 2021,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Paragraph – Going Concern</w:t>
      </w:r>
    </w:p>
    <w:p>
      <w:pPr>
        <w:spacing w:after="0" w:line="22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accompanying financial statements have been prepared assuming that the Company will continue as a going concern. As more fully described in Note 1 to the financial statements, the Company’s ability to execute its business plan is dependent upon its completion of the proposed initial public offering described in Note 3 to the financial statements. The Company has no working capital and needs to raise additional funds to meet its obligations and sustain its operations. These conditions raise substantial doubt about the Company's ability to continue as a going concern. Management's plans in regard to these matters are also described in Notes 1 and 3. The financial statements do not include any adjustments that might result from the outcome of this uncertainty.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18, 2021, except for Note 8, as to which the date is October 13, 2021</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79" w:name="page180"/>
    <w:bookmarkEnd w:id="179"/>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07"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auto"/>
        </w:rPr>
        <w:t>September 30,</w:t>
      </w:r>
    </w:p>
    <w:p>
      <w:pPr>
        <w:spacing w:after="0" w:line="27" w:lineRule="exact"/>
        <w:rPr>
          <w:sz w:val="20"/>
          <w:szCs w:val="20"/>
          <w:color w:val="auto"/>
        </w:rPr>
      </w:pPr>
    </w:p>
    <w:p>
      <w:pPr>
        <w:ind w:left="8880"/>
        <w:spacing w:after="0"/>
        <w:tabs>
          <w:tab w:leader="none" w:pos="998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May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5715</wp:posOffset>
            </wp:positionV>
            <wp:extent cx="170561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ind w:left="8620"/>
        <w:spacing w:after="0"/>
        <w:rPr>
          <w:sz w:val="20"/>
          <w:szCs w:val="20"/>
          <w:color w:val="auto"/>
        </w:rPr>
      </w:pPr>
      <w:r>
        <w:rPr>
          <w:rFonts w:ascii="Arial" w:cs="Arial" w:eastAsia="Arial" w:hAnsi="Arial"/>
          <w:sz w:val="18"/>
          <w:szCs w:val="18"/>
          <w:b w:val="1"/>
          <w:bCs w:val="1"/>
          <w:color w:val="auto"/>
        </w:rPr>
        <w:t>(unaudited)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Current Asset - Cash</w:t>
            </w:r>
          </w:p>
        </w:tc>
        <w:tc>
          <w:tcPr>
            <w:tcW w:w="36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25,100</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25,100</w:t>
            </w:r>
          </w:p>
        </w:tc>
      </w:tr>
      <w:tr>
        <w:trPr>
          <w:trHeight w:val="229"/>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Offering Costs</w:t>
            </w:r>
          </w:p>
        </w:tc>
        <w:tc>
          <w:tcPr>
            <w:tcW w:w="3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166,001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24,500</w:t>
            </w:r>
          </w:p>
        </w:tc>
      </w:tr>
      <w:tr>
        <w:trPr>
          <w:trHeight w:val="263"/>
        </w:trPr>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326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191,101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49,600</w:t>
            </w:r>
          </w:p>
        </w:tc>
        <w:tc>
          <w:tcPr>
            <w:tcW w:w="100" w:type="dxa"/>
            <w:vAlign w:val="bottom"/>
            <w:tcBorders>
              <w:bottom w:val="single" w:sz="8" w:color="CCEEFF"/>
            </w:tcBorders>
          </w:tcPr>
          <w:p>
            <w:pPr>
              <w:spacing w:after="0"/>
              <w:rPr>
                <w:sz w:val="22"/>
                <w:szCs w:val="22"/>
                <w:color w:val="auto"/>
              </w:rPr>
            </w:pPr>
          </w:p>
        </w:tc>
      </w:tr>
      <w:tr>
        <w:trPr>
          <w:trHeight w:val="197"/>
        </w:trPr>
        <w:tc>
          <w:tcPr>
            <w:tcW w:w="518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rPr>
          <w:sz w:val="20"/>
          <w:szCs w:val="20"/>
          <w:color w:val="auto"/>
        </w:rPr>
      </w:pPr>
      <w:r>
        <w:rPr>
          <w:rFonts w:ascii="Arial" w:cs="Arial" w:eastAsia="Arial" w:hAnsi="Arial"/>
          <w:sz w:val="16"/>
          <w:szCs w:val="16"/>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offering costs and expenses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Promissory note – related party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66,510</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230"/>
        </w:trPr>
        <w:tc>
          <w:tcPr>
            <w:tcW w:w="3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100,091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0"/>
        </w:trPr>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166,601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25,100</w:t>
            </w:r>
          </w:p>
        </w:tc>
      </w:tr>
    </w:tbl>
    <w:p>
      <w:pPr>
        <w:spacing w:after="0" w:line="200" w:lineRule="exact"/>
        <w:rPr>
          <w:sz w:val="20"/>
          <w:szCs w:val="20"/>
          <w:color w:val="auto"/>
        </w:rPr>
      </w:pPr>
    </w:p>
    <w:p>
      <w:pPr>
        <w:sectPr>
          <w:pgSz w:w="11900" w:h="16838" w:orient="portrait"/>
          <w:cols w:equalWidth="0" w:num="2">
            <w:col w:w="7720" w:space="720"/>
            <w:col w:w="2800"/>
          </w:cols>
          <w:pgMar w:left="320" w:top="904"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(see Note 6)</w:t>
            </w:r>
          </w:p>
        </w:tc>
        <w:tc>
          <w:tcPr>
            <w:tcW w:w="1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8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$0.0001 par value; 1,000,000 shares authorized; none issued and outstanding</w:t>
            </w:r>
          </w:p>
        </w:tc>
        <w:tc>
          <w:tcPr>
            <w:tcW w:w="18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02"/>
        </w:trPr>
        <w:tc>
          <w:tcPr>
            <w:tcW w:w="8480" w:type="dxa"/>
            <w:vAlign w:val="bottom"/>
          </w:tcPr>
          <w:p>
            <w:pPr>
              <w:spacing w:after="0" w:line="201" w:lineRule="exact"/>
              <w:rPr>
                <w:sz w:val="20"/>
                <w:szCs w:val="20"/>
                <w:color w:val="auto"/>
              </w:rPr>
            </w:pPr>
            <w:r>
              <w:rPr>
                <w:rFonts w:ascii="Arial" w:cs="Arial" w:eastAsia="Arial" w:hAnsi="Arial"/>
                <w:sz w:val="18"/>
                <w:szCs w:val="18"/>
                <w:color w:val="auto"/>
              </w:rPr>
              <w:t>Class A common stock, $0.0001 par value; 280,000,000 shares authorized; none issued and outstanding</w:t>
            </w:r>
          </w:p>
        </w:tc>
        <w:tc>
          <w:tcPr>
            <w:tcW w:w="1840" w:type="dxa"/>
            <w:vAlign w:val="bottom"/>
          </w:tcPr>
          <w:p>
            <w:pPr>
              <w:ind w:left="1020"/>
              <w:spacing w:after="0" w:line="201" w:lineRule="exact"/>
              <w:rPr>
                <w:sz w:val="20"/>
                <w:szCs w:val="20"/>
                <w:color w:val="auto"/>
              </w:rPr>
            </w:pPr>
            <w:r>
              <w:rPr>
                <w:rFonts w:ascii="Arial" w:cs="Arial" w:eastAsia="Arial" w:hAnsi="Arial"/>
                <w:sz w:val="18"/>
                <w:szCs w:val="18"/>
                <w:color w:val="auto"/>
              </w:rPr>
              <w:t>—</w:t>
            </w:r>
          </w:p>
        </w:tc>
        <w:tc>
          <w:tcPr>
            <w:tcW w:w="920" w:type="dxa"/>
            <w:vAlign w:val="bottom"/>
          </w:tcPr>
          <w:p>
            <w:pPr>
              <w:ind w:left="640"/>
              <w:spacing w:after="0" w:line="201" w:lineRule="exact"/>
              <w:rPr>
                <w:sz w:val="20"/>
                <w:szCs w:val="20"/>
                <w:color w:val="auto"/>
              </w:rPr>
            </w:pPr>
            <w:r>
              <w:rPr>
                <w:rFonts w:ascii="Arial" w:cs="Arial" w:eastAsia="Arial" w:hAnsi="Arial"/>
                <w:sz w:val="18"/>
                <w:szCs w:val="18"/>
                <w:color w:val="auto"/>
              </w:rPr>
              <w:t>—</w:t>
            </w: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Class B common stock, $0.0001 par value; 20,000,000 shares authorized; 9,487,500 shares issued and</w:t>
            </w:r>
          </w:p>
        </w:tc>
        <w:tc>
          <w:tcPr>
            <w:tcW w:w="184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3003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p>
      <w:pPr>
        <w:spacing w:after="0" w:line="185" w:lineRule="auto"/>
        <w:rPr>
          <w:sz w:val="20"/>
          <w:szCs w:val="20"/>
          <w:color w:val="auto"/>
        </w:rPr>
      </w:pPr>
      <w:r>
        <w:rPr>
          <w:rFonts w:ascii="Arial" w:cs="Arial" w:eastAsia="Arial" w:hAnsi="Arial"/>
          <w:sz w:val="18"/>
          <w:szCs w:val="18"/>
          <w:color w:val="auto"/>
        </w:rPr>
        <w:t>outstanding</w:t>
      </w:r>
      <w:r>
        <w:rPr>
          <w:rFonts w:ascii="Arial" w:cs="Arial" w:eastAsia="Arial" w:hAnsi="Arial"/>
          <w:sz w:val="29"/>
          <w:szCs w:val="29"/>
          <w:color w:val="auto"/>
          <w:vertAlign w:val="superscript"/>
        </w:rPr>
        <w:t>(1) (2)</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Additional paid-in capital</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left="1660" w:hanging="1442"/>
        <w:spacing w:after="0"/>
        <w:tabs>
          <w:tab w:leader="none" w:pos="1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949</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24,051</w:t>
      </w:r>
      <w:r>
        <w:rPr>
          <w:rFonts w:ascii="Arial" w:cs="Arial" w:eastAsia="Arial" w:hAnsi="Arial"/>
          <w:sz w:val="16"/>
          <w:szCs w:val="16"/>
          <w:color w:val="auto"/>
        </w:rPr>
        <w:t>24,051</w:t>
      </w:r>
    </w:p>
    <w:p>
      <w:pPr>
        <w:spacing w:after="0" w:line="9" w:lineRule="exact"/>
        <w:rPr>
          <w:rFonts w:ascii="Arial" w:cs="Arial" w:eastAsia="Arial" w:hAnsi="Arial"/>
          <w:sz w:val="18"/>
          <w:szCs w:val="18"/>
          <w:color w:val="auto"/>
        </w:rPr>
      </w:pPr>
    </w:p>
    <w:p>
      <w:pPr>
        <w:ind w:left="160"/>
        <w:spacing w:after="0"/>
        <w:rPr>
          <w:rFonts w:ascii="Arial" w:cs="Arial" w:eastAsia="Arial" w:hAnsi="Arial"/>
          <w:sz w:val="18"/>
          <w:szCs w:val="18"/>
          <w:color w:val="auto"/>
        </w:rPr>
      </w:pPr>
      <w:r>
        <w:rPr>
          <w:rFonts w:ascii="Arial" w:cs="Arial" w:eastAsia="Arial" w:hAnsi="Arial"/>
          <w:sz w:val="18"/>
          <w:szCs w:val="18"/>
          <w:color w:val="auto"/>
        </w:rPr>
        <w:t>(500)</w:t>
      </w:r>
      <w:r>
        <w:rPr>
          <w:rFonts w:ascii="Arial" w:cs="Arial" w:eastAsia="Arial" w:hAnsi="Arial"/>
          <w:sz w:val="17"/>
          <w:szCs w:val="17"/>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-5836285</wp:posOffset>
            </wp:positionH>
            <wp:positionV relativeFrom="paragraph">
              <wp:posOffset>-130810</wp:posOffset>
            </wp:positionV>
            <wp:extent cx="7132320" cy="1454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3" w:lineRule="exact"/>
        <w:rPr>
          <w:sz w:val="20"/>
          <w:szCs w:val="20"/>
          <w:color w:val="auto"/>
        </w:rPr>
      </w:pPr>
    </w:p>
    <w:p>
      <w:pPr>
        <w:sectPr>
          <w:pgSz w:w="11900" w:h="16838" w:orient="portrait"/>
          <w:cols w:equalWidth="0" w:num="2">
            <w:col w:w="8480" w:space="720"/>
            <w:col w:w="2040"/>
          </w:cols>
          <w:pgMar w:left="320" w:top="904"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584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26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24,500</w:t>
            </w:r>
          </w:p>
        </w:tc>
        <w:tc>
          <w:tcPr>
            <w:tcW w:w="80" w:type="dxa"/>
            <w:vAlign w:val="bottom"/>
          </w:tcPr>
          <w:p>
            <w:pPr>
              <w:spacing w:after="0"/>
              <w:rPr>
                <w:sz w:val="18"/>
                <w:szCs w:val="18"/>
                <w:color w:val="auto"/>
              </w:rPr>
            </w:pPr>
          </w:p>
        </w:tc>
      </w:tr>
      <w:tr>
        <w:trPr>
          <w:trHeight w:val="223"/>
        </w:trPr>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6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191,101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40" w:hanging="328"/>
        <w:spacing w:after="0" w:line="258"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Includes up to 1,237,500 shares of Class B Common stock subject to forfeiture if the over-allotment option is not exercised in full or in part by the underwriter (see Note 5).</w:t>
      </w:r>
    </w:p>
    <w:p>
      <w:pPr>
        <w:spacing w:after="0" w:line="1" w:lineRule="exact"/>
        <w:rPr>
          <w:rFonts w:ascii="Arial" w:cs="Arial" w:eastAsia="Arial" w:hAnsi="Arial"/>
          <w:sz w:val="18"/>
          <w:szCs w:val="18"/>
          <w:color w:val="auto"/>
        </w:rPr>
      </w:pPr>
    </w:p>
    <w:p>
      <w:pPr>
        <w:ind w:left="660" w:right="80" w:hanging="328"/>
        <w:spacing w:after="0" w:line="255"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On September 24, 2021, the Company issued 862,500 shares of Class B common stock in connection with a 1.1 stock split, resulting in an aggregate of 9,487,500 shares of Class B common stock outstanding. All shares and associated amounts have been retroactively restated to reflect the share capitalization (see Note 5).</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80" w:name="page181"/>
    <w:bookmarkEnd w:id="180"/>
    <w:p>
      <w:pPr>
        <w:ind w:left="4260"/>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80" w:type="dxa"/>
            <w:vAlign w:val="bottom"/>
            <w:gridSpan w:val="3"/>
          </w:tcPr>
          <w:p>
            <w:pPr>
              <w:jc w:val="center"/>
              <w:ind w:right="41"/>
              <w:spacing w:after="0"/>
              <w:rPr>
                <w:sz w:val="20"/>
                <w:szCs w:val="20"/>
                <w:color w:val="auto"/>
              </w:rPr>
            </w:pPr>
            <w:r>
              <w:rPr>
                <w:rFonts w:ascii="Arial" w:cs="Arial" w:eastAsia="Arial" w:hAnsi="Arial"/>
                <w:sz w:val="18"/>
                <w:szCs w:val="18"/>
                <w:b w:val="1"/>
                <w:bCs w:val="1"/>
                <w:color w:val="auto"/>
                <w:w w:val="90"/>
              </w:rPr>
              <w:t>For the period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80" w:type="dxa"/>
            <w:vAlign w:val="bottom"/>
            <w:gridSpan w:val="3"/>
          </w:tcPr>
          <w:p>
            <w:pPr>
              <w:jc w:val="center"/>
              <w:ind w:right="61"/>
              <w:spacing w:after="0"/>
              <w:rPr>
                <w:sz w:val="20"/>
                <w:szCs w:val="20"/>
                <w:color w:val="auto"/>
              </w:rPr>
            </w:pPr>
            <w:r>
              <w:rPr>
                <w:rFonts w:ascii="Arial" w:cs="Arial" w:eastAsia="Arial" w:hAnsi="Arial"/>
                <w:sz w:val="18"/>
                <w:szCs w:val="18"/>
                <w:b w:val="1"/>
                <w:bCs w:val="1"/>
                <w:color w:val="auto"/>
                <w:w w:val="94"/>
              </w:rPr>
              <w:t>from March 2,</w:t>
            </w:r>
          </w:p>
        </w:tc>
        <w:tc>
          <w:tcPr>
            <w:tcW w:w="80" w:type="dxa"/>
            <w:vAlign w:val="bottom"/>
          </w:tcPr>
          <w:p>
            <w:pPr>
              <w:spacing w:after="0"/>
              <w:rPr>
                <w:sz w:val="18"/>
                <w:szCs w:val="18"/>
                <w:color w:val="auto"/>
              </w:rPr>
            </w:pPr>
          </w:p>
        </w:tc>
        <w:tc>
          <w:tcPr>
            <w:tcW w:w="1340" w:type="dxa"/>
            <w:vAlign w:val="bottom"/>
            <w:gridSpan w:val="3"/>
          </w:tcPr>
          <w:p>
            <w:pPr>
              <w:jc w:val="center"/>
              <w:ind w:right="21"/>
              <w:spacing w:after="0"/>
              <w:rPr>
                <w:sz w:val="20"/>
                <w:szCs w:val="20"/>
                <w:color w:val="auto"/>
              </w:rPr>
            </w:pPr>
            <w:r>
              <w:rPr>
                <w:rFonts w:ascii="Arial" w:cs="Arial" w:eastAsia="Arial" w:hAnsi="Arial"/>
                <w:sz w:val="18"/>
                <w:szCs w:val="18"/>
                <w:b w:val="1"/>
                <w:bCs w:val="1"/>
                <w:color w:val="auto"/>
                <w:w w:val="92"/>
              </w:rPr>
              <w:t>For the period</w:t>
            </w:r>
          </w:p>
        </w:tc>
      </w:tr>
      <w:tr>
        <w:trPr>
          <w:trHeight w:val="216"/>
        </w:trPr>
        <w:tc>
          <w:tcPr>
            <w:tcW w:w="28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center"/>
              <w:ind w:right="21"/>
              <w:spacing w:after="0"/>
              <w:rPr>
                <w:sz w:val="20"/>
                <w:szCs w:val="20"/>
                <w:color w:val="auto"/>
              </w:rPr>
            </w:pPr>
            <w:r>
              <w:rPr>
                <w:rFonts w:ascii="Arial" w:cs="Arial" w:eastAsia="Arial" w:hAnsi="Arial"/>
                <w:sz w:val="18"/>
                <w:szCs w:val="18"/>
                <w:b w:val="1"/>
                <w:bCs w:val="1"/>
                <w:color w:val="auto"/>
                <w:w w:val="94"/>
              </w:rPr>
              <w:t>from March 2,</w:t>
            </w:r>
          </w:p>
        </w:tc>
      </w:tr>
      <w:tr>
        <w:trPr>
          <w:trHeight w:val="216"/>
        </w:trPr>
        <w:tc>
          <w:tcPr>
            <w:tcW w:w="28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91"/>
              </w:rPr>
              <w:t>(Inception) to</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80" w:type="dxa"/>
            <w:vAlign w:val="bottom"/>
            <w:gridSpan w:val="3"/>
          </w:tcPr>
          <w:p>
            <w:pPr>
              <w:jc w:val="center"/>
              <w:ind w:right="41"/>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91"/>
              </w:rPr>
              <w:t>(Inception) to</w:t>
            </w:r>
          </w:p>
        </w:tc>
      </w:tr>
      <w:tr>
        <w:trPr>
          <w:trHeight w:val="234"/>
        </w:trPr>
        <w:tc>
          <w:tcPr>
            <w:tcW w:w="28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94"/>
              </w:rPr>
              <w:t>May 21, 2021</w:t>
            </w:r>
          </w:p>
        </w:tc>
      </w:tr>
      <w:tr>
        <w:trPr>
          <w:trHeight w:val="209"/>
        </w:trPr>
        <w:tc>
          <w:tcPr>
            <w:tcW w:w="28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Formation costs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500</w:t>
            </w:r>
          </w:p>
        </w:tc>
      </w:tr>
      <w:tr>
        <w:trPr>
          <w:trHeight w:val="249"/>
        </w:trPr>
        <w:tc>
          <w:tcPr>
            <w:tcW w:w="65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Net loss</w:t>
            </w:r>
          </w:p>
        </w:tc>
        <w:tc>
          <w:tcPr>
            <w:tcW w:w="19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197"/>
        </w:trPr>
        <w:tc>
          <w:tcPr>
            <w:tcW w:w="2820" w:type="dxa"/>
            <w:vAlign w:val="bottom"/>
            <w:shd w:val="clear" w:color="auto" w:fill="CCEEFF"/>
          </w:tcPr>
          <w:p>
            <w:pPr>
              <w:spacing w:after="0"/>
              <w:rPr>
                <w:sz w:val="17"/>
                <w:szCs w:val="17"/>
                <w:color w:val="auto"/>
              </w:rPr>
            </w:pPr>
          </w:p>
        </w:tc>
        <w:tc>
          <w:tcPr>
            <w:tcW w:w="36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6500" w:type="dxa"/>
            <w:vAlign w:val="bottom"/>
            <w:gridSpan w:val="2"/>
          </w:tcPr>
          <w:p>
            <w:pPr>
              <w:spacing w:after="0" w:line="243" w:lineRule="exact"/>
              <w:rPr>
                <w:sz w:val="20"/>
                <w:szCs w:val="20"/>
                <w:color w:val="auto"/>
              </w:rPr>
            </w:pPr>
            <w:r>
              <w:rPr>
                <w:rFonts w:ascii="Arial" w:cs="Arial" w:eastAsia="Arial" w:hAnsi="Arial"/>
                <w:sz w:val="17"/>
                <w:szCs w:val="17"/>
                <w:b w:val="1"/>
                <w:bCs w:val="1"/>
                <w:color w:val="auto"/>
              </w:rPr>
              <w:t>Basic and diluted weighted average shares outstanding</w:t>
            </w:r>
            <w:r>
              <w:rPr>
                <w:rFonts w:ascii="Arial" w:cs="Arial" w:eastAsia="Arial" w:hAnsi="Arial"/>
                <w:sz w:val="28"/>
                <w:szCs w:val="28"/>
                <w:b w:val="1"/>
                <w:bCs w:val="1"/>
                <w:color w:val="auto"/>
                <w:vertAlign w:val="superscript"/>
              </w:rPr>
              <w:t>(1)(2)</w:t>
            </w: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rPr>
              <w:t>8,250,000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8,250,000</w:t>
            </w:r>
          </w:p>
        </w:tc>
      </w:tr>
      <w:tr>
        <w:trPr>
          <w:trHeight w:val="197"/>
        </w:trPr>
        <w:tc>
          <w:tcPr>
            <w:tcW w:w="650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and diluted net loss per common share</w:t>
            </w:r>
          </w:p>
        </w:tc>
        <w:tc>
          <w:tcPr>
            <w:tcW w:w="19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8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1"/>
        </w:trPr>
        <w:tc>
          <w:tcPr>
            <w:tcW w:w="2820" w:type="dxa"/>
            <w:vAlign w:val="bottom"/>
            <w:tcBorders>
              <w:bottom w:val="single" w:sz="8" w:color="auto"/>
            </w:tcBorders>
          </w:tcPr>
          <w:p>
            <w:pPr>
              <w:spacing w:after="0"/>
              <w:rPr>
                <w:sz w:val="21"/>
                <w:szCs w:val="21"/>
                <w:color w:val="auto"/>
              </w:rPr>
            </w:pPr>
          </w:p>
        </w:tc>
        <w:tc>
          <w:tcPr>
            <w:tcW w:w="36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269" w:lineRule="exact"/>
        <w:rPr>
          <w:sz w:val="20"/>
          <w:szCs w:val="20"/>
          <w:color w:val="auto"/>
        </w:rPr>
      </w:pPr>
    </w:p>
    <w:p>
      <w:pPr>
        <w:ind w:left="660" w:right="40" w:hanging="328"/>
        <w:spacing w:after="0" w:line="258"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Excludes up to 1,237,500 shares of Class B common stock subject to forfeiture if the over-allotment option is not exercised in full or in part by the underwriter (see Note 5).</w:t>
      </w:r>
    </w:p>
    <w:p>
      <w:pPr>
        <w:spacing w:after="0" w:line="1" w:lineRule="exact"/>
        <w:rPr>
          <w:rFonts w:ascii="Arial" w:cs="Arial" w:eastAsia="Arial" w:hAnsi="Arial"/>
          <w:sz w:val="18"/>
          <w:szCs w:val="18"/>
          <w:color w:val="auto"/>
        </w:rPr>
      </w:pPr>
    </w:p>
    <w:p>
      <w:pPr>
        <w:ind w:left="660" w:right="80" w:hanging="328"/>
        <w:spacing w:after="0" w:line="255"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On September 24, 2021, the Company issued 862,500 shares of Class B common stock in connection with a 1.1 stock split, resulting in an aggregate of 9,487,500 shares of Class B common stock outstanding. All shares and associated amounts have been retroactively restated to reflect the share capitalization (see Note 5).</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1" w:name="page182"/>
    <w:bookmarkEnd w:id="181"/>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MARCH 2, 2021 (INCEPTION) THROUGH SEPTEMBER 30, 2021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FOR THE PERIOD FROM MARCH 2, 2021 (INCEPTION) THROUGH MAY 21, 2021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80" w:type="dxa"/>
            <w:vAlign w:val="bottom"/>
          </w:tcPr>
          <w:p>
            <w:pPr>
              <w:spacing w:after="0"/>
              <w:rPr>
                <w:sz w:val="17"/>
                <w:szCs w:val="17"/>
                <w:color w:val="auto"/>
              </w:rPr>
            </w:pPr>
          </w:p>
        </w:tc>
        <w:tc>
          <w:tcPr>
            <w:tcW w:w="1000" w:type="dxa"/>
            <w:vAlign w:val="bottom"/>
          </w:tcPr>
          <w:p>
            <w:pPr>
              <w:jc w:val="center"/>
              <w:ind w:left="39"/>
              <w:spacing w:after="0"/>
              <w:rPr>
                <w:sz w:val="20"/>
                <w:szCs w:val="20"/>
                <w:color w:val="auto"/>
              </w:rPr>
            </w:pPr>
            <w:r>
              <w:rPr>
                <w:rFonts w:ascii="Arial" w:cs="Arial" w:eastAsia="Arial" w:hAnsi="Arial"/>
                <w:sz w:val="16"/>
                <w:szCs w:val="16"/>
                <w:b w:val="1"/>
                <w:bCs w:val="1"/>
                <w:color w:val="auto"/>
                <w:w w:val="88"/>
              </w:rPr>
              <w:t>Class B</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tcPr>
          <w:p>
            <w:pPr>
              <w:spacing w:after="0"/>
              <w:rPr>
                <w:sz w:val="17"/>
                <w:szCs w:val="17"/>
                <w:color w:val="auto"/>
              </w:rPr>
            </w:pPr>
          </w:p>
        </w:tc>
        <w:tc>
          <w:tcPr>
            <w:tcW w:w="1000" w:type="dxa"/>
            <w:vAlign w:val="bottom"/>
          </w:tcPr>
          <w:p>
            <w:pPr>
              <w:jc w:val="center"/>
              <w:ind w:left="39"/>
              <w:spacing w:after="0"/>
              <w:rPr>
                <w:sz w:val="20"/>
                <w:szCs w:val="20"/>
                <w:color w:val="auto"/>
              </w:rPr>
            </w:pPr>
            <w:r>
              <w:rPr>
                <w:rFonts w:ascii="Arial" w:cs="Arial" w:eastAsia="Arial" w:hAnsi="Arial"/>
                <w:sz w:val="16"/>
                <w:szCs w:val="16"/>
                <w:b w:val="1"/>
                <w:bCs w:val="1"/>
                <w:color w:val="auto"/>
                <w:w w:val="92"/>
              </w:rPr>
              <w:t>Common</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80" w:type="dxa"/>
            <w:vAlign w:val="bottom"/>
          </w:tcPr>
          <w:p>
            <w:pPr>
              <w:spacing w:after="0"/>
              <w:rPr>
                <w:sz w:val="18"/>
                <w:szCs w:val="18"/>
                <w:color w:val="auto"/>
              </w:rPr>
            </w:pPr>
          </w:p>
        </w:tc>
        <w:tc>
          <w:tcPr>
            <w:tcW w:w="100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87"/>
              </w:rPr>
              <w:t>Stock</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Additional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5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180" w:type="dxa"/>
            <w:vAlign w:val="bottom"/>
          </w:tcPr>
          <w:p>
            <w:pPr>
              <w:spacing w:after="0"/>
              <w:rPr>
                <w:sz w:val="17"/>
                <w:szCs w:val="17"/>
                <w:color w:val="auto"/>
              </w:rPr>
            </w:pPr>
          </w:p>
        </w:tc>
        <w:tc>
          <w:tcPr>
            <w:tcW w:w="1000" w:type="dxa"/>
            <w:vAlign w:val="bottom"/>
            <w:vMerge w:val="restart"/>
          </w:tcPr>
          <w:p>
            <w:pPr>
              <w:jc w:val="center"/>
              <w:ind w:left="19"/>
              <w:spacing w:after="0"/>
              <w:rPr>
                <w:sz w:val="20"/>
                <w:szCs w:val="20"/>
                <w:color w:val="auto"/>
              </w:rPr>
            </w:pPr>
            <w:r>
              <w:rPr>
                <w:rFonts w:ascii="Arial" w:cs="Arial" w:eastAsia="Arial" w:hAnsi="Arial"/>
                <w:sz w:val="16"/>
                <w:szCs w:val="16"/>
                <w:b w:val="1"/>
                <w:bCs w:val="1"/>
                <w:color w:val="auto"/>
                <w:w w:val="81"/>
              </w:rPr>
              <w:t>Shares</w:t>
            </w:r>
            <w:r>
              <w:rPr>
                <w:rFonts w:ascii="Arial" w:cs="Arial" w:eastAsia="Arial" w:hAnsi="Arial"/>
                <w:sz w:val="26"/>
                <w:szCs w:val="26"/>
                <w:b w:val="1"/>
                <w:bCs w:val="1"/>
                <w:color w:val="auto"/>
                <w:w w:val="81"/>
                <w:vertAlign w:val="superscript"/>
              </w:rPr>
              <w:t>(1)(2)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7"/>
              </w:rPr>
              <w:t>Paid-In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w w:val="89"/>
              </w:rPr>
              <w:t>Accumulated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7"/>
              </w:rPr>
              <w:t>Capital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auto"/>
              </w:rPr>
              <w:t>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96"/>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as of March 2, 2021 (inception)</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tcPr>
          <w:p>
            <w:pPr>
              <w:spacing w:after="0"/>
              <w:rPr>
                <w:sz w:val="20"/>
                <w:szCs w:val="20"/>
                <w:color w:val="auto"/>
              </w:rPr>
            </w:pPr>
            <w:r>
              <w:rPr>
                <w:rFonts w:ascii="Arial" w:cs="Arial" w:eastAsia="Arial" w:hAnsi="Arial"/>
                <w:sz w:val="16"/>
                <w:szCs w:val="16"/>
                <w:color w:val="auto"/>
              </w:rPr>
              <w:t>Class B common stock issued to Sponsors</w:t>
            </w:r>
          </w:p>
        </w:tc>
        <w:tc>
          <w:tcPr>
            <w:tcW w:w="1000" w:type="dxa"/>
            <w:vAlign w:val="bottom"/>
          </w:tcPr>
          <w:p>
            <w:pPr>
              <w:jc w:val="right"/>
              <w:spacing w:after="0"/>
              <w:rPr>
                <w:sz w:val="20"/>
                <w:szCs w:val="20"/>
                <w:color w:val="auto"/>
              </w:rPr>
            </w:pPr>
            <w:r>
              <w:rPr>
                <w:rFonts w:ascii="Arial" w:cs="Arial" w:eastAsia="Arial" w:hAnsi="Arial"/>
                <w:sz w:val="16"/>
                <w:szCs w:val="16"/>
                <w:color w:val="auto"/>
              </w:rPr>
              <w:t>9,487,500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949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24,051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25,000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(500)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196"/>
        </w:trPr>
        <w:tc>
          <w:tcPr>
            <w:tcW w:w="5180" w:type="dxa"/>
            <w:vAlign w:val="bottom"/>
          </w:tcPr>
          <w:p>
            <w:pPr>
              <w:spacing w:after="0"/>
              <w:rPr>
                <w:sz w:val="20"/>
                <w:szCs w:val="20"/>
                <w:color w:val="auto"/>
              </w:rPr>
            </w:pPr>
            <w:r>
              <w:rPr>
                <w:rFonts w:ascii="Arial" w:cs="Arial" w:eastAsia="Arial" w:hAnsi="Arial"/>
                <w:sz w:val="16"/>
                <w:szCs w:val="16"/>
                <w:b w:val="1"/>
                <w:bCs w:val="1"/>
                <w:color w:val="auto"/>
              </w:rPr>
              <w:t>Balance as of May 21, 2021</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9,487,500</w:t>
            </w:r>
          </w:p>
        </w:tc>
        <w:tc>
          <w:tcPr>
            <w:tcW w:w="220" w:type="dxa"/>
            <w:vAlign w:val="bottom"/>
          </w:tcPr>
          <w:p>
            <w:pPr>
              <w:spacing w:after="0"/>
              <w:rPr>
                <w:sz w:val="17"/>
                <w:szCs w:val="17"/>
                <w:color w:val="auto"/>
              </w:rPr>
            </w:pPr>
          </w:p>
        </w:tc>
        <w:tc>
          <w:tcPr>
            <w:tcW w:w="1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949</w:t>
            </w:r>
          </w:p>
        </w:tc>
        <w:tc>
          <w:tcPr>
            <w:tcW w:w="2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24,051</w:t>
            </w:r>
          </w:p>
        </w:tc>
        <w:tc>
          <w:tcPr>
            <w:tcW w:w="2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24,500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5180" w:type="dxa"/>
            <w:vAlign w:val="bottom"/>
          </w:tcPr>
          <w:p>
            <w:pPr>
              <w:spacing w:after="0"/>
              <w:rPr>
                <w:sz w:val="20"/>
                <w:szCs w:val="20"/>
                <w:color w:val="auto"/>
              </w:rPr>
            </w:pPr>
            <w:r>
              <w:rPr>
                <w:rFonts w:ascii="Arial" w:cs="Arial" w:eastAsia="Arial" w:hAnsi="Arial"/>
                <w:sz w:val="16"/>
                <w:szCs w:val="16"/>
                <w:b w:val="1"/>
                <w:bCs w:val="1"/>
                <w:color w:val="auto"/>
              </w:rPr>
              <w:t>Balance as of September 30, 2021 (unaudited)</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9,487,500</w:t>
            </w: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949</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24,051</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220" w:type="dxa"/>
            <w:vAlign w:val="bottom"/>
          </w:tcPr>
          <w:p>
            <w:pPr>
              <w:jc w:val="right"/>
              <w:ind w:right="79"/>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24,500</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7" w:lineRule="exact"/>
        <w:rPr>
          <w:sz w:val="20"/>
          <w:szCs w:val="20"/>
          <w:color w:val="auto"/>
        </w:rPr>
      </w:pPr>
    </w:p>
    <w:p>
      <w:pPr>
        <w:ind w:left="660" w:right="80" w:hanging="328"/>
        <w:spacing w:after="0" w:line="258"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Includes up to 1,237,500 shares of Class B common stock subject to forfeiture if the over-allotment option is not exercised in full or in part by the underwriter (see Note 5).</w:t>
      </w:r>
    </w:p>
    <w:p>
      <w:pPr>
        <w:spacing w:after="0" w:line="1" w:lineRule="exact"/>
        <w:rPr>
          <w:rFonts w:ascii="Arial" w:cs="Arial" w:eastAsia="Arial" w:hAnsi="Arial"/>
          <w:sz w:val="18"/>
          <w:szCs w:val="18"/>
          <w:color w:val="auto"/>
        </w:rPr>
      </w:pPr>
    </w:p>
    <w:p>
      <w:pPr>
        <w:ind w:left="660" w:right="80" w:hanging="328"/>
        <w:spacing w:after="0" w:line="255"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On September 24, 2021, the Company issued 862,500 shares of Class B common stock in connection with a 1.1 stock split, resulting in an aggregate of 9,487,500 shares of Class B common stock outstanding. All shares and associated amounts have been retroactively restated to reflect the share capitalization (see Note 5).</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2" w:name="page183"/>
    <w:bookmarkEnd w:id="182"/>
    <w:p>
      <w:pPr>
        <w:ind w:left="4260"/>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For the period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from March 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For the period</w:t>
            </w:r>
          </w:p>
        </w:tc>
      </w:tr>
      <w:tr>
        <w:trPr>
          <w:trHeight w:val="216"/>
        </w:trPr>
        <w:tc>
          <w:tcPr>
            <w:tcW w:w="6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2021 (Inception)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from March 2,</w:t>
            </w:r>
          </w:p>
        </w:tc>
      </w:tr>
      <w:tr>
        <w:trPr>
          <w:trHeight w:val="216"/>
        </w:trPr>
        <w:tc>
          <w:tcPr>
            <w:tcW w:w="6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to September 30,</w:t>
            </w:r>
          </w:p>
        </w:tc>
        <w:tc>
          <w:tcPr>
            <w:tcW w:w="80" w:type="dxa"/>
            <w:vAlign w:val="bottom"/>
          </w:tcPr>
          <w:p>
            <w:pPr>
              <w:spacing w:after="0"/>
              <w:rPr>
                <w:sz w:val="18"/>
                <w:szCs w:val="18"/>
                <w:color w:val="auto"/>
              </w:rPr>
            </w:pPr>
          </w:p>
        </w:tc>
        <w:tc>
          <w:tcPr>
            <w:tcW w:w="14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1"/>
              </w:rPr>
              <w:t>2021 (Inception)</w:t>
            </w:r>
          </w:p>
        </w:tc>
      </w:tr>
      <w:tr>
        <w:trPr>
          <w:trHeight w:val="234"/>
        </w:trPr>
        <w:tc>
          <w:tcPr>
            <w:tcW w:w="68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to May 21, 2021</w:t>
            </w:r>
          </w:p>
        </w:tc>
      </w:tr>
      <w:tr>
        <w:trPr>
          <w:trHeight w:val="209"/>
        </w:trPr>
        <w:tc>
          <w:tcPr>
            <w:tcW w:w="6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Net loss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(500)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(500)</w:t>
            </w:r>
          </w:p>
        </w:tc>
      </w:tr>
      <w:tr>
        <w:trPr>
          <w:trHeight w:val="216"/>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Accrued offering costs and expenses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500</w:t>
            </w:r>
          </w:p>
        </w:tc>
      </w:tr>
      <w:tr>
        <w:trPr>
          <w:trHeight w:val="209"/>
        </w:trPr>
        <w:tc>
          <w:tcPr>
            <w:tcW w:w="68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cash used in operating activities</w:t>
            </w:r>
          </w:p>
        </w:tc>
        <w:tc>
          <w:tcPr>
            <w:tcW w:w="1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6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Proceeds from initial shareholder</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25,000</w:t>
            </w:r>
          </w:p>
        </w:tc>
      </w:tr>
      <w:tr>
        <w:trPr>
          <w:trHeight w:val="216"/>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promissory note to related party</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10"/>
        </w:trPr>
        <w:tc>
          <w:tcPr>
            <w:tcW w:w="682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Net cash provided by financing activities</w:t>
            </w:r>
          </w:p>
        </w:tc>
        <w:tc>
          <w:tcPr>
            <w:tcW w:w="14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25,100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25,100</w:t>
            </w:r>
          </w:p>
        </w:tc>
        <w:tc>
          <w:tcPr>
            <w:tcW w:w="100" w:type="dxa"/>
            <w:vAlign w:val="bottom"/>
            <w:tcBorders>
              <w:bottom w:val="single" w:sz="8" w:color="CCEEFF"/>
            </w:tcBorders>
            <w:gridSpan w:val="2"/>
          </w:tcPr>
          <w:p>
            <w:pPr>
              <w:spacing w:after="0"/>
              <w:rPr>
                <w:sz w:val="18"/>
                <w:szCs w:val="18"/>
                <w:color w:val="auto"/>
              </w:rPr>
            </w:pPr>
          </w:p>
        </w:tc>
      </w:tr>
      <w:tr>
        <w:trPr>
          <w:trHeight w:val="209"/>
        </w:trPr>
        <w:tc>
          <w:tcPr>
            <w:tcW w:w="68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Net change in cash</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25,100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25,100</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at inception</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68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end of the period</w:t>
            </w:r>
          </w:p>
        </w:tc>
        <w:tc>
          <w:tcPr>
            <w:tcW w:w="14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25,100</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25,100</w:t>
            </w:r>
          </w:p>
        </w:tc>
        <w:tc>
          <w:tcPr>
            <w:tcW w:w="100" w:type="dxa"/>
            <w:vAlign w:val="bottom"/>
            <w:tcBorders>
              <w:bottom w:val="single" w:sz="8" w:color="CCEEFF"/>
            </w:tcBorders>
            <w:gridSpan w:val="2"/>
          </w:tcPr>
          <w:p>
            <w:pPr>
              <w:spacing w:after="0"/>
              <w:rPr>
                <w:sz w:val="21"/>
                <w:szCs w:val="21"/>
                <w:color w:val="auto"/>
              </w:rPr>
            </w:pPr>
          </w:p>
        </w:tc>
      </w:tr>
      <w:tr>
        <w:trPr>
          <w:trHeight w:val="197"/>
        </w:trPr>
        <w:tc>
          <w:tcPr>
            <w:tcW w:w="68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flow financing activities: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offering costs included in accrued offerings costs and expenses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66,510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24,500</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Deferred offering costs paid by Sponsor under the promissory note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99,991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3" w:name="page184"/>
    <w:bookmarkEnd w:id="183"/>
    <w:p>
      <w:pPr>
        <w:jc w:val="center"/>
        <w:ind w:right="-19"/>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Business Operations and Going Concern</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BurTech Acquisition Corp. (the “Company”) is a blank check company incorporated in Delaware on March 2, 2021, for the purpose of effecting a merger, capital stock exchange, asset acquisition, stock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8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As of September 30, 2021, the Company had not commenced any operations. All activity for the period from March 2, 2021 (inception) through September 30, 2021 relates to the Company’s formation and the Proposed Public Offering (as defined below). The Company will not generate any operating revenues until after the completion of its initial Business Combination, at the earliest. The Company will generate non-operating income in the form of interest income from the proceeds derived from the Proposed Public Offering (as defined below). The Company has selected December 31 as its fiscal year end.</w:t>
      </w:r>
    </w:p>
    <w:p>
      <w:pPr>
        <w:spacing w:after="0" w:line="15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sponsor is BurTech LP LLC, (the “Sponsor”). The Company’s ability to commence operations is contingent upon obtaining adequate financial resources through a proposed public offering (the “Proposed Public Offering”) of 25,000,000 units (each, a “Unit” and collectively, the “Units”) at $10.00 per Unit (or 28,750,000 units if the underwriters’ over-allotment option is exercised in full), which is discussed in Note 3, and the sale of 804,500 placement units (or 898,250 placement units if the over-allotment option is exercised in full) at a price of $10.00 per unit, for an aggregate purchase price of $8,045,000 ($8,982,500 if the over-allotment option is exercised in full), which is discussed in Note 4. Each placement unit will be identical to the units sold in this offering, except as described in this prospectus. The placement units will be sold in a private placement that will close simultaneously with the closing of this offering.</w:t>
      </w:r>
    </w:p>
    <w:p>
      <w:pPr>
        <w:spacing w:after="0" w:line="19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Nasdaq rules require that a company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the Company’s signing a definitive agreement in connection with the initial Business Combination. The board of directors will make the determination as to the fair market value of the initial Business Combination. If the board of directors is not able to independently determine the fair market value of the initial Business Combination, the Company will obtain an opinion from an independent investment banking firm or another independent entity that commonly renders valuation opinions with respect to the satisfaction of such criteria. While the Company considers it unlikely that the board of directors will not be able to make an independent determination of the fair market value of the initial Business Combination, it may be unable to do so if it is less familiar or experienced with the business of a particular target or if there is a significant amount of uncertainty as to the value of a target’s assets or prospects. Additionally, pursuant to Nasdaq rules, any initial Business Combination must be approved by a majority of the Company’s independent directors.</w:t>
      </w:r>
    </w:p>
    <w:p>
      <w:pPr>
        <w:spacing w:after="0" w:line="19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Upon the closing of the Proposed Public Offering, management has agreed that $10.15 per Unit sold in the Proposed Public Offering, including the proceeds of the sale of the Private Placement Units, will be held in a Trust Account (“Trust Account”) and will be invested only in U.S. government securities with a maturity of 185 days or less or in money market funds meeting certain conditions under Rule 2a-7 under the Investment Company Act which invest only in direct U.S. government treasury obligations. Except with respect to interest earned on the funds held in the Trust Account that may be released to the Company to pay its tax obligations and up to $100,000 of interest that may be used for the Company’s dissolution expenses, the proceeds from the Proposed Public Offering and the sale of the placement units held in the Trust Account will not be released from the Trust Account until the earliest to occur of: (a) the completion of the initial Business Combination, (b) the redemption of any public shares properly submitted in connection with a stockholder vote to amend the Company’s amended and restated certificate of incorporation (i) to modify the substance or timing of the Company’s obligation to allow redemption in connection with the initial Business Combination or certain amendments to the Company’s charter prior thereto or to redeem 100% of the public shares if the Company does not complete the initial Business Combination within 15 months from the closing of the Proposed Public Offering or (ii) with respect to any other provision relating to stockholders’ rights or pre-Business Combination activity, and (c) the redemption of the public shares if the Company is unable to complete the initial Business Combination within 15 months from the closing of the Proposed Public Offering, subject to applicable law. The proceeds deposited in the Trust Account could become subject to the claims of the Company’s creditors, if any, which could have priority over the claims of the Company’s public stockholders.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84" w:name="page185"/>
    <w:bookmarkEnd w:id="184"/>
    <w:p>
      <w:pPr>
        <w:spacing w:after="0" w:line="269" w:lineRule="auto"/>
        <w:rPr>
          <w:sz w:val="20"/>
          <w:szCs w:val="20"/>
          <w:color w:val="auto"/>
        </w:rPr>
      </w:pPr>
      <w:r>
        <w:rPr>
          <w:rFonts w:ascii="Arial" w:cs="Arial" w:eastAsia="Arial" w:hAnsi="Arial"/>
          <w:sz w:val="17"/>
          <w:szCs w:val="17"/>
          <w:color w:val="auto"/>
        </w:rPr>
        <w:t>The Company will provide its public stockholders with the opportunity to redeem all or a portion of their public shares upon the completion of the initial Business Combination either (i) in connection with a stockholder meeting called to approve the Business Combination or (ii) without a stockholder vote by means of a tender offer. The decision as to whether the Company will seek stockholder approval of a proposed Business Combination or conduct a tender offer will be made by the Company, solely in the Company’s discretion, and will be based on a variety of factors such as the timing of the transaction and whether the terms of the transaction would require the Company to seek stockholder approval under applicable law or stock exchange listing requirement. The Company will provide its public stockholders with the opportunity to redeem all or a portion of their public shares upon the completion of the initial Business Combination at a per-share price, payable in cash, equal to the aggregate amount then on deposit in the Trust Account as of two business days prior to the consummation of the initial Business Combination, including interest earned on the funds held in the Trust Account and not previously released to the Company to pay its taxes, divided by the number of then outstanding public shares, subject to the limitations described herein. The amount in the Trust Account is initially anticipated to be $10.15 per public share, however, there is no guarantee that investors will receive $10.15 per share upon redemption.</w:t>
      </w:r>
    </w:p>
    <w:p>
      <w:pPr>
        <w:spacing w:after="0" w:line="182"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shares of common stock subject to redemption will be recorded at a redemption value and classified as temporary equity upon the completion of the Proposed Public Offering, in accordance with Financial Accounting Standards Board’s (“FASB”) Accounting Standards Codification (“ASC”) Topic 480 “Distinguishing Liabilities from Equity.”</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will have only 15 months from the closing of the Proposed Public Offering (the “Combination Period”) to complete the initial Business Combination. If the Company is unable to complete the initial Business Combination within the Combination Period (and the stockholders have not approved an amendment to the Company’s charter extending this time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the case of clauses (ii) and (iii) above to the Company’s obligations under Delaware law to provide for claims of creditors and the requirements of other applicable law. There will be no redemption rights or liquidating distributions with respect to the warrants, which will expire worthless if the Company fails to complete the initial Business Combination within the Combination Period.</w:t>
      </w:r>
    </w:p>
    <w:p>
      <w:pPr>
        <w:spacing w:after="0" w:line="17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Sponsor, officers and directors have entered into a letter agreement with the Company, pursuant to which they have agreed to (i) waive their redemption rights with respect to any founder shares, placement shares and public shares held by them in connection with the completion of the initial Business Combination, (ii) waive their redemption rights with respect to any founder shares, placement shares and public shares held by them in connection with a stockholder vote to approve an amendment to the Company’s amended and restated certificate of incorporation (A) to modify the substance or timing of the Company’s obligation to allow redemption in connection with the initial Business Combination or certain amendments to the Company’s charter prior thereto or to redeem 100% of the public shares if the Company does not complete the initial Business Combination within the Combination Period or (B) with respect to any other provision relating to stockholders’ rights or pre-initial Business Combination activity and (iii) waive their rights to liquidating distributions from the Trust Account with respect to any founder shares and placement shares held by them if the Company fails to complete the initial Business Combination within the Combination Period, although they will be entitled to liquidating distributions from the Trust Account with respect to any public shares they hold if the Company fails to complete the initial Business Combination within the prescribed time frame; and (iv) vote any founder shares held by them and any public shares purchased during or after the Proposed Public Offering (including in open market and privately-negotiated transactions) in favor of the initial Business Combination.</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85" w:name="page186"/>
    <w:bookmarkEnd w:id="185"/>
    <w:p>
      <w:pPr>
        <w:ind w:right="160"/>
        <w:spacing w:after="0" w:line="288" w:lineRule="auto"/>
        <w:rPr>
          <w:sz w:val="20"/>
          <w:szCs w:val="20"/>
          <w:color w:val="auto"/>
        </w:rPr>
      </w:pPr>
      <w:r>
        <w:rPr>
          <w:rFonts w:ascii="Arial" w:cs="Arial" w:eastAsia="Arial" w:hAnsi="Arial"/>
          <w:sz w:val="16"/>
          <w:szCs w:val="16"/>
          <w:color w:val="auto"/>
        </w:rPr>
        <w:t>The Sponsor has agreed that it will be liable to the Company if and to the extent any claims by a third party for services rendered or products sold to the Company, or a prospective target business with which the Company has entered into a written letter of intent, confidentiality or similar agreement or Business Combination agreement, reduce the amount of funds in the Trust Account to below the lesser of (i) $10.15 per public share and (ii) the actual amount per public share held in the Trust Account as of the date of the liquidation of the Trust Account, if less than $10.15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indemnity of the underwriters of the Proposed Public Offering against certain liabilities, including liabilities under the Securities Act. However, the Company has not asked the Sponsor to reserve for such indemnification obligations, nor has the Company independently verified whether the Sponsor has sufficient funds to satisfy its indemnity obligations and believe that the Sponsor’s only assets are securities of the Company. Therefore, the Company cannot assure you that the Sponsor would be able to satisfy those obligations.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Consideration</w:t>
      </w:r>
    </w:p>
    <w:p>
      <w:pPr>
        <w:spacing w:after="0" w:line="22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As of September 30, 2021, the Company had $25,100 in cash and a working capital deficit of $141,501 (excluding deferred offering costs). The Company has incurred and expects to continue to incur significant costs in pursuit of its financing and acquisition plans. These conditions raise substantial doubt about the Company’s ability to continue as a going concern. Management plans to address this uncertainty through a Proposed Public Offering as discussed in Note 3. There is no assurance that the Company’s plans to raise capital or to consummate a Business Combination will be successful within the Combination Period. The financial statements do not include any adjustments that might result from the outcome of this uncertainty.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Management is currently evaluating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accompanying financial statements are presented in conformity with accounting principles generally accepted in the United States of America (“US GAAP”) and pursuant to the rules and regulations of the U.S. Securities and Exchange Commission (the “SEC”).</w:t>
      </w:r>
    </w:p>
    <w:p>
      <w:pPr>
        <w:spacing w:after="0" w:line="17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accompanying unaudited financial statements as of September 30, 2021 and for the period from March 2, 2021 (inception) through September 30, 2021 have been prepared in accordance with U.S. GAAP for interim financial information and Article 10 of Regulation S-X. In the opinion of management, all adjustments (consisting of normal accruals) considered for a fair presentation have been included. Operating results for the period from March 2, 2021 (inception) through September 30, 2021 are not necessarily indicative of the results that may be expected for the period ending December 31, 2021, or for any future period. All amounts disclosed in the financial statements after May 21, 2021 are unaudited, except the stock split disclosed in Note 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is an “emerging growth company,” as defined in Section2(a)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86" w:name="page187"/>
    <w:bookmarkEnd w:id="186"/>
    <w:p>
      <w:pPr>
        <w:spacing w:after="0" w:line="289" w:lineRule="auto"/>
        <w:rPr>
          <w:sz w:val="20"/>
          <w:szCs w:val="20"/>
          <w:color w:val="auto"/>
        </w:rPr>
      </w:pPr>
      <w:r>
        <w:rPr>
          <w:rFonts w:ascii="Arial" w:cs="Arial" w:eastAsia="Arial" w:hAnsi="Arial"/>
          <w:sz w:val="16"/>
          <w:szCs w:val="16"/>
          <w:color w:val="auto"/>
        </w:rPr>
        <w:t>Further, Section102(b)(1)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had $25,100 in cash and did not have any cash equivalents as of September 30, 2021 and May 21,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Deferred offering costs consist of legal expenses incurred through the balance sheet date that are directly related to the Proposed Public Offering and will be charged to stockholders’ equity. Should the Proposed Public Offering prove to be unsuccessful, all of these deferred costs, as well as additional expenses to be incurred, will be charged to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fair value of the Company’s assets and liabilities, which qualify as financial instruments under the FASB ASC 820, “Fair Value Measurements and Disclosures,” approximates the carrying amounts represented in the balance sheet, primarily due to its short-term nature.</w:t>
      </w:r>
    </w:p>
    <w:p>
      <w:pPr>
        <w:spacing w:after="0" w:line="14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192" w:lineRule="exact"/>
        <w:rPr>
          <w:sz w:val="20"/>
          <w:szCs w:val="20"/>
          <w:color w:val="auto"/>
        </w:rPr>
      </w:pPr>
    </w:p>
    <w:p>
      <w:pPr>
        <w:ind w:left="440" w:right="60" w:hanging="216"/>
        <w:spacing w:after="0" w:line="277" w:lineRule="auto"/>
        <w:tabs>
          <w:tab w:leader="none" w:pos="440" w:val="left"/>
        </w:tabs>
        <w:numPr>
          <w:ilvl w:val="0"/>
          <w:numId w:val="96"/>
        </w:numPr>
        <w:rPr>
          <w:rFonts w:ascii="Arial" w:cs="Arial" w:eastAsia="Arial" w:hAnsi="Arial"/>
          <w:sz w:val="18"/>
          <w:szCs w:val="18"/>
          <w:color w:val="auto"/>
          <w:vertAlign w:val="superscript"/>
        </w:rPr>
      </w:pPr>
      <w:r>
        <w:rPr>
          <w:rFonts w:ascii="Arial" w:cs="Arial" w:eastAsia="Arial" w:hAnsi="Arial"/>
          <w:sz w:val="18"/>
          <w:szCs w:val="18"/>
          <w:color w:val="auto"/>
        </w:rPr>
        <w:t>Level 1—Assets and liabilities with unadjusted, quoted prices listed on active market exchanges. Inputs to the fair value measurement are observable inputs, such as quoted prices in active markets for identical assets or liabilities.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7" w:name="page188"/>
    <w:bookmarkEnd w:id="187"/>
    <w:p>
      <w:pPr>
        <w:ind w:left="440" w:right="120" w:hanging="216"/>
        <w:spacing w:after="0" w:line="342" w:lineRule="auto"/>
        <w:tabs>
          <w:tab w:leader="none" w:pos="440" w:val="left"/>
        </w:tabs>
        <w:numPr>
          <w:ilvl w:val="0"/>
          <w:numId w:val="97"/>
        </w:numPr>
        <w:rPr>
          <w:rFonts w:ascii="Arial" w:cs="Arial" w:eastAsia="Arial" w:hAnsi="Arial"/>
          <w:sz w:val="16"/>
          <w:szCs w:val="16"/>
          <w:color w:val="auto"/>
          <w:vertAlign w:val="superscript"/>
        </w:rPr>
      </w:pPr>
      <w:r>
        <w:rPr>
          <w:rFonts w:ascii="Arial" w:cs="Arial" w:eastAsia="Arial" w:hAnsi="Arial"/>
          <w:sz w:val="16"/>
          <w:szCs w:val="16"/>
          <w:color w:val="auto"/>
        </w:rPr>
        <w:t>Level 2—Inputs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23" w:lineRule="exact"/>
        <w:rPr>
          <w:rFonts w:ascii="Arial" w:cs="Arial" w:eastAsia="Arial" w:hAnsi="Arial"/>
          <w:sz w:val="16"/>
          <w:szCs w:val="16"/>
          <w:color w:val="auto"/>
          <w:vertAlign w:val="superscript"/>
        </w:rPr>
      </w:pPr>
    </w:p>
    <w:p>
      <w:pPr>
        <w:ind w:left="440" w:right="260" w:hanging="216"/>
        <w:spacing w:after="0" w:line="277" w:lineRule="auto"/>
        <w:tabs>
          <w:tab w:leader="none" w:pos="440" w:val="left"/>
        </w:tabs>
        <w:numPr>
          <w:ilvl w:val="0"/>
          <w:numId w:val="97"/>
        </w:numPr>
        <w:rPr>
          <w:rFonts w:ascii="Arial" w:cs="Arial" w:eastAsia="Arial" w:hAnsi="Arial"/>
          <w:sz w:val="18"/>
          <w:szCs w:val="18"/>
          <w:color w:val="auto"/>
          <w:vertAlign w:val="superscript"/>
        </w:rPr>
      </w:pPr>
      <w:r>
        <w:rPr>
          <w:rFonts w:ascii="Arial" w:cs="Arial" w:eastAsia="Arial" w:hAnsi="Arial"/>
          <w:sz w:val="18"/>
          <w:szCs w:val="18"/>
          <w:color w:val="auto"/>
        </w:rPr>
        <w:t>Level 3—Inputs to the fair value measurement are unobservable inputs, such as estimates, assumptions, and valuation techniques when little or no market data exists for the assets or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Common Share</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 complies with the accounting and disclosure requirements of FASB ASC Topic 260, “Earnings Per Share.” Net loss per common share is computed by dividing net loss by the weighted average number of shares of common stock outstanding during the period, excluding common stock subject to forfeiture. Weighted average shares were reduced for the effect of an aggregate of 1,237,500 shares of Class B common stock that are subject to forfeiture if the over-allotment option is not exercised by the underwriter (see Note 5). At September 30, 2021 and May 21, 2021, the Company did not have any dilutive securities and other contracts that could, potentially, be exercised or converted into common stock and then share in the earnings of the Company. As a result, diluted loss per common share is the same as basic loss per common share for the period presented.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Share Classification</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Company’s common stock that will be sold as part of the Units in the Proposed Public Offering ("public common stock") contain a redemption feature which allows for the redemption of such public shares in connection with the Company’s liquidation, or if there is a shareholder vote or tender offer in connection with the Company’s initial Business Combination. In accordance with ASC 480-10-S99, the Company classifies public common stock subject to redemption outside of permanent equity as the redemption provisions are not solely within the control of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accounts for income taxes under FASB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7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recognizes accrued interest and penalties related to unrecognized tax benefits as income tax expense. There were no unrecognized tax benefits and no amounts accrued for interest and penalties as of September 30, 2021 and May 21, 2021. The Company is currently not aware of any issues under review that could result in significant payments, accruals or material deviation from its position.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identified the United States as its only “major” tax jurisdiction.</w:t>
      </w:r>
    </w:p>
    <w:p>
      <w:pPr>
        <w:spacing w:after="0" w:line="22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Company is subject to income tax examinations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was deemed to be immaterial for the period from March 2, 2021(inception) through September 30,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a cash account in a financial institution which, at times may exceed the Federal depository insurance coverage of $250,000. At September 30, 2021, the Company had not experienced losses on this account and management believes the Company is not exposed to significant risks on such account.</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b w:val="1"/>
          <w:bCs w:val="1"/>
          <w:color w:val="auto"/>
        </w:rPr>
        <w:t>Recent Accounting Standards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August 2020, the FASB issued Accounting Standards Update (“ASU”) No. 2020-06, Debt—Debt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GAAP. The ASU also removes certain settlement conditions that are required for equity-linked contracts to qualify for the derivative scope exception, and it simplifies the diluted earnings per share calculation in certain areas. The Company adopted ASU 2020-06 on March 2, 2021 (inception). Adoption of the ASU did not impact the Company’s financial position, results of operations or cash flows.</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Company’s management does not believe that any other recently issued, but not yet effective, accounting standards if currently adopted would have a material effect on the accompanying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Proposed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Units</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Pursuant to the Proposed Public Offering, the Company will offer for sale 25,000,000 Units (or 28,750,000 Units if the underwriter’s overallotment option is exercised in full) at a purchase price of $10.00 per Unit. Each Unit will consist of one share of Class A common stock and one redeemable warrant (“public warrant”) for a total of 25,000,000 warrants (28,750,000 warrants if the underwriter’s overallotment option is exercised in full). Each public warrant entitles the holder to purchase one share of Common Stock at a purchase price of $11.50 per share.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Sponsor has subscribed to purchase an aggregate of 804,500 placement units (or 898,250 placement units if the over-allotment option is exercised in full) Private Placement Units for a purchase price of approximately $8,045,000 (or $8,982,500 if the over-allotment option is exercised in full), or $10.00 per unit, in a private placement that will close simultaneously with the closing of the Proposed Public Offering. Each Private Placement Unit will consist of one share of Class A common stock and one redeemable warrant (“private warrant”) for a total of 804,500 private warrants (898,250 private warrants if the underwriter’s overallotment option is exercised in full). Each private warrant entitles the holder to purchase one share of Common Stock at a purchase price of $11.50 per share.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2021 the Sponsor purchased 8,625,000 shares of the Company’s Class B common stock, par value $0.0001 per share (the “Founder Shares”), for an aggregate price of $25,000. On September 24, 2021, the Company issued 862,500 shares of Class B common stock in connection with a 1.1 stock split, resulting in an aggregate of 9,487,500 shares of Class B common stock outstanding. All shares and associated amounts have been retroactively restated to reflect the share capitalization. The number of founder shares outstanding was determined based on the expectation that the total size of the Proposed Public Offering would be a maximum of 28,750,000 Units if the underwriter’s over-allotment option is exercised in full, and therefore that such founder shares would represent 24.81% of the outstanding shares after the Proposed Public Offering (excluding the shares of Class A common stock to be issued to the representative or its designees upon consummation of this offering, the placement units and securities underlying the placement units and assuming the initial stockholders do not purchase units in this offering). Up to 1,237,500 of the founder shares will be forfeited depending on the extent to which the underwriter’s over-allotment is not exercised.</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89" w:name="page190"/>
    <w:bookmarkEnd w:id="189"/>
    <w:p>
      <w:pPr>
        <w:ind w:right="20"/>
        <w:spacing w:after="0" w:line="254" w:lineRule="auto"/>
        <w:rPr>
          <w:sz w:val="20"/>
          <w:szCs w:val="20"/>
          <w:color w:val="auto"/>
        </w:rPr>
      </w:pPr>
      <w:r>
        <w:rPr>
          <w:rFonts w:ascii="Arial" w:cs="Arial" w:eastAsia="Arial" w:hAnsi="Arial"/>
          <w:sz w:val="18"/>
          <w:szCs w:val="18"/>
          <w:color w:val="auto"/>
        </w:rPr>
        <w:t>The initial stockholders have agreed not to transfer, assign or sell any of their founder shares (or shares of common stock issuable upon conversion thereof) until the earlier to occur of: (A) six months after the completion of the initial Business Combination and (B) subsequent to the initial Business Combination, if the reported last sale price of the Class A common stock equals or exceeds $12.00 per share (as adjusted for stock splits, stock dividends, reorganizations, recapitalizations and the like) for any 20 trading days within any 30-trading day period commencing after the initial Business Combination (except as described herein under the section of this prospectus entitled “Principal Stockholders — Restrictions on Transfers of Founder Shares and Placement Units”). Any permitted transferees will be subject to the same restrictions and other agreements of the initial stockholders with respect to any founder shares (the “Lock-up”).</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 — Related Party</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Sponsors have agreed to loan the Company up to $300,000 to be used for a portion of the expenses of the Proposed Public Offering. These loans are non-interest bearing, unsecured and due at the earlier of December 31, 2021 or the closing of the Proposed Public Offering. These loans will be repaid upon the closing of the Proposed Public Offering. As of September 30, 2021 and May 21, 2021, the Company had borrowed $100,091 and $100 under the promissory note.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Loans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order to finance transaction costs in connection with an intended initial Business Combination, the Sponsor or an affiliate of the Sponsor or certain of the Company’s officers and directors may, but are not obligated to, loan the Company funds on a non-interest bearing basis as may be required (the “Working Capital Loans”). If the Company completes an initial Business Combination, the Company would repay the Working Capital Loans. In the event that the initial Business Combination does not close, the Company may use a portion of the working capital held outside the Trust Account to repay the Working Capital Loans but no proceeds from the Trust Account would be used for such repayment. Up to $1,500,000 of the Working Capital Loans made by the Sponsor, the Company’s officers and directors, or the Company’s or their affiliates to the Company prior to or in connection with the initial Business Combination may be convertible into units, at a price of $10.00 per unit at the option of the lender, upon consummation of the initial Business Combination. The units would be identical to the placement units. Other than as described above, the terms of the Working Capital Loans by the Sponsor, the Company’s officers and directors or their affiliates, if any, have not been determined and no written agreements exist with respect to the Working Capital Loans. The Company does not expect to seek loans from parties other than the Sponsor or an affiliate of the Sponsor as the Company does not believe third parties will be willing to loan such funds and provide a waiver against any and all rights to seek access to funds in the Trust Account. At September 30, 2021 and May 21, 2021, no such Working Capital Loans were outstanding.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Service Fee</w:t>
      </w:r>
    </w:p>
    <w:p>
      <w:pPr>
        <w:spacing w:after="0" w:line="229"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Company will enter into an administrative services agreement on the effective date of the registration statement for the Proposed Public Offering pursuant to which the Company will pay an affiliate of the Sponsor a total of $10,000 per month for office space, utilities and secretarial and administrative support. Upon completion of the Company’s initial Business Combination or its liquidation, the Company will cease paying these monthly fees.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holders of the founder shares, the representative shares, placement units (including component securities contained therein) and units (including securities contained therein) that may be issued upon conversion of Working Capital Loans, and any shares of Class A common stock issuable upon the exercise of the placement warrants and any shares of Class A common stock and warrants (and underlying Class A common stock) that may be issued upon conversion of the units issued as part of the Working Capital Loans and Class A common stock issuable upon conversion of the founder shares, will be entitled to registration rights pursuant to a registration rights agreement to be signed prior to or on the effective date of the Proposed Public Offering, requiring the Company to register such securities for resale (in the case of the founder shares, only after conversion to the Class A common stock). The holders of the majority of these securities are entitled to make up to three demands, excluding short form demands, that the Company registers such securities. In addition, the holders have certain “piggy-back” registration rights with respect to registration statements filed subsequent to the Company’s completion of the initial Business Combination and rights to require the Company to register for resale such securities pursuant to Rule 415 under the Securities Act. The registration rights agreement does not contain liquidated damages or other cash settlement provisions resulting from delays in registering the Company’s securities.</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will grant the underwriter a 45-day option to purchase up to 3,750,000 additional Units to cover any over-allotments, if any, at the Proposed Public Offering price less the underwriting discounts and commissions.</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underwriter will be entitled to a cash underwriting discount of one percent (1%) of the gross proceeds of the Proposed Public Offering, or $2,500,000 (or $2,875,000 if the underwriters’ over-allotment option is exercised in full), and 375,000 Class A shares (or 431,250 Class A Shares if the underwriters’ over-allotment option is exercised in full) as part of the underwriting fee (see below). Additionally, the underwriter will be entitled to a deferred underwriting discount of 3.5% of the gross proceeds or $8,750,000 (or $10,062,500 if the underwriter’s over-allotment is exercised in full) of the Proposed Public Offering upon the completion of the Company’s initial Business Combination.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Representative shares</w:t>
      </w:r>
    </w:p>
    <w:p>
      <w:pPr>
        <w:spacing w:after="0" w:line="229" w:lineRule="exact"/>
        <w:rPr>
          <w:sz w:val="20"/>
          <w:szCs w:val="20"/>
          <w:color w:val="auto"/>
        </w:rPr>
      </w:pPr>
    </w:p>
    <w:p>
      <w:pPr>
        <w:ind w:right="220"/>
        <w:spacing w:after="0" w:line="285" w:lineRule="auto"/>
        <w:rPr>
          <w:sz w:val="20"/>
          <w:szCs w:val="20"/>
          <w:color w:val="auto"/>
        </w:rPr>
      </w:pPr>
      <w:r>
        <w:rPr>
          <w:rFonts w:ascii="Arial" w:cs="Arial" w:eastAsia="Arial" w:hAnsi="Arial"/>
          <w:sz w:val="16"/>
          <w:szCs w:val="16"/>
          <w:color w:val="auto"/>
        </w:rPr>
        <w:t>The Company has agreed to issue to the representative or its designees 375,000 shares (or 431,250 shares if the underwriters’ over-allotment option is exercised in full) of Class A common stock upon the consummation of the Proposed Public Offering. These shares are referred to as the “representative shares.” The holders of the representative shares have agreed not to transfer, assign or sell any such shares without the Company’s prior consent until the completion of its initial Business Combination. In addition, the holders of the representative shares have agreed (i) to waive their redemption rights (or right to participate in any tender offer) with respect to such shares in connection with the completion of the Company’s initial Business Combination and</w:t>
      </w:r>
    </w:p>
    <w:p>
      <w:pPr>
        <w:spacing w:after="0" w:line="2" w:lineRule="exact"/>
        <w:rPr>
          <w:sz w:val="20"/>
          <w:szCs w:val="20"/>
          <w:color w:val="auto"/>
        </w:rPr>
      </w:pPr>
    </w:p>
    <w:p>
      <w:pPr>
        <w:ind w:right="80" w:firstLine="8"/>
        <w:spacing w:after="0" w:line="255" w:lineRule="auto"/>
        <w:tabs>
          <w:tab w:leader="none" w:pos="265"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waive their rights to liquidating distributions from the Trust Account with respect to such shares if the Company fails to complete its initial Business Combination within 15 months from the closing of the Proposed Public Offering. The representative shares are deemed to be underwriters’ compensation by FINRA pursuant to FINRA Rule 5110.</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First Refusal</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Subject to certain conditions, the Company granted the representative, for a period of 15 months after the date of the consummation of the Business Combination, an irrevocable right of first refusal to act as sole investment banker, sole book runner, and/or sole placement agent, at the representative’s sole discretion, for each and every future public and private equity and debt offering, including all equity linked financings for the Company or any of the Company’s successors or current or future subsidiaries. In accordance with FINRA Rule 5110(g)(6)(A), such right of first refusal shall not have a duration of more than three years from the effective date of the registration statement of which this prospectus forms a part.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is authorized to issue 1,000,000 shares of preferred stock with a par value of $0.0001 per share. At September 30, 2021 and May 21, 2021, there were no shares of preferred stock issued or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22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Company is authorized to issue 280,000,000 shares of Class A common stock with a par value of $0.0001 per share. Holders of Class A common stock are entitled to one vote for each share. At September 30, 2021 and May 21, 2021, there were no shares of Class A common stock issued or outstanding.</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Company is authorized to issue 20,000,000 shares of Class B common stock with a par value of $0.0001 per share. Holders of the Class B common stock are entitled to one vote for each share. On September 24, 2021, the Company issued 862,500 shares of Class B common stock in connection with a 1.1 stock split, resulting in an aggregate of 9,487,500 shares of Class B common stock outstanding. All shares and associated amounts have been retroactively restated to reflect the share capitalization. At September 30, 2021 and May 21, 2021, there were 9,487,500 shares of Class B common stock issued and outstanding, of which 1,237,500 shares are subject to forfeiture to the extent that the underwriter’s over-allotment option is not exercised in full so that the founder shares, will represent, on an as-converted basis, 24.81% of the Company’s issued and outstanding shares after the Proposed Public Offering (excluding the shares of Class A common stock to be issued to the representative or its designees upon consummation of this offering, the placement units and securities underlying the placement units and assuming the initial stockholders do not purchase units in this offering).</w:t>
      </w:r>
    </w:p>
    <w:p>
      <w:pPr>
        <w:spacing w:after="0" w:line="16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shares of Class B common stock will automatically convert into shares of the Class A common stock at the time of the consummation of the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excess of the amounts offered in this prospectus and related to the closing of the initial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24.81% of the sum of the total number of all shares of common stock outstanding upon the completion of the Proposed Public Offering (excluding the shares of Class A common stock to be issued to the representative or its designees upon consummation of this offering, the placement units and securities underlying the placement units and assuming the initial stockholders do not purchase units in this offering) plus all shares of Class A common stock and equity-linked securities issued or deemed issued in connection with the initial Business Combination (excluding any shares or equity-linked securities issued, or to be issued, to any seller in the initial Business Combination or any private placement-equivalent units and their underlying securities issued to the Sponsor or its affiliates upon conversion of Working Capital Loans made to the Company). The term “equity-linked securities” refers to any debt or equity securities that are convertible, exercisable or exchangeable for shares of Class A common stock issued in a financing transaction in connection with the initial Business Combination, including but not limited to a private placement of equity or debt. Securities could be “deemed issued” for purposes of the conversion rate adjustment if such shares are issuable upon the conversion or exercise of convertible securities, warrants or similar securities.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No warrants are currently outstanding. Each warrant entitles the holder to purchase one share of the Company’s Class A common stock at a price of $11.50 per share, subject to adjustment as described herein. The warrants will become exercisable 30 days after the completion of the Company’s initial Business Combination or 12 months after the closing of the Proposed Public Offering.</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warrants will expire at 5:00 p.m., New York City time on the warrant expiration date, which is five years after the completion of the initial Business Combination or earlier upon redemption or liquidation. On the exercise of any warrant, the warrant exercise price will be paid directly to the Company and not placed in the Trust Account.</w:t>
      </w:r>
    </w:p>
    <w:p>
      <w:pPr>
        <w:spacing w:after="0" w:line="184"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Company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the Company’s satisfying the Company’s obligations described below with respect to registration. No warrant will be exercisable and the Company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2" w:name="page193"/>
    <w:bookmarkEnd w:id="192"/>
    <w:p>
      <w:pPr>
        <w:spacing w:after="0" w:line="269" w:lineRule="auto"/>
        <w:rPr>
          <w:sz w:val="20"/>
          <w:szCs w:val="20"/>
          <w:color w:val="auto"/>
        </w:rPr>
      </w:pPr>
      <w:r>
        <w:rPr>
          <w:rFonts w:ascii="Arial" w:cs="Arial" w:eastAsia="Arial" w:hAnsi="Arial"/>
          <w:sz w:val="17"/>
          <w:szCs w:val="17"/>
          <w:color w:val="auto"/>
        </w:rPr>
        <w:t>The Company has agreed that as soon as practicable after the closing of the initial Business Combination to use its best efforts to file with the SEC a registration statement covering the shares of Class A common stock issuable upon exercise of the warrants, to cause such registration statement to become effective and to maintain a current prospectus relating to those shares of Class A common stock until the warrants expire or are redeemed, as specified in the warrant agreement. If a registration statement covering the shares of Class A common stock issuable upon exercise of the warrants is not effective by the 60th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foregoing, if a registration statement covering the Class A common stock issuable upon exercise of the warrants is not effective within a specified period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of 1933, as amended, or the Securities Act, provided that such exemption is available. If that exemption, or another exemption, is not available, holders will not be able to exercise their warrants on a cashless basis.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Once the warrants become exercisable, the Company may redeem the outstanding warrants:</w:t>
      </w:r>
    </w:p>
    <w:p>
      <w:pPr>
        <w:sectPr>
          <w:pgSz w:w="11900" w:h="16838" w:orient="portrait"/>
          <w:cols w:equalWidth="0" w:num="1">
            <w:col w:w="11220"/>
          </w:cols>
          <w:pgMar w:left="320" w:top="908" w:right="359" w:bottom="1440" w:gutter="0" w:footer="0" w:header="0"/>
        </w:sectPr>
      </w:pPr>
    </w:p>
    <w:p>
      <w:pPr>
        <w:spacing w:after="0" w:line="232" w:lineRule="exact"/>
        <w:rPr>
          <w:sz w:val="20"/>
          <w:szCs w:val="20"/>
          <w:color w:val="auto"/>
        </w:rPr>
      </w:pPr>
    </w:p>
    <w:p>
      <w:pPr>
        <w:ind w:left="220"/>
        <w:spacing w:after="0"/>
        <w:rPr>
          <w:sz w:val="20"/>
          <w:szCs w:val="20"/>
          <w:color w:val="auto"/>
        </w:rPr>
      </w:pPr>
      <w:r>
        <w:rPr>
          <w:rFonts w:ascii="Arial" w:cs="Arial" w:eastAsia="Arial" w:hAnsi="Arial"/>
          <w:sz w:val="9"/>
          <w:szCs w:val="9"/>
          <w:color w:val="auto"/>
        </w:rPr>
        <w:t>l</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9"/>
          <w:szCs w:val="9"/>
          <w:color w:val="auto"/>
        </w:rPr>
        <w:t>l</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9"/>
          <w:szCs w:val="9"/>
          <w:color w:val="auto"/>
        </w:rPr>
        <w:t>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 whole and not in part;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a price of $0.01 per warrant;</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upon not less than 30 days’ prior written notice of redemption given after the warrants become exercisable (the “30-day redemption period”) to each warrant holder;</w:t>
      </w:r>
    </w:p>
    <w:p>
      <w:pPr>
        <w:spacing w:after="0" w:line="170" w:lineRule="exact"/>
        <w:rPr>
          <w:sz w:val="20"/>
          <w:szCs w:val="20"/>
          <w:color w:val="auto"/>
        </w:rPr>
      </w:pPr>
    </w:p>
    <w:p>
      <w:pPr>
        <w:sectPr>
          <w:pgSz w:w="11900" w:h="16838" w:orient="portrait"/>
          <w:cols w:equalWidth="0" w:num="2">
            <w:col w:w="240" w:space="200"/>
            <w:col w:w="10780"/>
          </w:cols>
          <w:pgMar w:left="320" w:top="908" w:right="359" w:bottom="1440" w:gutter="0" w:footer="0" w:header="0"/>
          <w:type w:val="continuous"/>
        </w:sectPr>
      </w:pPr>
    </w:p>
    <w:p>
      <w:pPr>
        <w:ind w:left="440" w:right="440" w:hanging="216"/>
        <w:spacing w:after="0" w:line="311" w:lineRule="auto"/>
        <w:tabs>
          <w:tab w:leader="none" w:pos="440" w:val="left"/>
        </w:tabs>
        <w:numPr>
          <w:ilvl w:val="0"/>
          <w:numId w:val="99"/>
        </w:numPr>
        <w:rPr>
          <w:rFonts w:ascii="Arial" w:cs="Arial" w:eastAsia="Arial" w:hAnsi="Arial"/>
          <w:sz w:val="16"/>
          <w:szCs w:val="16"/>
          <w:color w:val="auto"/>
          <w:vertAlign w:val="superscript"/>
        </w:rPr>
      </w:pPr>
      <w:r>
        <w:rPr>
          <w:rFonts w:ascii="Arial" w:cs="Arial" w:eastAsia="Arial" w:hAnsi="Arial"/>
          <w:sz w:val="16"/>
          <w:szCs w:val="16"/>
          <w:color w:val="auto"/>
        </w:rPr>
        <w:t>if, and only if, the reported last sale price of the Class A common stock equals or exceeds $18.00 per share (as adjusted for stock splits, stock dividends, reorganizations, recapitalizations and the like) for any 20 trading days within a 30-trading day period commencing once the warrants become exercisable and ending three business days before the Company sends the notice of redemption to the warrant holders; and</w:t>
      </w:r>
    </w:p>
    <w:p>
      <w:pPr>
        <w:spacing w:after="0" w:line="148" w:lineRule="exact"/>
        <w:rPr>
          <w:rFonts w:ascii="Arial" w:cs="Arial" w:eastAsia="Arial" w:hAnsi="Arial"/>
          <w:sz w:val="16"/>
          <w:szCs w:val="16"/>
          <w:color w:val="auto"/>
          <w:vertAlign w:val="superscript"/>
        </w:rPr>
      </w:pPr>
    </w:p>
    <w:p>
      <w:pPr>
        <w:ind w:left="440" w:hanging="216"/>
        <w:spacing w:after="0"/>
        <w:tabs>
          <w:tab w:leader="none" w:pos="440" w:val="left"/>
        </w:tabs>
        <w:numPr>
          <w:ilvl w:val="0"/>
          <w:numId w:val="99"/>
        </w:numPr>
        <w:rPr>
          <w:rFonts w:ascii="Arial" w:cs="Arial" w:eastAsia="Arial" w:hAnsi="Arial"/>
          <w:sz w:val="17"/>
          <w:szCs w:val="17"/>
          <w:color w:val="auto"/>
          <w:vertAlign w:val="superscript"/>
        </w:rPr>
      </w:pPr>
      <w:r>
        <w:rPr>
          <w:rFonts w:ascii="Arial" w:cs="Arial" w:eastAsia="Arial" w:hAnsi="Arial"/>
          <w:sz w:val="17"/>
          <w:szCs w:val="17"/>
          <w:color w:val="auto"/>
        </w:rPr>
        <w:t>If and only if, there is a current registration statement in effect with respect to the shares of Class A common stock underlying such warrants.</w:t>
      </w:r>
    </w:p>
    <w:p>
      <w:pPr>
        <w:spacing w:after="0" w:line="23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shall mean the average reported last sale price of the shares of Class A common stock for the five trading days ending on the third trading day prior to the date on which the notice of redemption is sent to the holders of warrants.</w:t>
      </w:r>
    </w:p>
    <w:p>
      <w:pPr>
        <w:spacing w:after="0" w:line="17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addition, if (x) the Company issues additional shares of Class A common stock or equity-linked securities for capital raising purposes in connection with the closing of the initial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Class A common stock during the 20 trading day period starting on the trading day prior to the day on which the Company consummates its initial Business Combination (such price, the ”Market Value”) is below $9.20 per share, then the exercise price of the warrants will be adjusted (to the nearest cent) to be equal to 115% of the greater of the Market Value and the Newly Issued Price, and the $18.00 per share redemption trigger price described below under “Redemption of warrants” will be adjusted (to the nearest cent) to be equal to 180% of the greater of the Market Value and the Newly Issued Price.</w:t>
      </w:r>
    </w:p>
    <w:p>
      <w:pPr>
        <w:spacing w:after="0" w:line="182"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Private Warrants, as well as any warrants underlying additional units the Company issues to the Sponsor, officers, directors, initial stockholders or their affiliates in payment of Working Capital Loans made to the Company, will be identical to the warrants underlying the Units being offered in the Initial Public Offering, except that they will not be transferable, assignable or saleable until 30 days after the consummation of the initial Business Combination.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Subsequent Events</w:t>
      </w:r>
    </w:p>
    <w:p>
      <w:pPr>
        <w:spacing w:after="0" w:line="229"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available to be issued on October 13, 2021. Based on the Company’s review, other than described below, the Company did not identify any subsequent events that would have required adjustment or disclosure in the financial statements.</w:t>
      </w:r>
    </w:p>
    <w:p>
      <w:pPr>
        <w:spacing w:after="0" w:line="184"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On September 24, 2021, the Company issued 862,500 shares of Class B common stock in connection with a 1.1 stock split, resulting in an aggregate of 9,487,500 shares of Class B common stock outstanding. All shares and associated amounts have been retroactively restated to reflect the share capitalization.</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type w:val="continuous"/>
        </w:sectPr>
      </w:pPr>
    </w:p>
    <w:bookmarkStart w:id="193" w:name="page194"/>
    <w:bookmarkEnd w:id="193"/>
    <w:p>
      <w:pPr>
        <w:jc w:val="center"/>
        <w:ind w:right="-119"/>
        <w:spacing w:after="0"/>
        <w:rPr>
          <w:sz w:val="20"/>
          <w:szCs w:val="20"/>
          <w:color w:val="auto"/>
        </w:rPr>
      </w:pPr>
      <w:r>
        <w:rPr>
          <w:rFonts w:ascii="Arial" w:cs="Arial" w:eastAsia="Arial" w:hAnsi="Arial"/>
          <w:sz w:val="25"/>
          <w:szCs w:val="25"/>
          <w:b w:val="1"/>
          <w:bCs w:val="1"/>
          <w:color w:val="auto"/>
        </w:rPr>
        <w:t>25,000,000 Units</w:t>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BurTech Acquisition Corp.</w:t>
      </w: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PRELIMINARY PROSPECTUS</w:t>
      </w: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EF Hutton</w:t>
      </w:r>
    </w:p>
    <w:p>
      <w:pPr>
        <w:spacing w:after="0" w:line="2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division of Benchmark Investments, LLC.</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2021</w:t>
      </w:r>
    </w:p>
    <w:p>
      <w:pPr>
        <w:spacing w:after="0" w:line="229" w:lineRule="exact"/>
        <w:rPr>
          <w:sz w:val="20"/>
          <w:szCs w:val="20"/>
          <w:color w:val="auto"/>
        </w:rPr>
      </w:pPr>
    </w:p>
    <w:p>
      <w:pPr>
        <w:ind w:left="340"/>
        <w:spacing w:after="0"/>
        <w:tabs>
          <w:tab w:leader="none" w:pos="1360" w:val="left"/>
        </w:tabs>
        <w:rPr>
          <w:sz w:val="20"/>
          <w:szCs w:val="20"/>
          <w:color w:val="auto"/>
        </w:rPr>
      </w:pPr>
      <w:r>
        <w:rPr>
          <w:rFonts w:ascii="Arial" w:cs="Arial" w:eastAsia="Arial" w:hAnsi="Arial"/>
          <w:sz w:val="17"/>
          <w:szCs w:val="17"/>
          <w:color w:val="auto"/>
        </w:rPr>
        <w:t>Until</w:t>
      </w:r>
      <w:r>
        <w:rPr>
          <w:sz w:val="20"/>
          <w:szCs w:val="20"/>
          <w:color w:val="auto"/>
        </w:rPr>
        <w:tab/>
      </w:r>
      <w:r>
        <w:rPr>
          <w:rFonts w:ascii="Arial" w:cs="Arial" w:eastAsia="Arial" w:hAnsi="Arial"/>
          <w:sz w:val="17"/>
          <w:szCs w:val="17"/>
          <w:color w:val="auto"/>
        </w:rPr>
        <w:t>, 2021 (25 days after the date of this prospectus), all dealers that buy, sell or trade our Class A common stock, whether or not</w:t>
      </w:r>
    </w:p>
    <w:p>
      <w:pPr>
        <w:spacing w:after="0" w:line="35"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participating in this offering, may be required to deliver a prospectus. This is in addition to the dealers’ obligation to deliver a prospectus when acting as underwriters and with respect to its unsold allotments or subscriptions.</w:t>
      </w:r>
    </w:p>
    <w:p>
      <w:pPr>
        <w:spacing w:after="0" w:line="181" w:lineRule="exact"/>
        <w:rPr>
          <w:sz w:val="20"/>
          <w:szCs w:val="20"/>
          <w:color w:val="auto"/>
        </w:rPr>
      </w:pPr>
    </w:p>
    <w:p>
      <w:pPr>
        <w:ind w:right="20" w:firstLine="324"/>
        <w:spacing w:after="0" w:line="303" w:lineRule="auto"/>
        <w:rPr>
          <w:sz w:val="20"/>
          <w:szCs w:val="20"/>
          <w:color w:val="auto"/>
        </w:rPr>
      </w:pPr>
      <w:r>
        <w:rPr>
          <w:rFonts w:ascii="Arial" w:cs="Arial" w:eastAsia="Arial" w:hAnsi="Arial"/>
          <w:sz w:val="16"/>
          <w:szCs w:val="16"/>
          <w:b w:val="1"/>
          <w:bCs w:val="1"/>
          <w:color w:val="auto"/>
        </w:rPr>
        <w:t>You should rely only on the information contained in this prospectus. We have not, and the underwriters have not, authorized anyone to provide you with different information. If anyone provides you with different or inconsistent information, you should not rely on it.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w:t>
      </w:r>
    </w:p>
    <w:p>
      <w:pPr>
        <w:spacing w:after="0" w:line="151"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b w:val="1"/>
          <w:bCs w:val="1"/>
          <w:color w:val="auto"/>
        </w:rPr>
        <w:t>No dealer, salesperson or any other person is authorized to give any information or make any representations in connection with this offering other than those contained in this prospectus and, if given or made, the information or representations must not be relied upon as having been authorized by us. This prospectus does not constitute an offer to sell or a solicitation of an offer to buy any security other than the securities offered by this prospectus, or an offer to sell or a solicitation of an offer to buy any securities by anyone in any jurisdiction in which the offer or solicitation is not authorized or is unlawful.</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194" w:name="page195"/>
    <w:bookmarkEnd w:id="194"/>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estimated approximate expenses payable by us in connection with the offering described in this registration statement (other than the underwriting discount and commissions) will be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SEC/FINRA Expenses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40,000</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40,000</w:t>
            </w: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40,000</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Reimbursement to underwriters for expenses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50,000</w:t>
            </w: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250,000</w:t>
            </w:r>
          </w:p>
        </w:tc>
        <w:tc>
          <w:tcPr>
            <w:tcW w:w="8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Nasdaq listing and filing fees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75,000</w:t>
            </w:r>
          </w:p>
        </w:tc>
      </w:tr>
      <w:tr>
        <w:trPr>
          <w:trHeight w:val="229"/>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150,000</w:t>
            </w:r>
          </w:p>
        </w:tc>
        <w:tc>
          <w:tcPr>
            <w:tcW w:w="80" w:type="dxa"/>
            <w:vAlign w:val="bottom"/>
            <w:shd w:val="clear" w:color="auto" w:fill="CCEEFF"/>
          </w:tcPr>
          <w:p>
            <w:pPr>
              <w:spacing w:after="0"/>
              <w:rPr>
                <w:sz w:val="19"/>
                <w:szCs w:val="19"/>
                <w:color w:val="auto"/>
              </w:rPr>
            </w:pPr>
          </w:p>
        </w:tc>
      </w:tr>
      <w:tr>
        <w:trPr>
          <w:trHeight w:val="223"/>
        </w:trPr>
        <w:tc>
          <w:tcPr>
            <w:tcW w:w="9900" w:type="dxa"/>
            <w:vAlign w:val="bottom"/>
          </w:tcPr>
          <w:p>
            <w:pPr>
              <w:spacing w:after="0"/>
              <w:rPr>
                <w:sz w:val="20"/>
                <w:szCs w:val="20"/>
                <w:color w:val="auto"/>
              </w:rPr>
            </w:pPr>
            <w:r>
              <w:rPr>
                <w:rFonts w:ascii="Arial" w:cs="Arial" w:eastAsia="Arial" w:hAnsi="Arial"/>
                <w:sz w:val="18"/>
                <w:szCs w:val="18"/>
                <w:color w:val="auto"/>
              </w:rPr>
              <w:t>Total (1)</w:t>
            </w: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420" w:hanging="332"/>
        <w:spacing w:after="0" w:line="194" w:lineRule="auto"/>
        <w:tabs>
          <w:tab w:leader="none" w:pos="340" w:val="left"/>
        </w:tabs>
        <w:numPr>
          <w:ilvl w:val="0"/>
          <w:numId w:val="100"/>
        </w:numPr>
        <w:rPr>
          <w:rFonts w:ascii="Arial" w:cs="Arial" w:eastAsia="Arial" w:hAnsi="Arial"/>
          <w:sz w:val="30"/>
          <w:szCs w:val="30"/>
          <w:color w:val="auto"/>
          <w:vertAlign w:val="superscript"/>
        </w:rPr>
      </w:pPr>
      <w:r>
        <w:rPr>
          <w:rFonts w:ascii="Arial" w:cs="Arial" w:eastAsia="Arial" w:hAnsi="Arial"/>
          <w:sz w:val="18"/>
          <w:szCs w:val="18"/>
          <w:color w:val="auto"/>
        </w:rPr>
        <w:t>This amount does not include $400,000 of annual director and officer liability insurance premiums the registrant anticipates paying following the completion of its initial public offering and until it completes an initial business combination.</w:t>
      </w:r>
    </w:p>
    <w:p>
      <w:pPr>
        <w:spacing w:after="0" w:line="19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jc w:val="both"/>
        <w:ind w:right="540" w:firstLine="324"/>
        <w:spacing w:after="0" w:line="286" w:lineRule="auto"/>
        <w:rPr>
          <w:sz w:val="20"/>
          <w:szCs w:val="20"/>
          <w:color w:val="auto"/>
        </w:rPr>
      </w:pPr>
      <w:r>
        <w:rPr>
          <w:rFonts w:ascii="Arial" w:cs="Arial" w:eastAsia="Arial" w:hAnsi="Arial"/>
          <w:sz w:val="17"/>
          <w:szCs w:val="17"/>
          <w:color w:val="auto"/>
        </w:rPr>
        <w:t>Our amended and restated certificate of incorporation will provide that all of our directors, officers, employees and agents shall be entitled to be indemnified by us to the fullest extent permitted by Section 145 of the Delaware General Corporation Law (“DGCL”). Section 145 of the Delaware General Corporation Law concerning indemnification of officers, directors, employees and agents is set forth below.</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Section 145. Indemnification of officers, directors, employees and agents; insurance.</w:t>
      </w:r>
    </w:p>
    <w:p>
      <w:pPr>
        <w:spacing w:after="0" w:line="225" w:lineRule="exact"/>
        <w:rPr>
          <w:sz w:val="20"/>
          <w:szCs w:val="20"/>
          <w:color w:val="auto"/>
        </w:rPr>
      </w:pPr>
    </w:p>
    <w:p>
      <w:pPr>
        <w:ind w:left="800" w:right="20" w:hanging="333"/>
        <w:spacing w:after="0" w:line="287" w:lineRule="auto"/>
        <w:tabs>
          <w:tab w:leader="none" w:pos="8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171" w:lineRule="exact"/>
        <w:rPr>
          <w:rFonts w:ascii="Arial" w:cs="Arial" w:eastAsia="Arial" w:hAnsi="Arial"/>
          <w:sz w:val="16"/>
          <w:szCs w:val="16"/>
          <w:color w:val="auto"/>
        </w:rPr>
      </w:pPr>
    </w:p>
    <w:p>
      <w:pPr>
        <w:ind w:left="800" w:right="40" w:hanging="333"/>
        <w:spacing w:after="0" w:line="288" w:lineRule="auto"/>
        <w:tabs>
          <w:tab w:leader="none" w:pos="8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5" w:name="page196"/>
    <w:bookmarkEnd w:id="195"/>
    <w:p>
      <w:pPr>
        <w:ind w:left="340" w:right="80" w:hanging="333"/>
        <w:spacing w:after="0" w:line="311" w:lineRule="auto"/>
        <w:tabs>
          <w:tab w:leader="none" w:pos="3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148" w:lineRule="exact"/>
        <w:rPr>
          <w:rFonts w:ascii="Arial" w:cs="Arial" w:eastAsia="Arial" w:hAnsi="Arial"/>
          <w:sz w:val="16"/>
          <w:szCs w:val="16"/>
          <w:color w:val="auto"/>
        </w:rPr>
      </w:pPr>
    </w:p>
    <w:p>
      <w:pPr>
        <w:ind w:left="340" w:right="40" w:hanging="333"/>
        <w:spacing w:after="0" w:line="272" w:lineRule="auto"/>
        <w:tabs>
          <w:tab w:leader="none" w:pos="3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77" w:lineRule="exact"/>
        <w:rPr>
          <w:rFonts w:ascii="Arial" w:cs="Arial" w:eastAsia="Arial" w:hAnsi="Arial"/>
          <w:sz w:val="17"/>
          <w:szCs w:val="17"/>
          <w:color w:val="auto"/>
        </w:rPr>
      </w:pPr>
    </w:p>
    <w:p>
      <w:pPr>
        <w:ind w:left="340" w:hanging="333"/>
        <w:spacing w:after="0" w:line="296" w:lineRule="auto"/>
        <w:tabs>
          <w:tab w:leader="none" w:pos="3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161" w:lineRule="exact"/>
        <w:rPr>
          <w:rFonts w:ascii="Arial" w:cs="Arial" w:eastAsia="Arial" w:hAnsi="Arial"/>
          <w:sz w:val="16"/>
          <w:szCs w:val="16"/>
          <w:color w:val="auto"/>
        </w:rPr>
      </w:pPr>
    </w:p>
    <w:p>
      <w:pPr>
        <w:ind w:left="340" w:right="100" w:hanging="333"/>
        <w:spacing w:after="0" w:line="271" w:lineRule="auto"/>
        <w:tabs>
          <w:tab w:leader="none" w:pos="3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78" w:lineRule="exact"/>
        <w:rPr>
          <w:rFonts w:ascii="Arial" w:cs="Arial" w:eastAsia="Arial" w:hAnsi="Arial"/>
          <w:sz w:val="17"/>
          <w:szCs w:val="17"/>
          <w:color w:val="auto"/>
        </w:rPr>
      </w:pPr>
    </w:p>
    <w:p>
      <w:pPr>
        <w:ind w:left="340" w:right="120" w:hanging="333"/>
        <w:spacing w:after="0" w:line="257" w:lineRule="auto"/>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187" w:lineRule="exact"/>
        <w:rPr>
          <w:rFonts w:ascii="Arial" w:cs="Arial" w:eastAsia="Arial" w:hAnsi="Arial"/>
          <w:sz w:val="18"/>
          <w:szCs w:val="18"/>
          <w:color w:val="auto"/>
        </w:rPr>
      </w:pPr>
    </w:p>
    <w:p>
      <w:pPr>
        <w:ind w:left="340" w:right="60" w:hanging="333"/>
        <w:spacing w:after="0" w:line="254" w:lineRule="auto"/>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200" w:lineRule="exact"/>
        <w:rPr>
          <w:sz w:val="20"/>
          <w:szCs w:val="20"/>
          <w:color w:val="auto"/>
        </w:rPr>
      </w:pPr>
    </w:p>
    <w:p>
      <w:pPr>
        <w:spacing w:after="0" w:line="2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14605</wp:posOffset>
            </wp:positionV>
            <wp:extent cx="71323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80"/>
          </w:cols>
          <w:pgMar w:left="780" w:top="908" w:right="339" w:bottom="1440" w:gutter="0" w:footer="0" w:header="0"/>
        </w:sectPr>
      </w:pPr>
    </w:p>
    <w:bookmarkStart w:id="196" w:name="page197"/>
    <w:bookmarkEnd w:id="196"/>
    <w:p>
      <w:pPr>
        <w:ind w:left="800" w:right="20" w:hanging="333"/>
        <w:spacing w:after="0" w:line="293" w:lineRule="auto"/>
        <w:tabs>
          <w:tab w:leader="none" w:pos="8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64" w:lineRule="exact"/>
        <w:rPr>
          <w:rFonts w:ascii="Arial" w:cs="Arial" w:eastAsia="Arial" w:hAnsi="Arial"/>
          <w:sz w:val="16"/>
          <w:szCs w:val="16"/>
          <w:color w:val="auto"/>
        </w:rPr>
      </w:pPr>
    </w:p>
    <w:p>
      <w:pPr>
        <w:ind w:left="800" w:right="340" w:hanging="333"/>
        <w:spacing w:after="0" w:line="263" w:lineRule="auto"/>
        <w:tabs>
          <w:tab w:leader="none" w:pos="8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183" w:lineRule="exact"/>
        <w:rPr>
          <w:rFonts w:ascii="Arial" w:cs="Arial" w:eastAsia="Arial" w:hAnsi="Arial"/>
          <w:sz w:val="18"/>
          <w:szCs w:val="18"/>
          <w:color w:val="auto"/>
        </w:rPr>
      </w:pPr>
    </w:p>
    <w:p>
      <w:pPr>
        <w:ind w:left="800" w:right="340" w:hanging="333"/>
        <w:spacing w:after="0" w:line="311" w:lineRule="auto"/>
        <w:tabs>
          <w:tab w:leader="none" w:pos="8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Court of Chancery is hereby vested with exclusive jurisdiction to hear and determine all actions for advancement of expenses or indemnification brought under this section or under any by law, agreement, vote of stockholders or disinterested directors, or otherwise. The Court of Chancery may summarily determine a corporation’s obligation to advance expenses (including attorneys’ fees).</w:t>
      </w:r>
    </w:p>
    <w:p>
      <w:pPr>
        <w:spacing w:after="0" w:line="14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77"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In accordance with Section 102(b)(7) of the DGCL, our amended and restated certificate of incorporation, will provide that no director shall be personally liable to us or any of our stockholders for monetary damages resulting from breaches of their fiduciary duty as directors, except to the extent such limitation on or exemption from liability is not permitted under the DGCL. The effect of this provision of our amended and restated certificate of incorporation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177"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If the DGCL is amended to authorize corporate action further eliminating or limiting the liability of directors, then, in accordance with our amended and restated certificate of incorporation, the liability of our directors to us or our stockholders will be eliminated or limited to the fullest extent authorized by the DGCL, as so amended. Any repeal or amendment of provisions of our amended and restated certificate of incorporation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97" w:name="page198"/>
    <w:bookmarkEnd w:id="197"/>
    <w:p>
      <w:pPr>
        <w:ind w:right="40" w:firstLine="324"/>
        <w:spacing w:after="0" w:line="273" w:lineRule="auto"/>
        <w:rPr>
          <w:sz w:val="20"/>
          <w:szCs w:val="20"/>
          <w:color w:val="auto"/>
        </w:rPr>
      </w:pPr>
      <w:r>
        <w:rPr>
          <w:rFonts w:ascii="Arial" w:cs="Arial" w:eastAsia="Arial" w:hAnsi="Arial"/>
          <w:sz w:val="17"/>
          <w:szCs w:val="17"/>
          <w:color w:val="auto"/>
        </w:rPr>
        <w:t>Our amended and restated certificate of incorporation will also provide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w:t>
      </w:r>
    </w:p>
    <w:p>
      <w:pPr>
        <w:spacing w:after="0" w:line="178"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Notwithstanding the foregoing, a person eligible for indemnification pursuant to our amended and restated certificate of incorporation will be indemnified by us in connection with a proceeding initiated by such person only if such proceeding was authorized by our board of directors, except for proceedings to enforce rights to indemnification.</w:t>
      </w:r>
    </w:p>
    <w:p>
      <w:pPr>
        <w:spacing w:after="0" w:line="184"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right to indemnification which will be conferred by our amended and restated certificate of incorporation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amended and restated certificate of incorporation or otherwise.</w:t>
      </w:r>
    </w:p>
    <w:p>
      <w:pPr>
        <w:spacing w:after="0" w:line="192" w:lineRule="exact"/>
        <w:rPr>
          <w:sz w:val="20"/>
          <w:szCs w:val="20"/>
          <w:color w:val="auto"/>
        </w:rPr>
      </w:pPr>
    </w:p>
    <w:p>
      <w:pPr>
        <w:ind w:right="500" w:firstLine="324"/>
        <w:spacing w:after="0" w:line="263" w:lineRule="auto"/>
        <w:rPr>
          <w:sz w:val="20"/>
          <w:szCs w:val="20"/>
          <w:color w:val="auto"/>
        </w:rPr>
      </w:pPr>
      <w:r>
        <w:rPr>
          <w:rFonts w:ascii="Arial" w:cs="Arial" w:eastAsia="Arial" w:hAnsi="Arial"/>
          <w:sz w:val="18"/>
          <w:szCs w:val="18"/>
          <w:color w:val="auto"/>
        </w:rPr>
        <w:t>The rights to indemnification and advancement of expenses will not be deemed exclusive of any other rights which any person covered by our amended and restated certificate of incorporation may have or hereafter acquire under law, our amended and restated certificate of incorporation, our bylaws, an agreement, vote of stockholders or disinterested directors, or otherwise.</w:t>
      </w:r>
    </w:p>
    <w:p>
      <w:pPr>
        <w:spacing w:after="0" w:line="184"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Any repeal or amendment of provisions of our amended and restated certificate of incorporation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amended and restated certificate of incorporation will also permit us, to the extent and in the manner authorized or permitted by law, to indemnify and to advance expenses to persons other that those specifically covered by our amended and restated certificate of incorporation.</w:t>
      </w:r>
    </w:p>
    <w:p>
      <w:pPr>
        <w:spacing w:after="0" w:line="17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bylaws, which we intend to adopt immediately prior to the closing of this offering, include the provisions relating to advancement of expenses and indemnification rights consistent with those which will be set forth in our amended and restated certificate of incorporation.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92"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Any repeal or amendment of provisions of our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188" w:lineRule="exact"/>
        <w:rPr>
          <w:sz w:val="20"/>
          <w:szCs w:val="20"/>
          <w:color w:val="auto"/>
        </w:rPr>
      </w:pPr>
    </w:p>
    <w:p>
      <w:pPr>
        <w:jc w:val="both"/>
        <w:ind w:right="200" w:firstLine="324"/>
        <w:spacing w:after="0" w:line="311" w:lineRule="auto"/>
        <w:rPr>
          <w:sz w:val="20"/>
          <w:szCs w:val="20"/>
          <w:color w:val="auto"/>
        </w:rPr>
      </w:pPr>
      <w:r>
        <w:rPr>
          <w:rFonts w:ascii="Arial" w:cs="Arial" w:eastAsia="Arial" w:hAnsi="Arial"/>
          <w:sz w:val="16"/>
          <w:szCs w:val="16"/>
          <w:color w:val="auto"/>
        </w:rPr>
        <w:t>We will enter into indemnification agreements with each of our officers and directors a form of which is to be filed as an exhibit to this Registration Statement. These agreements will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98" w:name="page199"/>
    <w:bookmarkEnd w:id="198"/>
    <w:p>
      <w:pPr>
        <w:ind w:firstLine="324"/>
        <w:spacing w:after="0" w:line="263" w:lineRule="auto"/>
        <w:rPr>
          <w:sz w:val="20"/>
          <w:szCs w:val="20"/>
          <w:color w:val="auto"/>
        </w:rPr>
      </w:pPr>
      <w:r>
        <w:rPr>
          <w:rFonts w:ascii="Arial" w:cs="Arial" w:eastAsia="Arial" w:hAnsi="Arial"/>
          <w:sz w:val="18"/>
          <w:szCs w:val="18"/>
          <w:color w:val="auto"/>
        </w:rPr>
        <w:t>Pursuant to the Underwriting Agreement to be filed as Exhibit 1.1 to this Registration Statement, we have agreed to indemnify the underwriters and the underwriters have agreed to indemnify us against certain civil liabilities that may be incurred in connection with this offering, including certain liabilities under the Securities Act.</w:t>
      </w:r>
    </w:p>
    <w:p>
      <w:pPr>
        <w:spacing w:after="0" w:line="18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On May 21, 2021, our sponsor purchased 8,625,000 founder shares for an aggregate purchase price of $25,000. On September 24, 2021, the Company issued 862,500 shares of Class B common stock in connection with a 1.1 stock split, resulting in an aggregate of 9,487,500 shares of Class B common stock outstanding, or approximately $0.003 per share. The number of founder shares issued was determined based on the expectation that the founder shares would represent 24.81% of the outstanding shares of common stock upon completion of this (excluding the shares of Class A common stock to be issued to the representative or its designees upon consummation of this offering, the placement units and securities underlying the placement units and assuming the initial stockholders do not purchase units in this offering). All such securities were issued in connection with our organization pursuant to the exemption from registration contained in Section 4(a)(2) of the Securities Act. Our sponsor is an accredited investor for purposes of Rule 501 of Regulation D.</w:t>
      </w:r>
    </w:p>
    <w:p>
      <w:pPr>
        <w:spacing w:after="0" w:line="192"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In May 2021, we agreed to issue 375,000 Class A common stock to the representative and its designees for nominal consideration as part of the compensation for the representative’s services provided to us in connection with this offering (or 431,250 in the event the underwriters exercise their over-allotment option). Such shares were issued pursuant to the exemption from registration contained in Section 4(a)(2) of the Securities Act.</w:t>
      </w:r>
    </w:p>
    <w:p>
      <w:pPr>
        <w:spacing w:after="0" w:line="165"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On or before the date of the prospectus accompanying this registration statement, our sponsor has agreed to purchase an aggregate of 804,500 placement units (or 898,250 placement units if the over-allotment option is exercised in full), at a price of $10.00 per unit, for an aggregate purchase price of $8,045,000 ($8,982,500 if the over-allotment option is exercised in full). These placement units will be issued pursuant to the exemption from registration contained in Section 4(a)(2) of the Securities Act as they will be sold to “accredited investors” as defined in Rule 501(a) of the Securities Act. No underwriting discounts or commissions will be paid with respect to such sales. Subscription agreements will be entered into with our sponsor in connection with these placement units and copies of such agreements will be attached as exhibits to this registration statement.</w:t>
      </w:r>
    </w:p>
    <w:p>
      <w:pPr>
        <w:spacing w:after="0" w:line="16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29" w:lineRule="exact"/>
        <w:rPr>
          <w:sz w:val="20"/>
          <w:szCs w:val="20"/>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 xml:space="preserve">Exhibits.  </w:t>
      </w:r>
      <w:r>
        <w:rPr>
          <w:rFonts w:ascii="Arial" w:cs="Arial" w:eastAsia="Arial" w:hAnsi="Arial"/>
          <w:sz w:val="18"/>
          <w:szCs w:val="18"/>
          <w:color w:val="auto"/>
        </w:rPr>
        <w:t>The list of exhibits following the signature page of this registration statement is incorporated herein by reference.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See page F-1 for an index to the financial statements and schedules included in the registration statement.</w:t>
      </w:r>
    </w:p>
    <w:p>
      <w:pPr>
        <w:spacing w:after="0" w:line="2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left="660" w:right="60" w:hanging="328"/>
        <w:spacing w:after="0" w:line="342" w:lineRule="auto"/>
        <w:tabs>
          <w:tab w:leader="none" w:pos="6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9" w:name="page200"/>
    <w:bookmarkEnd w:id="199"/>
    <w:p>
      <w:pPr>
        <w:ind w:left="328" w:right="60" w:hanging="328"/>
        <w:spacing w:after="0" w:line="271" w:lineRule="auto"/>
        <w:tabs>
          <w:tab w:leader="none" w:pos="328"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8" w:lineRule="exact"/>
        <w:rPr>
          <w:rFonts w:ascii="Arial" w:cs="Arial" w:eastAsia="Arial" w:hAnsi="Arial"/>
          <w:sz w:val="17"/>
          <w:szCs w:val="17"/>
          <w:color w:val="auto"/>
        </w:rPr>
      </w:pPr>
    </w:p>
    <w:p>
      <w:pPr>
        <w:ind w:left="328" w:hanging="328"/>
        <w:spacing w:after="0"/>
        <w:tabs>
          <w:tab w:leader="none" w:pos="32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rFonts w:ascii="Arial" w:cs="Arial" w:eastAsia="Arial" w:hAnsi="Arial"/>
          <w:sz w:val="18"/>
          <w:szCs w:val="18"/>
          <w:color w:val="auto"/>
        </w:rPr>
      </w:pPr>
    </w:p>
    <w:p>
      <w:pPr>
        <w:ind w:left="648" w:right="40" w:hanging="324"/>
        <w:spacing w:after="0" w:line="291" w:lineRule="auto"/>
        <w:tabs>
          <w:tab w:leader="none" w:pos="648" w:val="left"/>
        </w:tabs>
        <w:numPr>
          <w:ilvl w:val="1"/>
          <w:numId w:val="106"/>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w:t>
      </w:r>
    </w:p>
    <w:p>
      <w:pPr>
        <w:ind w:left="648"/>
        <w:spacing w:after="0"/>
        <w:rPr>
          <w:rFonts w:ascii="Arial" w:cs="Arial" w:eastAsia="Arial" w:hAnsi="Arial"/>
          <w:sz w:val="16"/>
          <w:szCs w:val="16"/>
          <w:color w:val="auto"/>
        </w:rPr>
      </w:pPr>
      <w:r>
        <w:rPr>
          <w:rFonts w:ascii="Arial" w:cs="Arial" w:eastAsia="Arial" w:hAnsi="Arial"/>
          <w:sz w:val="16"/>
          <w:szCs w:val="16"/>
          <w:color w:val="auto"/>
        </w:rPr>
        <w:t>(1) or (4) or 497(h) under the Securities Act shall be deemed to be part of this registration statement as of the time it was declared effective.</w:t>
      </w:r>
    </w:p>
    <w:p>
      <w:pPr>
        <w:spacing w:after="0" w:line="233" w:lineRule="exact"/>
        <w:rPr>
          <w:rFonts w:ascii="Arial" w:cs="Arial" w:eastAsia="Arial" w:hAnsi="Arial"/>
          <w:sz w:val="16"/>
          <w:szCs w:val="16"/>
          <w:color w:val="auto"/>
        </w:rPr>
      </w:pPr>
    </w:p>
    <w:p>
      <w:pPr>
        <w:ind w:left="648" w:right="220" w:hanging="324"/>
        <w:spacing w:after="0" w:line="263" w:lineRule="auto"/>
        <w:tabs>
          <w:tab w:leader="none" w:pos="64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left="648" w:hanging="324"/>
        <w:spacing w:after="0" w:line="271" w:lineRule="auto"/>
        <w:tabs>
          <w:tab w:leader="none" w:pos="648" w:val="left"/>
        </w:tabs>
        <w:numPr>
          <w:ilvl w:val="1"/>
          <w:numId w:val="106"/>
        </w:numPr>
        <w:rPr>
          <w:rFonts w:ascii="Arial" w:cs="Arial" w:eastAsia="Arial" w:hAnsi="Arial"/>
          <w:sz w:val="17"/>
          <w:szCs w:val="17"/>
          <w:color w:val="auto"/>
        </w:rPr>
      </w:pPr>
      <w:r>
        <w:rPr>
          <w:rFonts w:ascii="Arial" w:cs="Arial" w:eastAsia="Arial" w:hAnsi="Arial"/>
          <w:sz w:val="17"/>
          <w:szCs w:val="17"/>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8" w:lineRule="exact"/>
        <w:rPr>
          <w:rFonts w:ascii="Arial" w:cs="Arial" w:eastAsia="Arial" w:hAnsi="Arial"/>
          <w:sz w:val="17"/>
          <w:szCs w:val="17"/>
          <w:color w:val="auto"/>
        </w:rPr>
      </w:pPr>
    </w:p>
    <w:p>
      <w:pPr>
        <w:ind w:left="648" w:right="80" w:hanging="324"/>
        <w:spacing w:after="0" w:line="257" w:lineRule="auto"/>
        <w:tabs>
          <w:tab w:leader="none" w:pos="64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For the purpose of determining liability of a registrant under the Securities Act of 1933 to any purchaser in the initial distribution of the securities, the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8" w:lineRule="exact"/>
        <w:rPr>
          <w:sz w:val="20"/>
          <w:szCs w:val="20"/>
          <w:color w:val="auto"/>
        </w:rPr>
      </w:pPr>
    </w:p>
    <w:p>
      <w:pPr>
        <w:ind w:left="968" w:hanging="320"/>
        <w:spacing w:after="0"/>
        <w:tabs>
          <w:tab w:leader="none" w:pos="968"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48" w:lineRule="exact"/>
        <w:rPr>
          <w:rFonts w:ascii="Arial" w:cs="Arial" w:eastAsia="Arial" w:hAnsi="Arial"/>
          <w:sz w:val="16"/>
          <w:szCs w:val="16"/>
          <w:color w:val="auto"/>
        </w:rPr>
      </w:pPr>
    </w:p>
    <w:p>
      <w:pPr>
        <w:ind w:left="968" w:right="320" w:hanging="320"/>
        <w:spacing w:after="0" w:line="277" w:lineRule="auto"/>
        <w:tabs>
          <w:tab w:leader="none" w:pos="96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an undersigned registrant;</w:t>
      </w:r>
    </w:p>
    <w:p>
      <w:pPr>
        <w:spacing w:after="0" w:line="170" w:lineRule="exact"/>
        <w:rPr>
          <w:rFonts w:ascii="Arial" w:cs="Arial" w:eastAsia="Arial" w:hAnsi="Arial"/>
          <w:sz w:val="18"/>
          <w:szCs w:val="18"/>
          <w:color w:val="auto"/>
        </w:rPr>
      </w:pPr>
    </w:p>
    <w:p>
      <w:pPr>
        <w:ind w:left="968" w:right="100" w:hanging="320"/>
        <w:spacing w:after="0" w:line="277" w:lineRule="auto"/>
        <w:tabs>
          <w:tab w:leader="none" w:pos="96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968" w:hanging="320"/>
        <w:spacing w:after="0"/>
        <w:tabs>
          <w:tab w:leader="none" w:pos="96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00" w:lineRule="exact"/>
        <w:rPr>
          <w:sz w:val="20"/>
          <w:szCs w:val="20"/>
          <w:color w:val="auto"/>
        </w:rPr>
      </w:pPr>
    </w:p>
    <w:p>
      <w:pPr>
        <w:spacing w:after="0" w:line="241"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8"/>
          </w:cols>
          <w:pgMar w:left="652" w:top="935" w:right="359" w:bottom="1440" w:gutter="0" w:footer="0" w:header="0"/>
        </w:sectPr>
      </w:pPr>
    </w:p>
    <w:bookmarkStart w:id="200" w:name="page201"/>
    <w:bookmarkEnd w:id="200"/>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20" w:type="dxa"/>
            <w:vAlign w:val="bottom"/>
            <w:gridSpan w:val="5"/>
          </w:tcPr>
          <w:p>
            <w:pPr>
              <w:ind w:left="1700"/>
              <w:spacing w:after="0"/>
              <w:rPr>
                <w:sz w:val="20"/>
                <w:szCs w:val="20"/>
                <w:color w:val="auto"/>
              </w:rPr>
            </w:pPr>
            <w:r>
              <w:rPr>
                <w:rFonts w:ascii="Arial" w:cs="Arial" w:eastAsia="Arial" w:hAnsi="Arial"/>
                <w:sz w:val="18"/>
                <w:szCs w:val="18"/>
                <w:b w:val="1"/>
                <w:bCs w:val="1"/>
                <w:color w:val="auto"/>
              </w:rPr>
              <w:t>EXHIBIT INDEX</w:t>
            </w:r>
          </w:p>
        </w:tc>
      </w:tr>
      <w:tr>
        <w:trPr>
          <w:trHeight w:val="446"/>
        </w:trPr>
        <w:tc>
          <w:tcPr>
            <w:tcW w:w="1240" w:type="dxa"/>
            <w:vAlign w:val="bottom"/>
            <w:gridSpan w:val="5"/>
          </w:tcPr>
          <w:p>
            <w:pPr>
              <w:spacing w:after="0"/>
              <w:rPr>
                <w:sz w:val="20"/>
                <w:szCs w:val="20"/>
                <w:color w:val="auto"/>
              </w:rPr>
            </w:pPr>
            <w:r>
              <w:rPr>
                <w:rFonts w:ascii="Arial" w:cs="Arial" w:eastAsia="Arial" w:hAnsi="Arial"/>
                <w:sz w:val="18"/>
                <w:szCs w:val="18"/>
                <w:b w:val="1"/>
                <w:bCs w:val="1"/>
                <w:color w:val="auto"/>
              </w:rPr>
              <w:t>Exhibit</w:t>
            </w: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300" w:type="dxa"/>
            <w:vAlign w:val="bottom"/>
            <w:gridSpan w:val="4"/>
          </w:tcPr>
          <w:p>
            <w:pPr>
              <w:ind w:left="860"/>
              <w:spacing w:after="0"/>
              <w:rPr>
                <w:sz w:val="20"/>
                <w:szCs w:val="20"/>
                <w:color w:val="auto"/>
              </w:rPr>
            </w:pPr>
            <w:r>
              <w:rPr>
                <w:rFonts w:ascii="Arial" w:cs="Arial" w:eastAsia="Arial" w:hAnsi="Arial"/>
                <w:sz w:val="18"/>
                <w:szCs w:val="18"/>
                <w:b w:val="1"/>
                <w:bCs w:val="1"/>
                <w:color w:val="auto"/>
              </w:rPr>
              <w:t>Description</w:t>
            </w:r>
          </w:p>
        </w:tc>
      </w:tr>
      <w:tr>
        <w:trPr>
          <w:trHeight w:val="209"/>
        </w:trPr>
        <w:tc>
          <w:tcPr>
            <w:tcW w:w="32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1.1</w:t>
            </w: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0" w:type="dxa"/>
            <w:vAlign w:val="bottom"/>
            <w:tcBorders>
              <w:top w:val="single" w:sz="8" w:color="auto"/>
            </w:tcBorders>
            <w:gridSpan w:val="11"/>
            <w:shd w:val="clear" w:color="auto" w:fill="CCEEFF"/>
          </w:tcPr>
          <w:p>
            <w:pPr>
              <w:ind w:left="20"/>
              <w:spacing w:after="0"/>
              <w:rPr>
                <w:sz w:val="20"/>
                <w:szCs w:val="20"/>
                <w:color w:val="auto"/>
              </w:rPr>
            </w:pPr>
            <w:r>
              <w:rPr>
                <w:rFonts w:ascii="Arial" w:cs="Arial" w:eastAsia="Arial" w:hAnsi="Arial"/>
                <w:sz w:val="18"/>
                <w:szCs w:val="18"/>
                <w:color w:val="auto"/>
              </w:rPr>
              <w:t>Form of Underwriting Agreement*</w:t>
            </w:r>
          </w:p>
        </w:tc>
      </w:tr>
      <w:tr>
        <w:trPr>
          <w:trHeight w:val="176"/>
        </w:trPr>
        <w:tc>
          <w:tcPr>
            <w:tcW w:w="320" w:type="dxa"/>
            <w:vAlign w:val="bottom"/>
            <w:gridSpan w:val="3"/>
          </w:tcPr>
          <w:p>
            <w:pPr>
              <w:spacing w:after="0" w:line="176" w:lineRule="exact"/>
              <w:rPr>
                <w:rFonts w:ascii="Arial" w:cs="Arial" w:eastAsia="Arial" w:hAnsi="Arial"/>
                <w:sz w:val="18"/>
                <w:szCs w:val="18"/>
                <w:color w:val="0000EE"/>
              </w:rPr>
            </w:pPr>
            <w:hyperlink w:anchor="page203">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11"/>
          </w:tcPr>
          <w:p>
            <w:pPr>
              <w:ind w:left="20"/>
              <w:spacing w:after="0" w:line="176" w:lineRule="exact"/>
              <w:rPr>
                <w:rFonts w:ascii="Arial" w:cs="Arial" w:eastAsia="Arial" w:hAnsi="Arial"/>
                <w:sz w:val="18"/>
                <w:szCs w:val="18"/>
                <w:color w:val="0000EE"/>
              </w:rPr>
            </w:pPr>
            <w:hyperlink w:anchor="page203">
              <w:r>
                <w:rPr>
                  <w:rFonts w:ascii="Arial" w:cs="Arial" w:eastAsia="Arial" w:hAnsi="Arial"/>
                  <w:sz w:val="18"/>
                  <w:szCs w:val="18"/>
                  <w:color w:val="0000EE"/>
                </w:rPr>
                <w:t>Certificate of Incorporation</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240" w:type="dxa"/>
            <w:vAlign w:val="bottom"/>
            <w:gridSpan w:val="2"/>
            <w:shd w:val="clear" w:color="auto" w:fill="CCEEFF"/>
          </w:tcPr>
          <w:p>
            <w:pPr>
              <w:spacing w:after="0" w:line="176" w:lineRule="exact"/>
              <w:rPr>
                <w:rFonts w:ascii="Arial" w:cs="Arial" w:eastAsia="Arial" w:hAnsi="Arial"/>
                <w:sz w:val="18"/>
                <w:szCs w:val="18"/>
                <w:color w:val="0000EE"/>
                <w:w w:val="87"/>
              </w:rPr>
            </w:pPr>
            <w:hyperlink w:anchor="page205">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11"/>
            <w:shd w:val="clear" w:color="auto" w:fill="CCEEFF"/>
          </w:tcPr>
          <w:p>
            <w:pPr>
              <w:ind w:left="20"/>
              <w:spacing w:after="0" w:line="176" w:lineRule="exact"/>
              <w:rPr>
                <w:rFonts w:ascii="Arial" w:cs="Arial" w:eastAsia="Arial" w:hAnsi="Arial"/>
                <w:sz w:val="18"/>
                <w:szCs w:val="18"/>
                <w:color w:val="0000EE"/>
              </w:rPr>
            </w:pPr>
            <w:hyperlink w:anchor="page205">
              <w:r>
                <w:rPr>
                  <w:rFonts w:ascii="Arial" w:cs="Arial" w:eastAsia="Arial" w:hAnsi="Arial"/>
                  <w:sz w:val="18"/>
                  <w:szCs w:val="18"/>
                  <w:color w:val="0000EE"/>
                </w:rPr>
                <w:t>Amended and Restated Certificate of Incorporation</w:t>
              </w:r>
            </w:hyperlink>
          </w:p>
        </w:tc>
      </w:tr>
      <w:tr>
        <w:trPr>
          <w:trHeight w:val="175"/>
        </w:trPr>
        <w:tc>
          <w:tcPr>
            <w:tcW w:w="240" w:type="dxa"/>
            <w:vAlign w:val="bottom"/>
            <w:tcBorders>
              <w:top w:val="single" w:sz="8" w:color="0000EE"/>
            </w:tcBorders>
            <w:gridSpan w:val="2"/>
          </w:tcPr>
          <w:p>
            <w:pPr>
              <w:spacing w:after="0" w:line="176" w:lineRule="exact"/>
              <w:rPr>
                <w:rFonts w:ascii="Arial" w:cs="Arial" w:eastAsia="Arial" w:hAnsi="Arial"/>
                <w:sz w:val="18"/>
                <w:szCs w:val="18"/>
                <w:color w:val="0000EE"/>
                <w:w w:val="87"/>
              </w:rPr>
            </w:pPr>
            <w:hyperlink w:anchor="page211">
              <w:r>
                <w:rPr>
                  <w:rFonts w:ascii="Arial" w:cs="Arial" w:eastAsia="Arial" w:hAnsi="Arial"/>
                  <w:sz w:val="18"/>
                  <w:szCs w:val="18"/>
                  <w:color w:val="0000EE"/>
                  <w:w w:val="87"/>
                </w:rPr>
                <w:t>3.</w:t>
              </w:r>
              <w:r>
                <w:rPr>
                  <w:rFonts w:ascii="Arial" w:cs="Arial" w:eastAsia="Arial" w:hAnsi="Arial"/>
                  <w:sz w:val="18"/>
                  <w:szCs w:val="18"/>
                  <w:u w:val="single" w:color="auto"/>
                  <w:color w:val="0000EE"/>
                  <w:w w:val="87"/>
                </w:rPr>
                <w:t>3</w:t>
              </w:r>
            </w:hyperlink>
          </w:p>
        </w:tc>
        <w:tc>
          <w:tcPr>
            <w:tcW w:w="8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700" w:type="dxa"/>
            <w:vAlign w:val="bottom"/>
            <w:tcBorders>
              <w:top w:val="single" w:sz="8" w:color="0000EE"/>
            </w:tcBorders>
            <w:gridSpan w:val="7"/>
          </w:tcPr>
          <w:p>
            <w:pPr>
              <w:ind w:left="20"/>
              <w:spacing w:after="0" w:line="176" w:lineRule="exact"/>
              <w:rPr>
                <w:rFonts w:ascii="Arial" w:cs="Arial" w:eastAsia="Arial" w:hAnsi="Arial"/>
                <w:sz w:val="18"/>
                <w:szCs w:val="18"/>
                <w:color w:val="0000EE"/>
              </w:rPr>
            </w:pPr>
            <w:hyperlink w:anchor="page211">
              <w:r>
                <w:rPr>
                  <w:rFonts w:ascii="Arial" w:cs="Arial" w:eastAsia="Arial" w:hAnsi="Arial"/>
                  <w:sz w:val="18"/>
                  <w:szCs w:val="18"/>
                  <w:color w:val="0000EE"/>
                </w:rPr>
                <w:t>By Laws</w:t>
              </w:r>
            </w:hyperlink>
          </w:p>
        </w:tc>
        <w:tc>
          <w:tcPr>
            <w:tcW w:w="6300" w:type="dxa"/>
            <w:vAlign w:val="bottom"/>
            <w:tcBorders>
              <w:top w:val="single" w:sz="8" w:color="CCEEFF"/>
            </w:tcBorders>
            <w:gridSpan w:val="4"/>
          </w:tcPr>
          <w:p>
            <w:pPr>
              <w:spacing w:after="0"/>
              <w:rPr>
                <w:sz w:val="15"/>
                <w:szCs w:val="15"/>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16"/>
        </w:trPr>
        <w:tc>
          <w:tcPr>
            <w:tcW w:w="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4.1</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1"/>
            <w:shd w:val="clear" w:color="auto" w:fill="CCEEFF"/>
          </w:tcPr>
          <w:p>
            <w:pPr>
              <w:ind w:left="20"/>
              <w:spacing w:after="0"/>
              <w:rPr>
                <w:sz w:val="20"/>
                <w:szCs w:val="20"/>
                <w:color w:val="auto"/>
              </w:rPr>
            </w:pPr>
            <w:r>
              <w:rPr>
                <w:rFonts w:ascii="Arial" w:cs="Arial" w:eastAsia="Arial" w:hAnsi="Arial"/>
                <w:sz w:val="18"/>
                <w:szCs w:val="18"/>
                <w:color w:val="auto"/>
              </w:rPr>
              <w:t>Specimen Unit Certificate*</w:t>
            </w:r>
          </w:p>
        </w:tc>
      </w:tr>
      <w:tr>
        <w:trPr>
          <w:trHeight w:val="216"/>
        </w:trPr>
        <w:tc>
          <w:tcPr>
            <w:tcW w:w="320" w:type="dxa"/>
            <w:vAlign w:val="bottom"/>
            <w:gridSpan w:val="3"/>
          </w:tcPr>
          <w:p>
            <w:pPr>
              <w:spacing w:after="0"/>
              <w:rPr>
                <w:sz w:val="20"/>
                <w:szCs w:val="20"/>
                <w:color w:val="auto"/>
              </w:rPr>
            </w:pPr>
            <w:r>
              <w:rPr>
                <w:rFonts w:ascii="Arial" w:cs="Arial" w:eastAsia="Arial" w:hAnsi="Arial"/>
                <w:sz w:val="18"/>
                <w:szCs w:val="18"/>
                <w:color w:val="auto"/>
              </w:rPr>
              <w:t>4.2</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0" w:type="dxa"/>
            <w:vAlign w:val="bottom"/>
            <w:gridSpan w:val="11"/>
          </w:tcPr>
          <w:p>
            <w:pPr>
              <w:ind w:left="20"/>
              <w:spacing w:after="0"/>
              <w:rPr>
                <w:sz w:val="20"/>
                <w:szCs w:val="20"/>
                <w:color w:val="auto"/>
              </w:rPr>
            </w:pPr>
            <w:r>
              <w:rPr>
                <w:rFonts w:ascii="Arial" w:cs="Arial" w:eastAsia="Arial" w:hAnsi="Arial"/>
                <w:sz w:val="18"/>
                <w:szCs w:val="18"/>
                <w:color w:val="auto"/>
              </w:rPr>
              <w:t>Specimen Class A Common Stock Certificate*</w:t>
            </w:r>
          </w:p>
        </w:tc>
      </w:tr>
      <w:tr>
        <w:trPr>
          <w:trHeight w:val="216"/>
        </w:trPr>
        <w:tc>
          <w:tcPr>
            <w:tcW w:w="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4.3</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1"/>
            <w:shd w:val="clear" w:color="auto" w:fill="CCEEFF"/>
          </w:tcPr>
          <w:p>
            <w:pPr>
              <w:ind w:left="20"/>
              <w:spacing w:after="0"/>
              <w:rPr>
                <w:sz w:val="20"/>
                <w:szCs w:val="20"/>
                <w:color w:val="auto"/>
              </w:rPr>
            </w:pPr>
            <w:r>
              <w:rPr>
                <w:rFonts w:ascii="Arial" w:cs="Arial" w:eastAsia="Arial" w:hAnsi="Arial"/>
                <w:sz w:val="18"/>
                <w:szCs w:val="18"/>
                <w:color w:val="auto"/>
              </w:rPr>
              <w:t>Specimen Warrant Certificate*</w:t>
            </w:r>
          </w:p>
        </w:tc>
      </w:tr>
      <w:tr>
        <w:trPr>
          <w:trHeight w:val="216"/>
        </w:trPr>
        <w:tc>
          <w:tcPr>
            <w:tcW w:w="320" w:type="dxa"/>
            <w:vAlign w:val="bottom"/>
            <w:gridSpan w:val="3"/>
          </w:tcPr>
          <w:p>
            <w:pPr>
              <w:spacing w:after="0"/>
              <w:rPr>
                <w:sz w:val="20"/>
                <w:szCs w:val="20"/>
                <w:color w:val="auto"/>
              </w:rPr>
            </w:pPr>
            <w:r>
              <w:rPr>
                <w:rFonts w:ascii="Arial" w:cs="Arial" w:eastAsia="Arial" w:hAnsi="Arial"/>
                <w:sz w:val="18"/>
                <w:szCs w:val="18"/>
                <w:color w:val="auto"/>
              </w:rPr>
              <w:t>4.4</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0" w:type="dxa"/>
            <w:vAlign w:val="bottom"/>
            <w:gridSpan w:val="11"/>
          </w:tcPr>
          <w:p>
            <w:pPr>
              <w:ind w:left="20"/>
              <w:spacing w:after="0"/>
              <w:rPr>
                <w:sz w:val="20"/>
                <w:szCs w:val="20"/>
                <w:color w:val="auto"/>
              </w:rPr>
            </w:pPr>
            <w:r>
              <w:rPr>
                <w:rFonts w:ascii="Arial" w:cs="Arial" w:eastAsia="Arial" w:hAnsi="Arial"/>
                <w:sz w:val="18"/>
                <w:szCs w:val="18"/>
                <w:color w:val="auto"/>
              </w:rPr>
              <w:t>Form of Warrant Agreement between Continental Stock Transfer &amp; Trust Company and the Registrant*</w:t>
            </w:r>
          </w:p>
        </w:tc>
      </w:tr>
      <w:tr>
        <w:trPr>
          <w:trHeight w:val="216"/>
        </w:trPr>
        <w:tc>
          <w:tcPr>
            <w:tcW w:w="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5.1</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1"/>
            <w:shd w:val="clear" w:color="auto" w:fill="CCEEFF"/>
          </w:tcPr>
          <w:p>
            <w:pPr>
              <w:ind w:left="20"/>
              <w:spacing w:after="0"/>
              <w:rPr>
                <w:sz w:val="20"/>
                <w:szCs w:val="20"/>
                <w:color w:val="auto"/>
              </w:rPr>
            </w:pPr>
            <w:r>
              <w:rPr>
                <w:rFonts w:ascii="Arial" w:cs="Arial" w:eastAsia="Arial" w:hAnsi="Arial"/>
                <w:sz w:val="18"/>
                <w:szCs w:val="18"/>
                <w:color w:val="auto"/>
              </w:rPr>
              <w:t>Opinion of Loeb &amp; Loeb LLP*</w:t>
            </w:r>
          </w:p>
        </w:tc>
      </w:tr>
      <w:tr>
        <w:trPr>
          <w:trHeight w:val="216"/>
        </w:trPr>
        <w:tc>
          <w:tcPr>
            <w:tcW w:w="320" w:type="dxa"/>
            <w:vAlign w:val="bottom"/>
            <w:gridSpan w:val="3"/>
          </w:tcPr>
          <w:p>
            <w:pPr>
              <w:spacing w:after="0"/>
              <w:rPr>
                <w:sz w:val="20"/>
                <w:szCs w:val="20"/>
                <w:color w:val="auto"/>
              </w:rPr>
            </w:pPr>
            <w:r>
              <w:rPr>
                <w:rFonts w:ascii="Arial" w:cs="Arial" w:eastAsia="Arial" w:hAnsi="Arial"/>
                <w:sz w:val="18"/>
                <w:szCs w:val="18"/>
                <w:color w:val="auto"/>
                <w:w w:val="85"/>
              </w:rPr>
              <w:t>10.1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0" w:type="dxa"/>
            <w:vAlign w:val="bottom"/>
            <w:gridSpan w:val="11"/>
          </w:tcPr>
          <w:p>
            <w:pPr>
              <w:ind w:left="20"/>
              <w:spacing w:after="0"/>
              <w:rPr>
                <w:sz w:val="20"/>
                <w:szCs w:val="20"/>
                <w:color w:val="auto"/>
              </w:rPr>
            </w:pPr>
            <w:r>
              <w:rPr>
                <w:rFonts w:ascii="Arial" w:cs="Arial" w:eastAsia="Arial" w:hAnsi="Arial"/>
                <w:sz w:val="18"/>
                <w:szCs w:val="18"/>
                <w:color w:val="auto"/>
              </w:rPr>
              <w:t>Form of Letter Agreement among the Registrant and our officers, directors and BurTech LP LLC*</w:t>
            </w:r>
          </w:p>
        </w:tc>
      </w:tr>
      <w:tr>
        <w:trPr>
          <w:trHeight w:val="196"/>
        </w:trPr>
        <w:tc>
          <w:tcPr>
            <w:tcW w:w="32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5"/>
              </w:rPr>
            </w:pPr>
            <w:hyperlink w:anchor="page220">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780" w:type="dxa"/>
            <w:vAlign w:val="bottom"/>
            <w:tcBorders>
              <w:bottom w:val="single" w:sz="8" w:color="0000EE"/>
            </w:tcBorders>
            <w:gridSpan w:val="8"/>
            <w:shd w:val="clear" w:color="auto" w:fill="CCEEFF"/>
          </w:tcPr>
          <w:p>
            <w:pPr>
              <w:ind w:left="20"/>
              <w:spacing w:after="0" w:line="176" w:lineRule="exact"/>
              <w:rPr>
                <w:rFonts w:ascii="Arial" w:cs="Arial" w:eastAsia="Arial" w:hAnsi="Arial"/>
                <w:sz w:val="18"/>
                <w:szCs w:val="18"/>
                <w:color w:val="0000EE"/>
                <w:w w:val="90"/>
              </w:rPr>
            </w:pPr>
            <w:hyperlink w:anchor="page220">
              <w:r>
                <w:rPr>
                  <w:rFonts w:ascii="Arial" w:cs="Arial" w:eastAsia="Arial" w:hAnsi="Arial"/>
                  <w:sz w:val="18"/>
                  <w:szCs w:val="18"/>
                  <w:color w:val="0000EE"/>
                  <w:w w:val="90"/>
                </w:rPr>
                <w:t>Promissory Note, dated May 21, 2021, issued to BurTech LP LLC</w:t>
              </w:r>
            </w:hyperlink>
          </w:p>
        </w:tc>
        <w:tc>
          <w:tcPr>
            <w:tcW w:w="5220" w:type="dxa"/>
            <w:vAlign w:val="bottom"/>
            <w:tcBorders>
              <w:bottom w:val="single" w:sz="8" w:color="CCEEFF"/>
            </w:tcBorders>
            <w:gridSpan w:val="3"/>
            <w:shd w:val="clear" w:color="auto" w:fill="CCEEFF"/>
          </w:tcPr>
          <w:p>
            <w:pPr>
              <w:spacing w:after="0"/>
              <w:rPr>
                <w:sz w:val="17"/>
                <w:szCs w:val="17"/>
                <w:color w:val="auto"/>
              </w:rPr>
            </w:pPr>
          </w:p>
        </w:tc>
      </w:tr>
      <w:tr>
        <w:trPr>
          <w:trHeight w:val="216"/>
        </w:trPr>
        <w:tc>
          <w:tcPr>
            <w:tcW w:w="320" w:type="dxa"/>
            <w:vAlign w:val="bottom"/>
            <w:gridSpan w:val="3"/>
          </w:tcPr>
          <w:p>
            <w:pPr>
              <w:spacing w:after="0"/>
              <w:rPr>
                <w:sz w:val="20"/>
                <w:szCs w:val="20"/>
                <w:color w:val="auto"/>
              </w:rPr>
            </w:pPr>
            <w:r>
              <w:rPr>
                <w:rFonts w:ascii="Arial" w:cs="Arial" w:eastAsia="Arial" w:hAnsi="Arial"/>
                <w:sz w:val="18"/>
                <w:szCs w:val="18"/>
                <w:color w:val="auto"/>
                <w:w w:val="85"/>
              </w:rPr>
              <w:t>10.3</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0" w:type="dxa"/>
            <w:vAlign w:val="bottom"/>
            <w:gridSpan w:val="11"/>
          </w:tcPr>
          <w:p>
            <w:pPr>
              <w:ind w:left="20"/>
              <w:spacing w:after="0"/>
              <w:rPr>
                <w:sz w:val="20"/>
                <w:szCs w:val="20"/>
                <w:color w:val="auto"/>
              </w:rPr>
            </w:pPr>
            <w:r>
              <w:rPr>
                <w:rFonts w:ascii="Arial" w:cs="Arial" w:eastAsia="Arial" w:hAnsi="Arial"/>
                <w:sz w:val="18"/>
                <w:szCs w:val="18"/>
                <w:color w:val="auto"/>
                <w:w w:val="99"/>
              </w:rPr>
              <w:t>Form of Investment Management Trust Agreement between Continental Stock Transfer &amp; Trust Company and the Registrant*</w:t>
            </w:r>
          </w:p>
        </w:tc>
      </w:tr>
      <w:tr>
        <w:trPr>
          <w:trHeight w:val="216"/>
        </w:trPr>
        <w:tc>
          <w:tcPr>
            <w:tcW w:w="3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5"/>
              </w:rPr>
              <w:t>10.4</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1"/>
            <w:shd w:val="clear" w:color="auto" w:fill="CCEEFF"/>
          </w:tcPr>
          <w:p>
            <w:pPr>
              <w:ind w:left="20"/>
              <w:spacing w:after="0"/>
              <w:rPr>
                <w:sz w:val="20"/>
                <w:szCs w:val="20"/>
                <w:color w:val="auto"/>
              </w:rPr>
            </w:pPr>
            <w:r>
              <w:rPr>
                <w:rFonts w:ascii="Arial" w:cs="Arial" w:eastAsia="Arial" w:hAnsi="Arial"/>
                <w:sz w:val="18"/>
                <w:szCs w:val="18"/>
                <w:color w:val="auto"/>
              </w:rPr>
              <w:t>Form of Registration Rights Agreement between the Registrant and certain security holders*</w:t>
            </w:r>
          </w:p>
        </w:tc>
      </w:tr>
      <w:tr>
        <w:trPr>
          <w:trHeight w:val="176"/>
        </w:trPr>
        <w:tc>
          <w:tcPr>
            <w:tcW w:w="320" w:type="dxa"/>
            <w:vAlign w:val="bottom"/>
            <w:gridSpan w:val="3"/>
          </w:tcPr>
          <w:p>
            <w:pPr>
              <w:spacing w:after="0" w:line="176" w:lineRule="exact"/>
              <w:rPr>
                <w:rFonts w:ascii="Arial" w:cs="Arial" w:eastAsia="Arial" w:hAnsi="Arial"/>
                <w:sz w:val="18"/>
                <w:szCs w:val="18"/>
                <w:color w:val="0000EE"/>
                <w:w w:val="85"/>
              </w:rPr>
            </w:pPr>
            <w:hyperlink w:anchor="page224">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5</w:t>
              </w:r>
            </w:hyperlink>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11"/>
          </w:tcPr>
          <w:p>
            <w:pPr>
              <w:ind w:left="20"/>
              <w:spacing w:after="0" w:line="176" w:lineRule="exact"/>
              <w:rPr>
                <w:rFonts w:ascii="Arial" w:cs="Arial" w:eastAsia="Arial" w:hAnsi="Arial"/>
                <w:sz w:val="18"/>
                <w:szCs w:val="18"/>
                <w:color w:val="0000EE"/>
              </w:rPr>
            </w:pPr>
            <w:hyperlink w:anchor="page224">
              <w:r>
                <w:rPr>
                  <w:rFonts w:ascii="Arial" w:cs="Arial" w:eastAsia="Arial" w:hAnsi="Arial"/>
                  <w:sz w:val="18"/>
                  <w:szCs w:val="18"/>
                  <w:color w:val="0000EE"/>
                </w:rPr>
                <w:t>Securities Subscription Agreement, dated May 21, 2021, between the Registrant and BurTech LP LLC</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16"/>
        </w:trPr>
        <w:tc>
          <w:tcPr>
            <w:tcW w:w="3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5"/>
              </w:rPr>
              <w:t>10.6</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1"/>
            <w:shd w:val="clear" w:color="auto" w:fill="CCEEFF"/>
          </w:tcPr>
          <w:p>
            <w:pPr>
              <w:ind w:left="20"/>
              <w:spacing w:after="0"/>
              <w:rPr>
                <w:sz w:val="20"/>
                <w:szCs w:val="20"/>
                <w:color w:val="auto"/>
              </w:rPr>
            </w:pPr>
            <w:r>
              <w:rPr>
                <w:rFonts w:ascii="Arial" w:cs="Arial" w:eastAsia="Arial" w:hAnsi="Arial"/>
                <w:sz w:val="18"/>
                <w:szCs w:val="18"/>
                <w:color w:val="auto"/>
              </w:rPr>
              <w:t>Form of Placement Unit Purchase Agreement between the Registrant and BurTech LP LLC*</w:t>
            </w:r>
          </w:p>
        </w:tc>
      </w:tr>
      <w:tr>
        <w:trPr>
          <w:trHeight w:val="216"/>
        </w:trPr>
        <w:tc>
          <w:tcPr>
            <w:tcW w:w="320" w:type="dxa"/>
            <w:vAlign w:val="bottom"/>
            <w:gridSpan w:val="3"/>
          </w:tcPr>
          <w:p>
            <w:pPr>
              <w:spacing w:after="0"/>
              <w:rPr>
                <w:sz w:val="20"/>
                <w:szCs w:val="20"/>
                <w:color w:val="auto"/>
              </w:rPr>
            </w:pPr>
            <w:r>
              <w:rPr>
                <w:rFonts w:ascii="Arial" w:cs="Arial" w:eastAsia="Arial" w:hAnsi="Arial"/>
                <w:sz w:val="18"/>
                <w:szCs w:val="18"/>
                <w:color w:val="auto"/>
                <w:w w:val="85"/>
              </w:rPr>
              <w:t>10.7</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0" w:type="dxa"/>
            <w:vAlign w:val="bottom"/>
            <w:gridSpan w:val="11"/>
          </w:tcPr>
          <w:p>
            <w:pPr>
              <w:ind w:left="20"/>
              <w:spacing w:after="0"/>
              <w:rPr>
                <w:sz w:val="20"/>
                <w:szCs w:val="20"/>
                <w:color w:val="auto"/>
              </w:rPr>
            </w:pPr>
            <w:r>
              <w:rPr>
                <w:rFonts w:ascii="Arial" w:cs="Arial" w:eastAsia="Arial" w:hAnsi="Arial"/>
                <w:sz w:val="18"/>
                <w:szCs w:val="18"/>
                <w:color w:val="auto"/>
              </w:rPr>
              <w:t>Form of Indemnity Agreement*</w:t>
            </w:r>
          </w:p>
        </w:tc>
      </w:tr>
      <w:tr>
        <w:trPr>
          <w:trHeight w:val="216"/>
        </w:trPr>
        <w:tc>
          <w:tcPr>
            <w:tcW w:w="3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5"/>
              </w:rPr>
              <w:t>10.8</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1"/>
            <w:shd w:val="clear" w:color="auto" w:fill="CCEEFF"/>
          </w:tcPr>
          <w:p>
            <w:pPr>
              <w:ind w:left="20"/>
              <w:spacing w:after="0"/>
              <w:rPr>
                <w:sz w:val="20"/>
                <w:szCs w:val="20"/>
                <w:color w:val="auto"/>
              </w:rPr>
            </w:pPr>
            <w:r>
              <w:rPr>
                <w:rFonts w:ascii="Arial" w:cs="Arial" w:eastAsia="Arial" w:hAnsi="Arial"/>
                <w:sz w:val="18"/>
                <w:szCs w:val="18"/>
                <w:color w:val="auto"/>
              </w:rPr>
              <w:t>Form of Administrative Support Agreement by and between the Registrant and BurTech LP LLC*</w:t>
            </w:r>
          </w:p>
        </w:tc>
      </w:tr>
      <w:tr>
        <w:trPr>
          <w:trHeight w:val="202"/>
        </w:trPr>
        <w:tc>
          <w:tcPr>
            <w:tcW w:w="320" w:type="dxa"/>
            <w:vAlign w:val="bottom"/>
            <w:gridSpan w:val="3"/>
          </w:tcPr>
          <w:p>
            <w:pPr>
              <w:spacing w:after="0" w:line="201" w:lineRule="exact"/>
              <w:rPr>
                <w:sz w:val="20"/>
                <w:szCs w:val="20"/>
                <w:color w:val="auto"/>
              </w:rPr>
            </w:pPr>
            <w:r>
              <w:rPr>
                <w:rFonts w:ascii="Arial" w:cs="Arial" w:eastAsia="Arial" w:hAnsi="Arial"/>
                <w:sz w:val="18"/>
                <w:szCs w:val="18"/>
                <w:color w:val="auto"/>
                <w:w w:val="85"/>
              </w:rPr>
              <w:t>10.9</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1"/>
          </w:tcPr>
          <w:p>
            <w:pPr>
              <w:ind w:left="20"/>
              <w:spacing w:after="0" w:line="201" w:lineRule="exact"/>
              <w:rPr>
                <w:sz w:val="20"/>
                <w:szCs w:val="20"/>
                <w:color w:val="auto"/>
              </w:rPr>
            </w:pPr>
            <w:r>
              <w:rPr>
                <w:rFonts w:ascii="Arial" w:cs="Arial" w:eastAsia="Arial" w:hAnsi="Arial"/>
                <w:sz w:val="18"/>
                <w:szCs w:val="18"/>
                <w:color w:val="auto"/>
                <w:w w:val="93"/>
              </w:rPr>
              <w:t>Form of Representative Share Purchase Letter Agreement between the Registrant and EF Hutton, division of Benchmark Investments</w:t>
            </w:r>
          </w:p>
        </w:tc>
      </w:tr>
      <w:tr>
        <w:trPr>
          <w:trHeight w:val="230"/>
        </w:trPr>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11"/>
          </w:tcPr>
          <w:p>
            <w:pPr>
              <w:ind w:left="20"/>
              <w:spacing w:after="0"/>
              <w:rPr>
                <w:sz w:val="20"/>
                <w:szCs w:val="20"/>
                <w:color w:val="auto"/>
              </w:rPr>
            </w:pPr>
            <w:r>
              <w:rPr>
                <w:rFonts w:ascii="Arial" w:cs="Arial" w:eastAsia="Arial" w:hAnsi="Arial"/>
                <w:sz w:val="18"/>
                <w:szCs w:val="18"/>
                <w:color w:val="auto"/>
              </w:rPr>
              <w:t>LLC.*</w:t>
            </w:r>
          </w:p>
        </w:tc>
      </w:tr>
      <w:tr>
        <w:trPr>
          <w:trHeight w:val="216"/>
        </w:trPr>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1"/>
            <w:shd w:val="clear" w:color="auto" w:fill="CCEEFF"/>
          </w:tcPr>
          <w:p>
            <w:pPr>
              <w:ind w:left="20"/>
              <w:spacing w:after="0"/>
              <w:rPr>
                <w:sz w:val="20"/>
                <w:szCs w:val="20"/>
                <w:color w:val="auto"/>
              </w:rPr>
            </w:pPr>
            <w:r>
              <w:rPr>
                <w:rFonts w:ascii="Arial" w:cs="Arial" w:eastAsia="Arial" w:hAnsi="Arial"/>
                <w:sz w:val="18"/>
                <w:szCs w:val="18"/>
                <w:color w:val="auto"/>
              </w:rPr>
              <w:t>Form of Code of Ethics*</w:t>
            </w:r>
          </w:p>
        </w:tc>
      </w:tr>
      <w:tr>
        <w:trPr>
          <w:trHeight w:val="175"/>
        </w:trPr>
        <w:tc>
          <w:tcPr>
            <w:tcW w:w="320" w:type="dxa"/>
            <w:vAlign w:val="bottom"/>
            <w:gridSpan w:val="3"/>
          </w:tcPr>
          <w:p>
            <w:pPr>
              <w:spacing w:after="0" w:line="176" w:lineRule="exact"/>
              <w:rPr>
                <w:rFonts w:ascii="Arial" w:cs="Arial" w:eastAsia="Arial" w:hAnsi="Arial"/>
                <w:sz w:val="18"/>
                <w:szCs w:val="18"/>
                <w:color w:val="0000EE"/>
                <w:w w:val="85"/>
              </w:rPr>
            </w:pPr>
            <w:hyperlink w:anchor="page231">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hyperlink>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11"/>
          </w:tcPr>
          <w:p>
            <w:pPr>
              <w:ind w:left="20"/>
              <w:spacing w:after="0" w:line="176" w:lineRule="exact"/>
              <w:rPr>
                <w:rFonts w:ascii="Arial" w:cs="Arial" w:eastAsia="Arial" w:hAnsi="Arial"/>
                <w:sz w:val="18"/>
                <w:szCs w:val="18"/>
                <w:color w:val="0000EE"/>
              </w:rPr>
            </w:pPr>
            <w:hyperlink w:anchor="page231">
              <w:r>
                <w:rPr>
                  <w:rFonts w:ascii="Arial" w:cs="Arial" w:eastAsia="Arial" w:hAnsi="Arial"/>
                  <w:sz w:val="18"/>
                  <w:szCs w:val="18"/>
                  <w:color w:val="0000EE"/>
                </w:rPr>
                <w:t>Consent of Marcum LLP</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16"/>
        </w:trPr>
        <w:tc>
          <w:tcPr>
            <w:tcW w:w="3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5"/>
              </w:rPr>
              <w:t>23.2</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1"/>
            <w:shd w:val="clear" w:color="auto" w:fill="CCEEFF"/>
          </w:tcPr>
          <w:p>
            <w:pPr>
              <w:ind w:left="20"/>
              <w:spacing w:after="0"/>
              <w:rPr>
                <w:sz w:val="20"/>
                <w:szCs w:val="20"/>
                <w:color w:val="auto"/>
              </w:rPr>
            </w:pPr>
            <w:r>
              <w:rPr>
                <w:rFonts w:ascii="Arial" w:cs="Arial" w:eastAsia="Arial" w:hAnsi="Arial"/>
                <w:sz w:val="18"/>
                <w:szCs w:val="18"/>
                <w:color w:val="auto"/>
              </w:rPr>
              <w:t>Consent of Loeb &amp; Loeb LLP (included in Exhibit 5.1)*</w:t>
            </w:r>
          </w:p>
        </w:tc>
      </w:tr>
      <w:tr>
        <w:trPr>
          <w:trHeight w:val="176"/>
        </w:trPr>
        <w:tc>
          <w:tcPr>
            <w:tcW w:w="240" w:type="dxa"/>
            <w:vAlign w:val="bottom"/>
            <w:gridSpan w:val="2"/>
          </w:tcPr>
          <w:p>
            <w:pPr>
              <w:spacing w:after="0" w:line="176" w:lineRule="exact"/>
              <w:rPr>
                <w:rFonts w:ascii="Arial" w:cs="Arial" w:eastAsia="Arial" w:hAnsi="Arial"/>
                <w:sz w:val="18"/>
                <w:szCs w:val="18"/>
                <w:color w:val="0000EE"/>
              </w:rPr>
            </w:pPr>
            <w:hyperlink w:anchor="page202">
              <w:r>
                <w:rPr>
                  <w:rFonts w:ascii="Arial" w:cs="Arial" w:eastAsia="Arial" w:hAnsi="Arial"/>
                  <w:sz w:val="18"/>
                  <w:szCs w:val="18"/>
                  <w:color w:val="0000EE"/>
                </w:rPr>
                <w:t>24</w:t>
              </w:r>
            </w:hyperlink>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11"/>
          </w:tcPr>
          <w:p>
            <w:pPr>
              <w:ind w:left="20"/>
              <w:spacing w:after="0" w:line="176" w:lineRule="exact"/>
              <w:rPr>
                <w:rFonts w:ascii="Arial" w:cs="Arial" w:eastAsia="Arial" w:hAnsi="Arial"/>
                <w:sz w:val="18"/>
                <w:szCs w:val="18"/>
                <w:color w:val="0000EE"/>
              </w:rPr>
            </w:pPr>
            <w:hyperlink w:anchor="page202">
              <w:r>
                <w:rPr>
                  <w:rFonts w:ascii="Arial" w:cs="Arial" w:eastAsia="Arial" w:hAnsi="Arial"/>
                  <w:sz w:val="18"/>
                  <w:szCs w:val="18"/>
                  <w:color w:val="0000EE"/>
                </w:rPr>
                <w:t>Power of Attorney (included on the signature page to this Registration Statement)**</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16"/>
        </w:trPr>
        <w:tc>
          <w:tcPr>
            <w:tcW w:w="3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5"/>
              </w:rPr>
              <w:t>99.1</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1"/>
            <w:shd w:val="clear" w:color="auto" w:fill="CCEEFF"/>
          </w:tcPr>
          <w:p>
            <w:pPr>
              <w:ind w:left="20"/>
              <w:spacing w:after="0"/>
              <w:rPr>
                <w:sz w:val="20"/>
                <w:szCs w:val="20"/>
                <w:color w:val="auto"/>
              </w:rPr>
            </w:pPr>
            <w:r>
              <w:rPr>
                <w:rFonts w:ascii="Arial" w:cs="Arial" w:eastAsia="Arial" w:hAnsi="Arial"/>
                <w:sz w:val="18"/>
                <w:szCs w:val="18"/>
                <w:color w:val="auto"/>
              </w:rPr>
              <w:t>Form of Audit Committee Charter*</w:t>
            </w:r>
          </w:p>
        </w:tc>
      </w:tr>
      <w:tr>
        <w:trPr>
          <w:trHeight w:val="216"/>
        </w:trPr>
        <w:tc>
          <w:tcPr>
            <w:tcW w:w="320" w:type="dxa"/>
            <w:vAlign w:val="bottom"/>
            <w:gridSpan w:val="3"/>
          </w:tcPr>
          <w:p>
            <w:pPr>
              <w:spacing w:after="0"/>
              <w:rPr>
                <w:sz w:val="20"/>
                <w:szCs w:val="20"/>
                <w:color w:val="auto"/>
              </w:rPr>
            </w:pPr>
            <w:r>
              <w:rPr>
                <w:rFonts w:ascii="Arial" w:cs="Arial" w:eastAsia="Arial" w:hAnsi="Arial"/>
                <w:sz w:val="18"/>
                <w:szCs w:val="18"/>
                <w:color w:val="auto"/>
                <w:w w:val="85"/>
              </w:rPr>
              <w:t>99.2</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0" w:type="dxa"/>
            <w:vAlign w:val="bottom"/>
            <w:gridSpan w:val="11"/>
          </w:tcPr>
          <w:p>
            <w:pPr>
              <w:ind w:left="20"/>
              <w:spacing w:after="0"/>
              <w:rPr>
                <w:sz w:val="20"/>
                <w:szCs w:val="20"/>
                <w:color w:val="auto"/>
              </w:rPr>
            </w:pPr>
            <w:r>
              <w:rPr>
                <w:rFonts w:ascii="Arial" w:cs="Arial" w:eastAsia="Arial" w:hAnsi="Arial"/>
                <w:sz w:val="18"/>
                <w:szCs w:val="18"/>
                <w:color w:val="auto"/>
              </w:rPr>
              <w:t>Form of Compensation Committee Charter*</w:t>
            </w:r>
          </w:p>
        </w:tc>
      </w:tr>
      <w:tr>
        <w:trPr>
          <w:trHeight w:val="196"/>
        </w:trPr>
        <w:tc>
          <w:tcPr>
            <w:tcW w:w="32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5"/>
              </w:rPr>
            </w:pPr>
            <w:hyperlink w:anchor="page232">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3</w:t>
              </w:r>
            </w:hyperlink>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0000EE"/>
            </w:tcBorders>
            <w:gridSpan w:val="6"/>
            <w:shd w:val="clear" w:color="auto" w:fill="CCEEFF"/>
          </w:tcPr>
          <w:p>
            <w:pPr>
              <w:ind w:left="20"/>
              <w:spacing w:after="0" w:line="176" w:lineRule="exact"/>
              <w:rPr>
                <w:rFonts w:ascii="Arial" w:cs="Arial" w:eastAsia="Arial" w:hAnsi="Arial"/>
                <w:sz w:val="18"/>
                <w:szCs w:val="18"/>
                <w:color w:val="0000EE"/>
                <w:w w:val="90"/>
              </w:rPr>
            </w:pPr>
            <w:hyperlink w:anchor="page232">
              <w:r>
                <w:rPr>
                  <w:rFonts w:ascii="Arial" w:cs="Arial" w:eastAsia="Arial" w:hAnsi="Arial"/>
                  <w:sz w:val="18"/>
                  <w:szCs w:val="18"/>
                  <w:color w:val="0000EE"/>
                  <w:w w:val="90"/>
                </w:rPr>
                <w:t>Consent of Hans H. Hertell</w:t>
              </w:r>
            </w:hyperlink>
          </w:p>
        </w:tc>
        <w:tc>
          <w:tcPr>
            <w:tcW w:w="8020" w:type="dxa"/>
            <w:vAlign w:val="bottom"/>
            <w:tcBorders>
              <w:bottom w:val="single" w:sz="8" w:color="CCEEFF"/>
            </w:tcBorders>
            <w:gridSpan w:val="5"/>
            <w:shd w:val="clear" w:color="auto" w:fill="CCEEFF"/>
          </w:tcPr>
          <w:p>
            <w:pPr>
              <w:spacing w:after="0"/>
              <w:rPr>
                <w:sz w:val="17"/>
                <w:szCs w:val="17"/>
                <w:color w:val="auto"/>
              </w:rPr>
            </w:pPr>
          </w:p>
        </w:tc>
      </w:tr>
      <w:tr>
        <w:trPr>
          <w:trHeight w:val="176"/>
        </w:trPr>
        <w:tc>
          <w:tcPr>
            <w:tcW w:w="320" w:type="dxa"/>
            <w:vAlign w:val="bottom"/>
            <w:gridSpan w:val="3"/>
          </w:tcPr>
          <w:p>
            <w:pPr>
              <w:spacing w:after="0" w:line="176" w:lineRule="exact"/>
              <w:rPr>
                <w:rFonts w:ascii="Arial" w:cs="Arial" w:eastAsia="Arial" w:hAnsi="Arial"/>
                <w:sz w:val="18"/>
                <w:szCs w:val="18"/>
                <w:color w:val="0000EE"/>
                <w:w w:val="85"/>
              </w:rPr>
            </w:pPr>
            <w:hyperlink w:anchor="page233">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4</w:t>
              </w:r>
            </w:hyperlink>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11"/>
          </w:tcPr>
          <w:p>
            <w:pPr>
              <w:ind w:left="20"/>
              <w:spacing w:after="0" w:line="176" w:lineRule="exact"/>
              <w:rPr>
                <w:rFonts w:ascii="Arial" w:cs="Arial" w:eastAsia="Arial" w:hAnsi="Arial"/>
                <w:sz w:val="18"/>
                <w:szCs w:val="18"/>
                <w:color w:val="0000EE"/>
              </w:rPr>
            </w:pPr>
            <w:hyperlink w:anchor="page233">
              <w:r>
                <w:rPr>
                  <w:rFonts w:ascii="Arial" w:cs="Arial" w:eastAsia="Arial" w:hAnsi="Arial"/>
                  <w:sz w:val="18"/>
                  <w:szCs w:val="18"/>
                  <w:color w:val="0000EE"/>
                </w:rPr>
                <w:t>Consent of Peter Plaut</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320" w:type="dxa"/>
            <w:vAlign w:val="bottom"/>
            <w:gridSpan w:val="3"/>
            <w:shd w:val="clear" w:color="auto" w:fill="CCEEFF"/>
          </w:tcPr>
          <w:p>
            <w:pPr>
              <w:spacing w:after="0" w:line="176" w:lineRule="exact"/>
              <w:rPr>
                <w:rFonts w:ascii="Arial" w:cs="Arial" w:eastAsia="Arial" w:hAnsi="Arial"/>
                <w:sz w:val="18"/>
                <w:szCs w:val="18"/>
                <w:color w:val="0000EE"/>
                <w:w w:val="85"/>
              </w:rPr>
            </w:pPr>
            <w:hyperlink w:anchor="page234">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5</w:t>
              </w:r>
            </w:hyperlink>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11"/>
            <w:shd w:val="clear" w:color="auto" w:fill="CCEEFF"/>
          </w:tcPr>
          <w:p>
            <w:pPr>
              <w:ind w:left="20"/>
              <w:spacing w:after="0" w:line="176" w:lineRule="exact"/>
              <w:rPr>
                <w:rFonts w:ascii="Arial" w:cs="Arial" w:eastAsia="Arial" w:hAnsi="Arial"/>
                <w:sz w:val="18"/>
                <w:szCs w:val="18"/>
                <w:color w:val="0000EE"/>
              </w:rPr>
            </w:pPr>
            <w:hyperlink w:anchor="page234">
              <w:r>
                <w:rPr>
                  <w:rFonts w:ascii="Arial" w:cs="Arial" w:eastAsia="Arial" w:hAnsi="Arial"/>
                  <w:sz w:val="18"/>
                  <w:szCs w:val="18"/>
                  <w:color w:val="0000EE"/>
                </w:rPr>
                <w:t>Consent of Michael Penrod</w:t>
              </w:r>
            </w:hyperlink>
          </w:p>
        </w:tc>
      </w:tr>
      <w:tr>
        <w:trPr>
          <w:trHeight w:val="175"/>
        </w:trPr>
        <w:tc>
          <w:tcPr>
            <w:tcW w:w="320" w:type="dxa"/>
            <w:vAlign w:val="bottom"/>
            <w:tcBorders>
              <w:top w:val="single" w:sz="8" w:color="0000EE"/>
            </w:tcBorders>
            <w:gridSpan w:val="3"/>
          </w:tcPr>
          <w:p>
            <w:pPr>
              <w:spacing w:after="0" w:line="176" w:lineRule="exact"/>
              <w:rPr>
                <w:rFonts w:ascii="Arial" w:cs="Arial" w:eastAsia="Arial" w:hAnsi="Arial"/>
                <w:sz w:val="18"/>
                <w:szCs w:val="18"/>
                <w:color w:val="0000EE"/>
                <w:w w:val="85"/>
              </w:rPr>
            </w:pPr>
            <w:hyperlink w:anchor="page235">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6</w:t>
              </w:r>
            </w:hyperlink>
          </w:p>
        </w:tc>
        <w:tc>
          <w:tcPr>
            <w:tcW w:w="8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980" w:type="dxa"/>
            <w:vAlign w:val="bottom"/>
            <w:tcBorders>
              <w:top w:val="single" w:sz="8" w:color="0000EE"/>
            </w:tcBorders>
            <w:gridSpan w:val="6"/>
          </w:tcPr>
          <w:p>
            <w:pPr>
              <w:ind w:left="20"/>
              <w:spacing w:after="0" w:line="176" w:lineRule="exact"/>
              <w:rPr>
                <w:rFonts w:ascii="Arial" w:cs="Arial" w:eastAsia="Arial" w:hAnsi="Arial"/>
                <w:sz w:val="18"/>
                <w:szCs w:val="18"/>
                <w:color w:val="0000EE"/>
                <w:w w:val="99"/>
              </w:rPr>
            </w:pPr>
            <w:hyperlink w:anchor="page235">
              <w:r>
                <w:rPr>
                  <w:rFonts w:ascii="Arial" w:cs="Arial" w:eastAsia="Arial" w:hAnsi="Arial"/>
                  <w:sz w:val="18"/>
                  <w:szCs w:val="18"/>
                  <w:color w:val="0000EE"/>
                  <w:w w:val="99"/>
                </w:rPr>
                <w:t>Consent of Leon Golden</w:t>
              </w:r>
            </w:hyperlink>
          </w:p>
        </w:tc>
        <w:tc>
          <w:tcPr>
            <w:tcW w:w="8020" w:type="dxa"/>
            <w:vAlign w:val="bottom"/>
            <w:tcBorders>
              <w:top w:val="single" w:sz="8" w:color="CCEEFF"/>
            </w:tcBorders>
            <w:gridSpan w:val="5"/>
          </w:tcPr>
          <w:p>
            <w:pPr>
              <w:spacing w:after="0"/>
              <w:rPr>
                <w:sz w:val="15"/>
                <w:szCs w:val="15"/>
                <w:color w:val="auto"/>
              </w:rPr>
            </w:pPr>
          </w:p>
        </w:tc>
      </w:tr>
      <w:tr>
        <w:trPr>
          <w:trHeight w:val="20"/>
        </w:trPr>
        <w:tc>
          <w:tcPr>
            <w:tcW w:w="320" w:type="dxa"/>
            <w:vAlign w:val="bottom"/>
            <w:gridSpan w:val="3"/>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40" w:type="dxa"/>
            <w:vAlign w:val="bottom"/>
            <w:gridSpan w:val="6"/>
          </w:tcPr>
          <w:p>
            <w:pPr>
              <w:spacing w:after="0" w:line="20" w:lineRule="exact"/>
              <w:rPr>
                <w:sz w:val="1"/>
                <w:szCs w:val="1"/>
                <w:color w:val="auto"/>
              </w:rPr>
            </w:pPr>
          </w:p>
        </w:tc>
      </w:tr>
      <w:tr>
        <w:trPr>
          <w:trHeight w:val="196"/>
        </w:trPr>
        <w:tc>
          <w:tcPr>
            <w:tcW w:w="320" w:type="dxa"/>
            <w:vAlign w:val="bottom"/>
            <w:gridSpan w:val="3"/>
          </w:tcPr>
          <w:p>
            <w:pPr>
              <w:spacing w:after="0" w:line="196" w:lineRule="exact"/>
              <w:rPr>
                <w:rFonts w:ascii="Arial" w:cs="Arial" w:eastAsia="Arial" w:hAnsi="Arial"/>
                <w:sz w:val="18"/>
                <w:szCs w:val="18"/>
                <w:color w:val="0000EE"/>
                <w:w w:val="85"/>
              </w:rPr>
            </w:pPr>
            <w:hyperlink w:anchor="page236">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7</w:t>
              </w:r>
            </w:hyperlink>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1"/>
          </w:tcPr>
          <w:p>
            <w:pPr>
              <w:ind w:left="20"/>
              <w:spacing w:after="0" w:line="196" w:lineRule="exact"/>
              <w:rPr>
                <w:rFonts w:ascii="Arial" w:cs="Arial" w:eastAsia="Arial" w:hAnsi="Arial"/>
                <w:sz w:val="18"/>
                <w:szCs w:val="18"/>
                <w:color w:val="0000EE"/>
              </w:rPr>
            </w:pPr>
            <w:hyperlink w:anchor="page236">
              <w:r>
                <w:rPr>
                  <w:rFonts w:ascii="Arial" w:cs="Arial" w:eastAsia="Arial" w:hAnsi="Arial"/>
                  <w:sz w:val="18"/>
                  <w:szCs w:val="18"/>
                  <w:color w:val="0000EE"/>
                </w:rPr>
                <w:t>Consent of Gene Zolotarev</w:t>
              </w:r>
            </w:hyperlink>
          </w:p>
        </w:tc>
      </w:tr>
      <w:tr>
        <w:trPr>
          <w:trHeight w:val="20"/>
        </w:trPr>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bl>
    <w:p>
      <w:pPr>
        <w:spacing w:after="0" w:line="256" w:lineRule="exact"/>
        <w:rPr>
          <w:sz w:val="20"/>
          <w:szCs w:val="20"/>
          <w:color w:val="auto"/>
        </w:rPr>
      </w:pPr>
    </w:p>
    <w:p>
      <w:pPr>
        <w:ind w:left="520" w:hanging="512"/>
        <w:spacing w:after="0"/>
        <w:tabs>
          <w:tab w:leader="none" w:pos="5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1" w:name="page202"/>
    <w:bookmarkEnd w:id="20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Washington DC, on the 13th day of October, 2021.</w:t>
      </w:r>
    </w:p>
    <w:p>
      <w:pPr>
        <w:spacing w:after="0" w:line="166"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BurTech Acquisition Corp.</w:t>
      </w:r>
    </w:p>
    <w:p>
      <w:pPr>
        <w:spacing w:after="0" w:line="22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14605</wp:posOffset>
            </wp:positionV>
            <wp:extent cx="32486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Shahal Khan</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3600" w:type="dxa"/>
            <w:vAlign w:val="bottom"/>
            <w:tcBorders>
              <w:bottom w:val="single" w:sz="8" w:color="auto"/>
            </w:tcBorders>
          </w:tcPr>
          <w:p>
            <w:pPr>
              <w:ind w:left="1360"/>
              <w:spacing w:after="0"/>
              <w:rPr>
                <w:sz w:val="20"/>
                <w:szCs w:val="20"/>
                <w:color w:val="auto"/>
              </w:rPr>
            </w:pPr>
            <w:r>
              <w:rPr>
                <w:rFonts w:ascii="Arial" w:cs="Arial" w:eastAsia="Arial" w:hAnsi="Arial"/>
                <w:sz w:val="18"/>
                <w:szCs w:val="18"/>
                <w:b w:val="1"/>
                <w:bCs w:val="1"/>
                <w:color w:val="auto"/>
              </w:rPr>
              <w:t>POSITION</w:t>
            </w:r>
          </w:p>
        </w:tc>
        <w:tc>
          <w:tcPr>
            <w:tcW w:w="1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r>
      <w:tr>
        <w:trPr>
          <w:trHeight w:val="426"/>
        </w:trPr>
        <w:tc>
          <w:tcPr>
            <w:tcW w:w="3820" w:type="dxa"/>
            <w:vAlign w:val="bottom"/>
            <w:tcBorders>
              <w:bottom w:val="single" w:sz="8" w:color="auto"/>
            </w:tcBorders>
          </w:tcPr>
          <w:p>
            <w:pPr>
              <w:ind w:left="60"/>
              <w:spacing w:after="0"/>
              <w:rPr>
                <w:sz w:val="20"/>
                <w:szCs w:val="20"/>
                <w:color w:val="auto"/>
              </w:rPr>
            </w:pPr>
            <w:r>
              <w:rPr>
                <w:rFonts w:ascii="Arial" w:cs="Arial" w:eastAsia="Arial" w:hAnsi="Arial"/>
                <w:sz w:val="18"/>
                <w:szCs w:val="18"/>
                <w:i w:val="1"/>
                <w:iCs w:val="1"/>
                <w:color w:val="auto"/>
              </w:rPr>
              <w:t>/s/ Shahal Khan</w:t>
            </w:r>
          </w:p>
        </w:tc>
        <w:tc>
          <w:tcPr>
            <w:tcW w:w="120" w:type="dxa"/>
            <w:vAlign w:val="bottom"/>
          </w:tcPr>
          <w:p>
            <w:pPr>
              <w:spacing w:after="0"/>
              <w:rPr>
                <w:sz w:val="24"/>
                <w:szCs w:val="24"/>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Chief Executive Officer</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October 13, 2021</w:t>
            </w: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Shahal Khan</w:t>
            </w:r>
          </w:p>
        </w:tc>
        <w:tc>
          <w:tcPr>
            <w:tcW w:w="120" w:type="dxa"/>
            <w:vAlign w:val="bottom"/>
          </w:tcPr>
          <w:p>
            <w:pPr>
              <w:spacing w:after="0"/>
              <w:rPr>
                <w:sz w:val="19"/>
                <w:szCs w:val="19"/>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360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ind w:left="60"/>
              <w:spacing w:after="0"/>
              <w:rPr>
                <w:sz w:val="20"/>
                <w:szCs w:val="20"/>
                <w:color w:val="auto"/>
              </w:rPr>
            </w:pPr>
            <w:r>
              <w:rPr>
                <w:rFonts w:ascii="Arial" w:cs="Arial" w:eastAsia="Arial" w:hAnsi="Arial"/>
                <w:sz w:val="18"/>
                <w:szCs w:val="18"/>
                <w:i w:val="1"/>
                <w:iCs w:val="1"/>
                <w:color w:val="auto"/>
              </w:rPr>
              <w:t>/s/ Roman Livson</w:t>
            </w:r>
          </w:p>
        </w:tc>
        <w:tc>
          <w:tcPr>
            <w:tcW w:w="120" w:type="dxa"/>
            <w:vAlign w:val="bottom"/>
          </w:tcPr>
          <w:p>
            <w:pPr>
              <w:spacing w:after="0"/>
              <w:rPr>
                <w:sz w:val="24"/>
                <w:szCs w:val="24"/>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October 13, 2021</w:t>
            </w: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Roman Livson</w:t>
            </w:r>
          </w:p>
        </w:tc>
        <w:tc>
          <w:tcPr>
            <w:tcW w:w="120" w:type="dxa"/>
            <w:vAlign w:val="bottom"/>
          </w:tcPr>
          <w:p>
            <w:pPr>
              <w:spacing w:after="0"/>
              <w:rPr>
                <w:sz w:val="19"/>
                <w:szCs w:val="19"/>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3600" w:type="dxa"/>
            <w:vAlign w:val="bottom"/>
          </w:tcPr>
          <w:p>
            <w:pPr>
              <w:spacing w:after="0"/>
              <w:rPr>
                <w:sz w:val="19"/>
                <w:szCs w:val="19"/>
                <w:color w:val="auto"/>
              </w:rPr>
            </w:pPr>
          </w:p>
        </w:tc>
      </w:tr>
      <w:tr>
        <w:trPr>
          <w:trHeight w:val="661"/>
        </w:trPr>
        <w:tc>
          <w:tcPr>
            <w:tcW w:w="3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BURTECH ACQUISITION CORP.</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UNDERSIGNED, in order to form a corporation for the purposes herein stated, under and pursuant to the provisions of the General Corporation Law of the State of Delaware, hereby certifies as follows: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The name of the corporation is BurTech Acquisition Corp. (hereinafter called the "Corporation").</w:t>
      </w:r>
    </w:p>
    <w:p>
      <w:pPr>
        <w:spacing w:after="0" w:line="225" w:lineRule="exact"/>
        <w:rPr>
          <w:sz w:val="20"/>
          <w:szCs w:val="20"/>
          <w:color w:val="auto"/>
        </w:rPr>
      </w:pPr>
    </w:p>
    <w:p>
      <w:pPr>
        <w:jc w:val="both"/>
        <w:ind w:right="20" w:firstLine="1296"/>
        <w:spacing w:after="0" w:line="312" w:lineRule="auto"/>
        <w:rPr>
          <w:sz w:val="20"/>
          <w:szCs w:val="20"/>
          <w:color w:val="auto"/>
        </w:rPr>
      </w:pPr>
      <w:r>
        <w:rPr>
          <w:rFonts w:ascii="Arial" w:cs="Arial" w:eastAsia="Arial" w:hAnsi="Arial"/>
          <w:sz w:val="17"/>
          <w:szCs w:val="17"/>
          <w:b w:val="1"/>
          <w:bCs w:val="1"/>
          <w:color w:val="auto"/>
        </w:rPr>
        <w:t>SECOND</w:t>
      </w:r>
      <w:r>
        <w:rPr>
          <w:rFonts w:ascii="Arial" w:cs="Arial" w:eastAsia="Arial" w:hAnsi="Arial"/>
          <w:sz w:val="17"/>
          <w:szCs w:val="17"/>
          <w:color w:val="auto"/>
        </w:rPr>
        <w:t>: The registered office of the Corporation is to be located at 3411 Silverside Road, Tatnall Building, #104, in the City of</w:t>
      </w:r>
      <w:r>
        <w:rPr>
          <w:rFonts w:ascii="Arial" w:cs="Arial" w:eastAsia="Arial" w:hAnsi="Arial"/>
          <w:sz w:val="17"/>
          <w:szCs w:val="17"/>
          <w:b w:val="1"/>
          <w:bCs w:val="1"/>
          <w:color w:val="auto"/>
        </w:rPr>
        <w:t xml:space="preserve"> </w:t>
      </w:r>
      <w:r>
        <w:rPr>
          <w:rFonts w:ascii="Arial" w:cs="Arial" w:eastAsia="Arial" w:hAnsi="Arial"/>
          <w:sz w:val="17"/>
          <w:szCs w:val="17"/>
          <w:color w:val="auto"/>
        </w:rPr>
        <w:t>Wilmington, in the County of New Castle, Delaware 19810. The name of its Registered Agent at such address is Corporate Creations Network Inc.</w:t>
      </w:r>
    </w:p>
    <w:p>
      <w:pPr>
        <w:spacing w:after="0" w:line="140"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The purpose of the Corporation is to engage in any lawful act or activity for which corporations may be organized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Corporation Law of Delaware.</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FOURTH</w:t>
      </w:r>
      <w:r>
        <w:rPr>
          <w:rFonts w:ascii="Arial" w:cs="Arial" w:eastAsia="Arial" w:hAnsi="Arial"/>
          <w:sz w:val="16"/>
          <w:szCs w:val="16"/>
          <w:color w:val="auto"/>
        </w:rPr>
        <w:t>: The name and mailing address of the incorporator is: Jaszick Maldonado, c/o Loeb &amp; Loeb LLP, 345 Park Avenue, New York</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NY 10154.</w:t>
      </w:r>
    </w:p>
    <w:p>
      <w:pPr>
        <w:spacing w:after="0" w:line="207"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FIFTH</w:t>
      </w:r>
      <w:r>
        <w:rPr>
          <w:rFonts w:ascii="Arial" w:cs="Arial" w:eastAsia="Arial" w:hAnsi="Arial"/>
          <w:sz w:val="18"/>
          <w:szCs w:val="18"/>
          <w:color w:val="auto"/>
        </w:rPr>
        <w:t>: The total number of shares which the Corporation shall have authority to issue is ten million (10,000,000)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$0.0001 par value.</w:t>
      </w:r>
    </w:p>
    <w:p>
      <w:pPr>
        <w:spacing w:after="0" w:line="162" w:lineRule="exact"/>
        <w:rPr>
          <w:sz w:val="20"/>
          <w:szCs w:val="20"/>
          <w:color w:val="auto"/>
        </w:rPr>
      </w:pPr>
    </w:p>
    <w:p>
      <w:pPr>
        <w:jc w:val="both"/>
        <w:ind w:firstLine="1296"/>
        <w:spacing w:after="0" w:line="281" w:lineRule="auto"/>
        <w:rPr>
          <w:sz w:val="20"/>
          <w:szCs w:val="20"/>
          <w:color w:val="auto"/>
        </w:rPr>
      </w:pPr>
      <w:r>
        <w:rPr>
          <w:rFonts w:ascii="Arial" w:cs="Arial" w:eastAsia="Arial" w:hAnsi="Arial"/>
          <w:sz w:val="17"/>
          <w:szCs w:val="17"/>
          <w:b w:val="1"/>
          <w:bCs w:val="1"/>
          <w:color w:val="auto"/>
        </w:rPr>
        <w:t>SIXTH</w:t>
      </w:r>
      <w:r>
        <w:rPr>
          <w:rFonts w:ascii="Arial" w:cs="Arial" w:eastAsia="Arial" w:hAnsi="Arial"/>
          <w:sz w:val="17"/>
          <w:szCs w:val="17"/>
          <w:color w:val="auto"/>
        </w:rPr>
        <w:t>: A Director of the Corporation shall not be liable to the Corporation or its stockholders for monetary damages for breach of</w:t>
      </w:r>
      <w:r>
        <w:rPr>
          <w:rFonts w:ascii="Arial" w:cs="Arial" w:eastAsia="Arial" w:hAnsi="Arial"/>
          <w:sz w:val="17"/>
          <w:szCs w:val="17"/>
          <w:b w:val="1"/>
          <w:bCs w:val="1"/>
          <w:color w:val="auto"/>
        </w:rPr>
        <w:t xml:space="preserve"> </w:t>
      </w:r>
      <w:r>
        <w:rPr>
          <w:rFonts w:ascii="Arial" w:cs="Arial" w:eastAsia="Arial" w:hAnsi="Arial"/>
          <w:sz w:val="17"/>
          <w:szCs w:val="17"/>
          <w:color w:val="auto"/>
        </w:rPr>
        <w:t>fiduciary duty as a Director of the Corporation, except to the extent that exculpation from liability is not permitted under the General Corporation Law of the State of Delaware as in effect at the time such liability is determined. No amendment or repeal of this paragraph shall apply to or have any effect on the liability or alleged liability of any Director of the Corporation for or with respect to any acts or omissions of such Director occurring</w:t>
      </w:r>
    </w:p>
    <w:p>
      <w:pPr>
        <w:spacing w:after="0" w:line="165"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7"/>
          <w:szCs w:val="17"/>
          <w:b w:val="1"/>
          <w:bCs w:val="1"/>
          <w:color w:val="auto"/>
        </w:rPr>
        <w:t>SEVENTH</w:t>
      </w:r>
      <w:r>
        <w:rPr>
          <w:rFonts w:ascii="Arial" w:cs="Arial" w:eastAsia="Arial" w:hAnsi="Arial"/>
          <w:sz w:val="17"/>
          <w:szCs w:val="17"/>
          <w:color w:val="auto"/>
        </w:rPr>
        <w:t>: In furtherance and not in imitation of the powers conferred by statute, the Board of Directors of the Corporation is expressly</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authorized to make, alter or repeal the By-Laws of the Corporation; provided, however, that no By-Laws hereafter adopted by the Board of Directors or stockholders shall invalidate any prior act of the Directors which would have been valid if such By-Laws had not been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3" w:name="page204"/>
    <w:bookmarkEnd w:id="203"/>
    <w:p>
      <w:pPr>
        <w:jc w:val="both"/>
        <w:ind w:firstLine="1296"/>
        <w:spacing w:after="0" w:line="287" w:lineRule="auto"/>
        <w:rPr>
          <w:sz w:val="20"/>
          <w:szCs w:val="20"/>
          <w:color w:val="auto"/>
        </w:rPr>
      </w:pPr>
      <w:r>
        <w:rPr>
          <w:rFonts w:ascii="Arial" w:cs="Arial" w:eastAsia="Arial" w:hAnsi="Arial"/>
          <w:sz w:val="16"/>
          <w:szCs w:val="16"/>
          <w:b w:val="1"/>
          <w:bCs w:val="1"/>
          <w:color w:val="auto"/>
        </w:rPr>
        <w:t>EIGHTH</w:t>
      </w:r>
      <w:r>
        <w:rPr>
          <w:rFonts w:ascii="Arial" w:cs="Arial" w:eastAsia="Arial" w:hAnsi="Arial"/>
          <w:sz w:val="16"/>
          <w:szCs w:val="16"/>
          <w:color w:val="auto"/>
        </w:rPr>
        <w:t>: The Corporation shall, to the maximum extent permitted from time to time under the law of the State of Delaware, indemnify</w:t>
      </w:r>
      <w:r>
        <w:rPr>
          <w:rFonts w:ascii="Arial" w:cs="Arial" w:eastAsia="Arial" w:hAnsi="Arial"/>
          <w:sz w:val="16"/>
          <w:szCs w:val="16"/>
          <w:b w:val="1"/>
          <w:bCs w:val="1"/>
          <w:color w:val="auto"/>
        </w:rPr>
        <w:t xml:space="preserve"> </w:t>
      </w:r>
      <w:r>
        <w:rPr>
          <w:rFonts w:ascii="Arial" w:cs="Arial" w:eastAsia="Arial" w:hAnsi="Arial"/>
          <w:sz w:val="16"/>
          <w:szCs w:val="16"/>
          <w:color w:val="auto"/>
        </w:rPr>
        <w:t>and upon request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the Corporation or while a Director or officer is or was serving at the request of the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(and not otherwise recovered) in connection with the investigation, preparation to defend or defense of such action, suit, proceeding or claim; provided, however, that the foregoing shall not require the Corporation to indemnify or advance expenses to any person in connection with any action, suit, proceeding, claim or counterclaim initiated by or on behalf of such person. Such indemnification shall not be exclusive of other indemnification rights arising under any By-Law, agreement, vote of Directors or stockholders or otherwise and shall inure to the benefits of the heirs and legal representatives of such person. Any person seeking indemnification under this paragraph shall be deemed to have met the standard of conduct required for such indemnification unless the contrary shall be established. Any repeal or modification of the foregoing provisions of this paragraph shall not adversely affect any right or protection of a Director or officer of the Corporation with respect to any acts or omissions of such Director or officer occurring prior to such repeal or modification.</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NINTH</w:t>
      </w:r>
      <w:r>
        <w:rPr>
          <w:rFonts w:ascii="Arial" w:cs="Arial" w:eastAsia="Arial" w:hAnsi="Arial"/>
          <w:sz w:val="18"/>
          <w:szCs w:val="18"/>
          <w:color w:val="auto"/>
        </w:rPr>
        <w:t>: In furtherance of and not in limitation of powers conferred by statute, it is further provided:</w:t>
      </w:r>
    </w:p>
    <w:p>
      <w:pPr>
        <w:spacing w:after="0" w:line="229" w:lineRule="exact"/>
        <w:rPr>
          <w:sz w:val="20"/>
          <w:szCs w:val="20"/>
          <w:color w:val="auto"/>
        </w:rPr>
      </w:pPr>
    </w:p>
    <w:p>
      <w:pPr>
        <w:ind w:left="1980" w:hanging="676"/>
        <w:spacing w:after="0"/>
        <w:tabs>
          <w:tab w:leader="none" w:pos="19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Election of Directors need not be by written ballot unless the By-Laws of the Corporation so provide.</w:t>
      </w:r>
    </w:p>
    <w:p>
      <w:pPr>
        <w:spacing w:after="0" w:line="225" w:lineRule="exact"/>
        <w:rPr>
          <w:rFonts w:ascii="Arial" w:cs="Arial" w:eastAsia="Arial" w:hAnsi="Arial"/>
          <w:sz w:val="18"/>
          <w:szCs w:val="18"/>
          <w:color w:val="auto"/>
        </w:rPr>
      </w:pPr>
    </w:p>
    <w:p>
      <w:pPr>
        <w:ind w:left="1980" w:hanging="676"/>
        <w:spacing w:after="0"/>
        <w:tabs>
          <w:tab w:leader="none" w:pos="19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Meetings of stockholders may be held within or without the State of Delaware, as the By Laws may provide.</w:t>
      </w:r>
    </w:p>
    <w:p>
      <w:pPr>
        <w:spacing w:after="0" w:line="225" w:lineRule="exact"/>
        <w:rPr>
          <w:rFonts w:ascii="Arial" w:cs="Arial" w:eastAsia="Arial" w:hAnsi="Arial"/>
          <w:sz w:val="18"/>
          <w:szCs w:val="18"/>
          <w:color w:val="auto"/>
        </w:rPr>
      </w:pPr>
    </w:p>
    <w:p>
      <w:pPr>
        <w:ind w:firstLine="1304"/>
        <w:spacing w:after="0" w:line="277" w:lineRule="auto"/>
        <w:tabs>
          <w:tab w:leader="none" w:pos="202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the extent permitted by law, the books of the Corporation may be kept outside the State of Delaware at such place or places as may be designated from time to time by the Board of Directors or in the By-Laws of the Corporation.</w:t>
      </w:r>
    </w:p>
    <w:p>
      <w:pPr>
        <w:spacing w:after="0" w:line="166"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TENTH</w:t>
      </w:r>
      <w:r>
        <w:rPr>
          <w:rFonts w:ascii="Arial" w:cs="Arial" w:eastAsia="Arial" w:hAnsi="Arial"/>
          <w:sz w:val="18"/>
          <w:szCs w:val="18"/>
          <w:color w:val="auto"/>
        </w:rPr>
        <w:t>: Except as otherwise provided herein, the Corporation reserves the right to amend, alter, change or repeal any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contained in this Certificate of Incorporation, in the manner now or hereafter prescribed by statute, and all rights conferred upon stockholders herein are granted subject to this reservation.</w:t>
      </w:r>
    </w:p>
    <w:p>
      <w:pPr>
        <w:spacing w:after="0" w:line="176"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being the incorporator herein before named, has executed this Certificate of Incorporation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day of March, 2021.</w:t>
      </w:r>
    </w:p>
    <w:p>
      <w:pPr>
        <w:spacing w:after="0" w:line="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Jaszick Maldonado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Jaszick Maldonado, Incorporator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19, 2021</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BurTech Acquisition Corp., a corporation organized and existing under the laws of the State of Delaware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DOES HEREBY CERTIFY AS FOLLOWS:</w:t>
      </w:r>
    </w:p>
    <w:p>
      <w:pPr>
        <w:spacing w:after="0" w:line="170" w:lineRule="exact"/>
        <w:rPr>
          <w:sz w:val="20"/>
          <w:szCs w:val="20"/>
          <w:color w:val="auto"/>
        </w:rPr>
      </w:pPr>
    </w:p>
    <w:p>
      <w:pPr>
        <w:ind w:right="300" w:firstLine="656"/>
        <w:spacing w:after="0" w:line="277" w:lineRule="auto"/>
        <w:tabs>
          <w:tab w:leader="none" w:pos="82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name of the Corporation is “</w:t>
      </w:r>
      <w:r>
        <w:rPr>
          <w:rFonts w:ascii="Arial" w:cs="Arial" w:eastAsia="Arial" w:hAnsi="Arial"/>
          <w:sz w:val="18"/>
          <w:szCs w:val="18"/>
          <w:b w:val="1"/>
          <w:bCs w:val="1"/>
          <w:i w:val="1"/>
          <w:iCs w:val="1"/>
          <w:color w:val="auto"/>
        </w:rPr>
        <w:t>BurTech Acquisition Corp.</w:t>
      </w:r>
      <w:r>
        <w:rPr>
          <w:rFonts w:ascii="Arial" w:cs="Arial" w:eastAsia="Arial" w:hAnsi="Arial"/>
          <w:sz w:val="18"/>
          <w:szCs w:val="18"/>
          <w:color w:val="auto"/>
        </w:rPr>
        <w:t>”. The original certificate of incorporation of the Corporation was filed with the Secretary of State of the State of Delaware on March 2, 2021 (the “</w:t>
      </w:r>
      <w:r>
        <w:rPr>
          <w:rFonts w:ascii="Arial" w:cs="Arial" w:eastAsia="Arial" w:hAnsi="Arial"/>
          <w:sz w:val="18"/>
          <w:szCs w:val="18"/>
          <w:b w:val="1"/>
          <w:bCs w:val="1"/>
          <w:i w:val="1"/>
          <w:iCs w:val="1"/>
          <w:color w:val="auto"/>
        </w:rPr>
        <w:t>Original Certificate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0" w:firstLine="656"/>
        <w:spacing w:after="0" w:line="263" w:lineRule="auto"/>
        <w:tabs>
          <w:tab w:leader="none" w:pos="82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Corporation has neither received payment for, nor issued any of its capital stock. This Amended and Restated Certificate of Incorporation (the “</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 which both restates and amends the provisions of the Original Certificate, was duly adopted in accordance with Sections 241 and 245 of the General Corporation Law of the State of Delaware, as amended from time to time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840" w:hanging="184"/>
        <w:spacing w:after="0"/>
        <w:tabs>
          <w:tab w:leader="none" w:pos="8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This Certificate shall become effective on the date of filing with Secretary of State of Delaware.</w:t>
      </w:r>
    </w:p>
    <w:p>
      <w:pPr>
        <w:spacing w:after="0" w:line="225" w:lineRule="exact"/>
        <w:rPr>
          <w:rFonts w:ascii="Arial" w:cs="Arial" w:eastAsia="Arial" w:hAnsi="Arial"/>
          <w:sz w:val="18"/>
          <w:szCs w:val="18"/>
          <w:color w:val="auto"/>
        </w:rPr>
      </w:pPr>
    </w:p>
    <w:p>
      <w:pPr>
        <w:ind w:left="840" w:hanging="184"/>
        <w:spacing w:after="0"/>
        <w:tabs>
          <w:tab w:leader="none" w:pos="8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text of the Original Certificate is hereby restated and amended in its entirety to read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is BurTech Acquisition Corp.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 as amended from time to time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AGENT</w:t>
      </w:r>
    </w:p>
    <w:p>
      <w:pPr>
        <w:spacing w:after="0" w:line="211"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The address of the Corporation’s registered office in the State of Delaware is 3411 Silverside Road, Tatnall Building, #104, Wilmington, County of New Castle, Delaware 19810, and the name of the Corporation’s registered agent at such address is Corporate Creations Network Inc.</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1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Authorized Capital Stock</w:t>
      </w:r>
      <w:r>
        <w:rPr>
          <w:rFonts w:ascii="Arial" w:cs="Arial" w:eastAsia="Arial" w:hAnsi="Arial"/>
          <w:sz w:val="16"/>
          <w:szCs w:val="16"/>
          <w:color w:val="auto"/>
        </w:rPr>
        <w:t>. The total number of shares of all classes of capital stock, each with a par value of $0.0001 per share, which the Corporation is authorized to issue is 301,000,000 shares, consisting of (a) 300,000,000 shares of common stock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including</w:t>
      </w:r>
    </w:p>
    <w:p>
      <w:pPr>
        <w:ind w:right="380" w:firstLine="8"/>
        <w:spacing w:after="0" w:line="260" w:lineRule="auto"/>
        <w:tabs>
          <w:tab w:leader="none" w:pos="21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280,000,000 shares of Class A Common Stock (the “</w:t>
      </w: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 and (ii) 20,000,000 shares of Class B Common Stock (the “</w:t>
      </w:r>
      <w:r>
        <w:rPr>
          <w:rFonts w:ascii="Arial" w:cs="Arial" w:eastAsia="Arial" w:hAnsi="Arial"/>
          <w:sz w:val="18"/>
          <w:szCs w:val="18"/>
          <w:b w:val="1"/>
          <w:bCs w:val="1"/>
          <w:i w:val="1"/>
          <w:iCs w:val="1"/>
          <w:color w:val="auto"/>
        </w:rPr>
        <w:t>Class B</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(b) 1,000,000 shares of preferred stock (the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w:t>
      </w:r>
    </w:p>
    <w:p>
      <w:pPr>
        <w:spacing w:after="0" w:line="18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Preferred Stock</w:t>
      </w:r>
      <w:r>
        <w:rPr>
          <w:rFonts w:ascii="Arial" w:cs="Arial" w:eastAsia="Arial" w:hAnsi="Arial"/>
          <w:sz w:val="16"/>
          <w:szCs w:val="16"/>
          <w:color w:val="auto"/>
        </w:rPr>
        <w:t>. The board of directors of the Corporation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is hereby expressly authorized to provide, out of the unissued shares of the Preferred Stock, one or more series of Preferred Stock, and to establish from time to time the number of shares to be included in each such series and to fix the voting rights, if any, designations, powers, preferences and relative, participating, optional, special and other rights, if any, of each such series and any qualifications, limitations and restrictions thereof, as shall be stated in the resolution or resolutions adopted by the Board providing for the issuance of such series and included in a certificate of designation (a “</w:t>
      </w:r>
      <w:r>
        <w:rPr>
          <w:rFonts w:ascii="Arial" w:cs="Arial" w:eastAsia="Arial" w:hAnsi="Arial"/>
          <w:sz w:val="16"/>
          <w:szCs w:val="16"/>
          <w:b w:val="1"/>
          <w:bCs w:val="1"/>
          <w:i w:val="1"/>
          <w:iCs w:val="1"/>
          <w:color w:val="auto"/>
        </w:rPr>
        <w:t>Preferred Stock Designation</w:t>
      </w:r>
      <w:r>
        <w:rPr>
          <w:rFonts w:ascii="Arial" w:cs="Arial" w:eastAsia="Arial" w:hAnsi="Arial"/>
          <w:sz w:val="16"/>
          <w:szCs w:val="16"/>
          <w:color w:val="auto"/>
        </w:rPr>
        <w:t>”) filed pursuant to the DGCL, and the Board is hereby expressly vested with the authority to the full extent provided by law, now or hereafter, to adopt any such resolution or resolutions.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225" w:lineRule="exact"/>
        <w:rPr>
          <w:sz w:val="20"/>
          <w:szCs w:val="20"/>
          <w:color w:val="auto"/>
        </w:rPr>
      </w:pPr>
    </w:p>
    <w:p>
      <w:pPr>
        <w:ind w:left="880" w:hanging="236"/>
        <w:spacing w:after="0"/>
        <w:tabs>
          <w:tab w:leader="none" w:pos="88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Voting.</w:t>
      </w:r>
    </w:p>
    <w:p>
      <w:pPr>
        <w:spacing w:after="0" w:line="225" w:lineRule="exact"/>
        <w:rPr>
          <w:rFonts w:ascii="Arial" w:cs="Arial" w:eastAsia="Arial" w:hAnsi="Arial"/>
          <w:sz w:val="18"/>
          <w:szCs w:val="18"/>
          <w:color w:val="auto"/>
        </w:rPr>
      </w:pPr>
    </w:p>
    <w:p>
      <w:pPr>
        <w:ind w:left="640" w:right="580" w:firstLine="652"/>
        <w:spacing w:after="0" w:line="277" w:lineRule="auto"/>
        <w:tabs>
          <w:tab w:leader="none" w:pos="1503" w:val="left"/>
        </w:tabs>
        <w:numPr>
          <w:ilvl w:val="1"/>
          <w:numId w:val="112"/>
        </w:numPr>
        <w:rPr>
          <w:rFonts w:ascii="Arial" w:cs="Arial" w:eastAsia="Arial" w:hAnsi="Arial"/>
          <w:sz w:val="18"/>
          <w:szCs w:val="18"/>
          <w:color w:val="auto"/>
        </w:rPr>
      </w:pPr>
      <w:r>
        <w:rPr>
          <w:rFonts w:ascii="Arial" w:cs="Arial" w:eastAsia="Arial" w:hAnsi="Arial"/>
          <w:sz w:val="18"/>
          <w:szCs w:val="18"/>
          <w:color w:val="auto"/>
        </w:rPr>
        <w:t>Except as otherwise required by law or this Certificate (including any Preferred Stock Designation), the holders of the Common Stock shall exclusively possess all voting power with respect to the Corporation.</w:t>
      </w:r>
    </w:p>
    <w:p>
      <w:pPr>
        <w:spacing w:after="0" w:line="170" w:lineRule="exact"/>
        <w:rPr>
          <w:rFonts w:ascii="Arial" w:cs="Arial" w:eastAsia="Arial" w:hAnsi="Arial"/>
          <w:sz w:val="18"/>
          <w:szCs w:val="18"/>
          <w:color w:val="auto"/>
        </w:rPr>
      </w:pPr>
    </w:p>
    <w:p>
      <w:pPr>
        <w:ind w:left="640" w:right="100" w:firstLine="652"/>
        <w:spacing w:after="0" w:line="263" w:lineRule="auto"/>
        <w:tabs>
          <w:tab w:leader="none" w:pos="1553" w:val="left"/>
        </w:tabs>
        <w:numPr>
          <w:ilvl w:val="1"/>
          <w:numId w:val="112"/>
        </w:numPr>
        <w:rPr>
          <w:rFonts w:ascii="Arial" w:cs="Arial" w:eastAsia="Arial" w:hAnsi="Arial"/>
          <w:sz w:val="18"/>
          <w:szCs w:val="18"/>
          <w:color w:val="auto"/>
        </w:rPr>
      </w:pPr>
      <w:r>
        <w:rPr>
          <w:rFonts w:ascii="Arial" w:cs="Arial" w:eastAsia="Arial" w:hAnsi="Arial"/>
          <w:sz w:val="18"/>
          <w:szCs w:val="18"/>
          <w:color w:val="auto"/>
        </w:rPr>
        <w:t>Except as otherwise required by law or this Certificate (including any Preferred Stock Designation), the holders of shares of Common Stock shall be entitled to one vote for each such share on each matter properly submitted to the stockholders on which the holders of the Common Stock are entitled to vote.</w:t>
      </w:r>
    </w:p>
    <w:p>
      <w:pPr>
        <w:spacing w:after="0" w:line="183" w:lineRule="exact"/>
        <w:rPr>
          <w:rFonts w:ascii="Arial" w:cs="Arial" w:eastAsia="Arial" w:hAnsi="Arial"/>
          <w:sz w:val="18"/>
          <w:szCs w:val="18"/>
          <w:color w:val="auto"/>
        </w:rPr>
      </w:pPr>
    </w:p>
    <w:p>
      <w:pPr>
        <w:ind w:left="640" w:firstLine="652"/>
        <w:spacing w:after="0" w:line="270" w:lineRule="auto"/>
        <w:tabs>
          <w:tab w:leader="none" w:pos="1603" w:val="left"/>
        </w:tabs>
        <w:numPr>
          <w:ilvl w:val="1"/>
          <w:numId w:val="112"/>
        </w:numPr>
        <w:rPr>
          <w:rFonts w:ascii="Arial" w:cs="Arial" w:eastAsia="Arial" w:hAnsi="Arial"/>
          <w:sz w:val="17"/>
          <w:szCs w:val="17"/>
          <w:color w:val="auto"/>
        </w:rPr>
      </w:pPr>
      <w:r>
        <w:rPr>
          <w:rFonts w:ascii="Arial" w:cs="Arial" w:eastAsia="Arial" w:hAnsi="Arial"/>
          <w:sz w:val="17"/>
          <w:szCs w:val="17"/>
          <w:color w:val="auto"/>
        </w:rPr>
        <w:t>Except as otherwise required by law or this Certificate (including any Preferred Stock Designation), at any annual or special meeting of the stockholders of the Corporation, holders of the Class A Common Stock and holders of the Class B Common Stock, voting together as a single class, shall have the exclusive right to vote for the election of directors and on all other matters properly submitted to a vote of the stockholders. Notwithstanding the foregoing, except as otherwise required by law or this Certificate (including any Preferred Stock Designation), holders of shares of any series of Common Stock shall not be entitled to vote on any amendment to this Certificate (including any amendment to any Preferred Stock Designation) that relates solely to the terms of one or more outstanding series of Preferred Stock or other series of Common Stock if the holders of such affected series of Preferred Stock or Common Stock, as applicable, are entitled, either separately or together with the holders of one or more other such series, to vote thereon pursuant to this Certificate (including any Preferred Stock Designation) or the DGCL.</w:t>
      </w:r>
    </w:p>
    <w:p>
      <w:pPr>
        <w:spacing w:after="0" w:line="180" w:lineRule="exact"/>
        <w:rPr>
          <w:rFonts w:ascii="Arial" w:cs="Arial" w:eastAsia="Arial" w:hAnsi="Arial"/>
          <w:sz w:val="17"/>
          <w:szCs w:val="17"/>
          <w:color w:val="auto"/>
        </w:rPr>
      </w:pPr>
    </w:p>
    <w:p>
      <w:pPr>
        <w:ind w:left="900" w:hanging="256"/>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Class B Common Stock.</w:t>
      </w:r>
    </w:p>
    <w:p>
      <w:pPr>
        <w:spacing w:after="0" w:line="225" w:lineRule="exact"/>
        <w:rPr>
          <w:rFonts w:ascii="Arial" w:cs="Arial" w:eastAsia="Arial" w:hAnsi="Arial"/>
          <w:sz w:val="18"/>
          <w:szCs w:val="18"/>
          <w:color w:val="auto"/>
        </w:rPr>
      </w:pPr>
    </w:p>
    <w:p>
      <w:pPr>
        <w:ind w:left="1500" w:hanging="208"/>
        <w:spacing w:after="0"/>
        <w:tabs>
          <w:tab w:leader="none" w:pos="150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Shares of Class B Common Stock shall be convertible into shares of Class A Common Stock on a one-for-one basis (the</w:t>
      </w:r>
    </w:p>
    <w:p>
      <w:pPr>
        <w:spacing w:after="0" w:line="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Conversion Ratio</w:t>
      </w:r>
      <w:r>
        <w:rPr>
          <w:rFonts w:ascii="Arial" w:cs="Arial" w:eastAsia="Arial" w:hAnsi="Arial"/>
          <w:sz w:val="18"/>
          <w:szCs w:val="18"/>
          <w:color w:val="auto"/>
        </w:rPr>
        <w:t>”) automatically upon the consummation of the Business Combination (as defined below).</w:t>
      </w:r>
    </w:p>
    <w:p>
      <w:pPr>
        <w:spacing w:after="0" w:line="211" w:lineRule="exact"/>
        <w:rPr>
          <w:sz w:val="20"/>
          <w:szCs w:val="20"/>
          <w:color w:val="auto"/>
        </w:rPr>
      </w:pPr>
    </w:p>
    <w:p>
      <w:pPr>
        <w:ind w:left="640" w:firstLine="652"/>
        <w:spacing w:after="0" w:line="255" w:lineRule="auto"/>
        <w:tabs>
          <w:tab w:leader="none" w:pos="159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Notwithstanding the Initial Conversion Ratio, in the case that additional shares of Class A Common Stock, or equity-linked securities, are issued or deemed issued in excess of the amounts sold in the Corporation’s initial public offering of securities and related to the closing of the initial Business Combination, all issued and outstanding shares of Class B Common Stock shall automatically convert into shares of Class A Common Stock at the time of the closing of the Corporation’s initial merger, capital stock exchange, asset acquisition, stock purchase, reorganization or similar business combination with one or more businesses (the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at a ratio for which:</w:t>
      </w:r>
    </w:p>
    <w:p>
      <w:pPr>
        <w:spacing w:after="0" w:line="192" w:lineRule="exact"/>
        <w:rPr>
          <w:sz w:val="20"/>
          <w:szCs w:val="20"/>
          <w:color w:val="auto"/>
        </w:rPr>
      </w:pPr>
    </w:p>
    <w:p>
      <w:pPr>
        <w:ind w:left="1620" w:right="40" w:hanging="328"/>
        <w:spacing w:after="0" w:line="257" w:lineRule="auto"/>
        <w:tabs>
          <w:tab w:leader="none" w:pos="16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numerator shall be equal to the sum of (A) 25% of all shares of Class A Common Stock issued or issuable (upon the conversion or exercise of any equity-linked securities or otherwise) by the Corporation, related to or in connection with the consummation of the initial Business Combination (excluding any securities issued or issuable to any seller in the initial Business Combination) plus (B) the number of shares of Class B Common Stock issued and outstanding prior to the closing of the initial Business Combination; and</w:t>
      </w:r>
    </w:p>
    <w:p>
      <w:pPr>
        <w:spacing w:after="0" w:line="200" w:lineRule="exact"/>
        <w:rPr>
          <w:sz w:val="20"/>
          <w:szCs w:val="20"/>
          <w:color w:val="auto"/>
        </w:rPr>
      </w:pPr>
    </w:p>
    <w:p>
      <w:pPr>
        <w:spacing w:after="0" w:line="20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06" w:name="page207"/>
    <w:bookmarkEnd w:id="206"/>
    <w:p>
      <w:pPr>
        <w:ind w:left="1160" w:right="120" w:hanging="328"/>
        <w:spacing w:after="0" w:line="182" w:lineRule="auto"/>
        <w:tabs>
          <w:tab w:leader="none" w:pos="1160" w:val="left"/>
        </w:tabs>
        <w:numPr>
          <w:ilvl w:val="0"/>
          <w:numId w:val="115"/>
        </w:numPr>
        <w:rPr>
          <w:rFonts w:ascii="Arial" w:cs="Arial" w:eastAsia="Arial" w:hAnsi="Arial"/>
          <w:sz w:val="34"/>
          <w:szCs w:val="34"/>
          <w:color w:val="auto"/>
          <w:vertAlign w:val="subscript"/>
        </w:rPr>
      </w:pPr>
      <w:r>
        <w:rPr>
          <w:rFonts w:ascii="Arial" w:cs="Arial" w:eastAsia="Arial" w:hAnsi="Arial"/>
          <w:sz w:val="17"/>
          <w:szCs w:val="17"/>
          <w:color w:val="auto"/>
        </w:rPr>
        <w:t>the denominator shall be the number of shares of Class B Common Stock issued and outstanding prior to the closing of the initial Business Combination.</w:t>
      </w:r>
    </w:p>
    <w:p>
      <w:pPr>
        <w:spacing w:after="0" w:line="230" w:lineRule="exact"/>
        <w:rPr>
          <w:sz w:val="20"/>
          <w:szCs w:val="20"/>
          <w:color w:val="auto"/>
        </w:rPr>
      </w:pPr>
    </w:p>
    <w:p>
      <w:pPr>
        <w:ind w:left="180" w:right="60" w:firstLine="648"/>
        <w:spacing w:after="0" w:line="257" w:lineRule="auto"/>
        <w:rPr>
          <w:sz w:val="20"/>
          <w:szCs w:val="20"/>
          <w:color w:val="auto"/>
        </w:rPr>
      </w:pPr>
      <w:r>
        <w:rPr>
          <w:rFonts w:ascii="Arial" w:cs="Arial" w:eastAsia="Arial" w:hAnsi="Arial"/>
          <w:sz w:val="18"/>
          <w:szCs w:val="18"/>
          <w:color w:val="auto"/>
        </w:rPr>
        <w:t xml:space="preserve">Notwithstanding anything to the contrary contained herein, (i) the foregoing adjustment to the Initial Conversion Ratio may be waived as to any particular issuance or deemed issuance of additional shares of Class A Common Stock or equity-linked securities by the written consent or agreement of holders of a majority of the shares of Class B Common Stock then outstanding consenting or agreeing separately as a single class in the manner provided in </w:t>
      </w:r>
      <w:r>
        <w:rPr>
          <w:rFonts w:ascii="Arial" w:cs="Arial" w:eastAsia="Arial" w:hAnsi="Arial"/>
          <w:sz w:val="18"/>
          <w:szCs w:val="18"/>
          <w:u w:val="single" w:color="auto"/>
          <w:color w:val="auto"/>
        </w:rPr>
        <w:t>Section 4.3(b)(iii)</w:t>
      </w:r>
      <w:r>
        <w:rPr>
          <w:rFonts w:ascii="Arial" w:cs="Arial" w:eastAsia="Arial" w:hAnsi="Arial"/>
          <w:sz w:val="18"/>
          <w:szCs w:val="18"/>
          <w:color w:val="auto"/>
        </w:rPr>
        <w:t>, and (ii) in no event shall the Class B Common Stock convert into Class A Common Stock at a ratio that is less than one-for-one.</w:t>
      </w:r>
    </w:p>
    <w:p>
      <w:pPr>
        <w:spacing w:after="0" w:line="188" w:lineRule="exact"/>
        <w:rPr>
          <w:sz w:val="20"/>
          <w:szCs w:val="20"/>
          <w:color w:val="auto"/>
        </w:rPr>
      </w:pPr>
    </w:p>
    <w:p>
      <w:pPr>
        <w:ind w:left="180" w:firstLine="648"/>
        <w:spacing w:after="0" w:line="275" w:lineRule="auto"/>
        <w:rPr>
          <w:sz w:val="20"/>
          <w:szCs w:val="20"/>
          <w:color w:val="auto"/>
        </w:rPr>
      </w:pPr>
      <w:r>
        <w:rPr>
          <w:rFonts w:ascii="Arial" w:cs="Arial" w:eastAsia="Arial" w:hAnsi="Arial"/>
          <w:sz w:val="17"/>
          <w:szCs w:val="17"/>
          <w:color w:val="auto"/>
        </w:rPr>
        <w:t>The foregoing conversion ratio shall also be adjusted to account for any subdivision (by stock split, subdivision, exchange, stock dividend, reclassification, recapitalization or otherwise) or combination (by reverse stock split, exchange, reclassification, recapitalization or otherwise) or similar reclassification or recapitalization of the outstanding shares of Class A Common Stock into a greater or lesser number of shares occurring after the original filing of this Certificate without a proportionate and corresponding subdivision, combination or similar reclassification or recapitalization of the outstanding shares of Class B Common Stock.</w:t>
      </w:r>
    </w:p>
    <w:p>
      <w:pPr>
        <w:spacing w:after="0" w:line="176" w:lineRule="exact"/>
        <w:rPr>
          <w:sz w:val="20"/>
          <w:szCs w:val="20"/>
          <w:color w:val="auto"/>
        </w:rPr>
      </w:pPr>
    </w:p>
    <w:p>
      <w:pPr>
        <w:ind w:left="180" w:right="160" w:firstLine="648"/>
        <w:spacing w:after="0" w:line="293" w:lineRule="auto"/>
        <w:rPr>
          <w:sz w:val="20"/>
          <w:szCs w:val="20"/>
          <w:color w:val="auto"/>
        </w:rPr>
      </w:pPr>
      <w:r>
        <w:rPr>
          <w:rFonts w:ascii="Arial" w:cs="Arial" w:eastAsia="Arial" w:hAnsi="Arial"/>
          <w:sz w:val="16"/>
          <w:szCs w:val="16"/>
          <w:color w:val="auto"/>
        </w:rPr>
        <w:t xml:space="preserve">Each share of Class B Common Stock shall convert into its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number of shares of Class A Common Stock pursuant to this </w:t>
      </w:r>
      <w:r>
        <w:rPr>
          <w:rFonts w:ascii="Arial" w:cs="Arial" w:eastAsia="Arial" w:hAnsi="Arial"/>
          <w:sz w:val="16"/>
          <w:szCs w:val="16"/>
          <w:u w:val="single" w:color="auto"/>
          <w:color w:val="auto"/>
        </w:rPr>
        <w:t>Section 4.3(b)</w:t>
      </w:r>
      <w:r>
        <w:rPr>
          <w:rFonts w:ascii="Arial" w:cs="Arial" w:eastAsia="Arial" w:hAnsi="Arial"/>
          <w:sz w:val="16"/>
          <w:szCs w:val="16"/>
          <w:color w:val="auto"/>
        </w:rPr>
        <w:t xml:space="preserve">.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for each holder of Class B Common Stock will be determined as follows: Each share of Class B Common Stock shall convert into such number of shares of Class A Common Stock as is equal to the product of one (1) multiplied by a fraction, the numerator of which shall be the total number of shares of Class A Common Stock into which all of the issued and outstanding shares of Class B Common Stock shall be converted pursuant to this </w:t>
      </w:r>
      <w:r>
        <w:rPr>
          <w:rFonts w:ascii="Arial" w:cs="Arial" w:eastAsia="Arial" w:hAnsi="Arial"/>
          <w:sz w:val="16"/>
          <w:szCs w:val="16"/>
          <w:u w:val="single" w:color="auto"/>
          <w:color w:val="auto"/>
        </w:rPr>
        <w:t>Section 4.3(b)</w:t>
      </w:r>
      <w:r>
        <w:rPr>
          <w:rFonts w:ascii="Arial" w:cs="Arial" w:eastAsia="Arial" w:hAnsi="Arial"/>
          <w:sz w:val="16"/>
          <w:szCs w:val="16"/>
          <w:color w:val="auto"/>
        </w:rPr>
        <w:t xml:space="preserve"> and the denominator of which shall be the total number of issued and outstanding shares of Class B Common Stock at the time of conversion.</w:t>
      </w:r>
    </w:p>
    <w:p>
      <w:pPr>
        <w:spacing w:after="0" w:line="164" w:lineRule="exact"/>
        <w:rPr>
          <w:sz w:val="20"/>
          <w:szCs w:val="20"/>
          <w:color w:val="auto"/>
        </w:rPr>
      </w:pPr>
    </w:p>
    <w:p>
      <w:pPr>
        <w:ind w:left="180" w:right="40" w:firstLine="652"/>
        <w:spacing w:after="0" w:line="285" w:lineRule="auto"/>
        <w:tabs>
          <w:tab w:leader="none" w:pos="1143" w:val="left"/>
        </w:tabs>
        <w:numPr>
          <w:ilvl w:val="0"/>
          <w:numId w:val="116"/>
        </w:numPr>
        <w:rPr>
          <w:rFonts w:ascii="Arial" w:cs="Arial" w:eastAsia="Arial" w:hAnsi="Arial"/>
          <w:sz w:val="16"/>
          <w:szCs w:val="16"/>
          <w:color w:val="auto"/>
        </w:rPr>
      </w:pPr>
      <w:r>
        <w:rPr>
          <w:rFonts w:ascii="Arial" w:cs="Arial" w:eastAsia="Arial" w:hAnsi="Arial"/>
          <w:sz w:val="16"/>
          <w:szCs w:val="16"/>
          <w:i w:val="1"/>
          <w:iCs w:val="1"/>
          <w:color w:val="auto"/>
        </w:rPr>
        <w:t xml:space="preserve">Voting. </w:t>
      </w:r>
      <w:r>
        <w:rPr>
          <w:rFonts w:ascii="Arial" w:cs="Arial" w:eastAsia="Arial" w:hAnsi="Arial"/>
          <w:sz w:val="16"/>
          <w:szCs w:val="16"/>
          <w:color w:val="auto"/>
        </w:rPr>
        <w:t>Except as otherwise required by law or this Certificate (including any Preferred Stock Designation), for so long as</w:t>
      </w:r>
      <w:r>
        <w:rPr>
          <w:rFonts w:ascii="Arial" w:cs="Arial" w:eastAsia="Arial" w:hAnsi="Arial"/>
          <w:sz w:val="16"/>
          <w:szCs w:val="16"/>
          <w:i w:val="1"/>
          <w:iCs w:val="1"/>
          <w:color w:val="auto"/>
        </w:rPr>
        <w:t xml:space="preserve"> </w:t>
      </w:r>
      <w:r>
        <w:rPr>
          <w:rFonts w:ascii="Arial" w:cs="Arial" w:eastAsia="Arial" w:hAnsi="Arial"/>
          <w:sz w:val="16"/>
          <w:szCs w:val="16"/>
          <w:color w:val="auto"/>
        </w:rPr>
        <w:t>any shares of Class B Common Stock shall remain outstanding, the Corporation shall not, without the prior vote or written consent of the holders of a majority of the shares of Class B Common Stock then outstanding, voting separately as a single class, amend, alter or repeal any provision of this Certificate, whether by merger, consolidation or otherwise, if such amendment, alteration or repeal would alter or change the powers, preferences or relative, participating, optional or other or special rights of the Class B Common Stock. Any action required or permitted to be taken at any meeting of the holders of Class B Common Stock may be taken without a meeting, without prior notice and without a vote, if a consent or consents in writing, setting forth the action so taken, shall be signed by the holders of the outstanding Class B Common Stock having not less than the minimum number of votes that would be necessary to authorize or take such action at a meeting at which all shares of Class B Common Stock were present and voted and shall be delivered to the Corporation by delivery to its registered office in the State of Delaware, its principal place of business, or an officer or agent of the Corporation having custody of the book in which minutes of proceedings of stockholders are recorded. Delivery made to the Corporation’s registered office shall be by hand or by certified or registered mail, return receipt requested. Prompt written notice of the taking of corporate action without a meeting by less than unanimous written consent of the holders of Class B Common Stock shall, to the extent required by law, be given to those holders of Class B Common Stock who have not consented in writing and who, if the action had been taken at a meeting, would have been entitled to notice of the meeting if the record date for notice of such meeting had been the date that written consents signed by a sufficient number of holders of Class B Common Stock to take the action were delivered to the Corporation.</w:t>
      </w:r>
    </w:p>
    <w:p>
      <w:pPr>
        <w:spacing w:after="0" w:line="39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07" w:name="page208"/>
    <w:bookmarkEnd w:id="207"/>
    <w:p>
      <w:pPr>
        <w:ind w:right="140" w:firstLine="1304"/>
        <w:spacing w:after="0" w:line="259" w:lineRule="auto"/>
        <w:tabs>
          <w:tab w:leader="none" w:pos="154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Subject to applicable law, the rights, if any, of the holders of any outstanding series of the Preferred Stock, the 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Common Stock shall be entitled to receive such dividends and other distributions (payable in cash, property or capital stock of the Corporation) when, as and if declared thereon by the Board from time to time out of any assets or funds of the Corporation legally available therefor and shall share equally on a per share basis in such dividends and distributions.</w:t>
      </w:r>
    </w:p>
    <w:p>
      <w:pPr>
        <w:spacing w:after="0" w:line="186" w:lineRule="exact"/>
        <w:rPr>
          <w:rFonts w:ascii="Arial" w:cs="Arial" w:eastAsia="Arial" w:hAnsi="Arial"/>
          <w:sz w:val="18"/>
          <w:szCs w:val="18"/>
          <w:color w:val="auto"/>
        </w:rPr>
      </w:pPr>
    </w:p>
    <w:p>
      <w:pPr>
        <w:ind w:right="180" w:firstLine="1304"/>
        <w:spacing w:after="0" w:line="275" w:lineRule="auto"/>
        <w:tabs>
          <w:tab w:leader="none" w:pos="1551" w:val="left"/>
        </w:tabs>
        <w:numPr>
          <w:ilvl w:val="0"/>
          <w:numId w:val="117"/>
        </w:numPr>
        <w:rPr>
          <w:rFonts w:ascii="Arial" w:cs="Arial" w:eastAsia="Arial" w:hAnsi="Arial"/>
          <w:sz w:val="17"/>
          <w:szCs w:val="17"/>
          <w:color w:val="auto"/>
        </w:rPr>
      </w:pPr>
      <w:r>
        <w:rPr>
          <w:rFonts w:ascii="Arial" w:cs="Arial" w:eastAsia="Arial" w:hAnsi="Arial"/>
          <w:sz w:val="17"/>
          <w:szCs w:val="17"/>
          <w:i w:val="1"/>
          <w:iCs w:val="1"/>
          <w:color w:val="auto"/>
        </w:rPr>
        <w:t xml:space="preserve">Liquidation, Dissolution or Winding Up of the Corporation. </w:t>
      </w:r>
      <w:r>
        <w:rPr>
          <w:rFonts w:ascii="Arial" w:cs="Arial" w:eastAsia="Arial" w:hAnsi="Arial"/>
          <w:sz w:val="17"/>
          <w:szCs w:val="17"/>
          <w:color w:val="auto"/>
        </w:rPr>
        <w:t>Subject to applicable law, the rights, if any, of the holders of any</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series of the Preferred Stock, in the event of any voluntary or involuntary liquidation, dissolution or winding up of the Corporation, after payment or provision for payment of the debts and other liabilities of the Corporation, the holders of shares of Common Stock shall be entitled to receive all the remaining assets of the Corporation available for distribution to its stockholders, ratably in proportion to the number of shares of Class A Common Stock (on an as converted basis with respect to the Class B Common Stock) held by them.</w:t>
      </w:r>
    </w:p>
    <w:p>
      <w:pPr>
        <w:spacing w:after="0" w:line="17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Rights and Options</w:t>
      </w:r>
      <w:r>
        <w:rPr>
          <w:rFonts w:ascii="Arial" w:cs="Arial" w:eastAsia="Arial" w:hAnsi="Arial"/>
          <w:sz w:val="18"/>
          <w:szCs w:val="18"/>
          <w:color w:val="auto"/>
        </w:rPr>
        <w:t>. The Corporation has the authority to create and issue rights, warrants and options entitling the holders thereof to acquire from the Corporation any shares of its capital stock of any class or classes, with such rights, warrants and options to be evidenced by or in instrument(s) approved by the Board. The Board is empowered to set the exercise price, duration, times for exercise and other terms and conditions of such rights, warrants or options; provided, however, that the consideration to be received for any shares of capital stock issuable upon exercise thereof may not be less than the par value thereof.</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7260" w:type="dxa"/>
            <w:vAlign w:val="bottom"/>
            <w:gridSpan w:val="3"/>
          </w:tcPr>
          <w:p>
            <w:pPr>
              <w:jc w:val="center"/>
              <w:ind w:right="3870"/>
              <w:spacing w:after="0"/>
              <w:rPr>
                <w:sz w:val="20"/>
                <w:szCs w:val="20"/>
                <w:color w:val="auto"/>
              </w:rPr>
            </w:pPr>
            <w:r>
              <w:rPr>
                <w:rFonts w:ascii="Arial" w:cs="Arial" w:eastAsia="Arial" w:hAnsi="Arial"/>
                <w:sz w:val="18"/>
                <w:szCs w:val="18"/>
                <w:b w:val="1"/>
                <w:bCs w:val="1"/>
                <w:color w:val="auto"/>
              </w:rPr>
              <w:t>ARTICLE V</w:t>
            </w:r>
          </w:p>
        </w:tc>
      </w:tr>
      <w:tr>
        <w:trPr>
          <w:trHeight w:val="234"/>
        </w:trPr>
        <w:tc>
          <w:tcPr>
            <w:tcW w:w="3980" w:type="dxa"/>
            <w:vAlign w:val="bottom"/>
          </w:tcPr>
          <w:p>
            <w:pPr>
              <w:spacing w:after="0"/>
              <w:rPr>
                <w:sz w:val="20"/>
                <w:szCs w:val="20"/>
                <w:color w:val="auto"/>
              </w:rPr>
            </w:pPr>
          </w:p>
        </w:tc>
        <w:tc>
          <w:tcPr>
            <w:tcW w:w="7260" w:type="dxa"/>
            <w:vAlign w:val="bottom"/>
            <w:gridSpan w:val="3"/>
          </w:tcPr>
          <w:p>
            <w:pPr>
              <w:jc w:val="center"/>
              <w:ind w:right="3890"/>
              <w:spacing w:after="0"/>
              <w:rPr>
                <w:sz w:val="20"/>
                <w:szCs w:val="20"/>
                <w:color w:val="auto"/>
              </w:rPr>
            </w:pPr>
            <w:r>
              <w:rPr>
                <w:rFonts w:ascii="Arial" w:cs="Arial" w:eastAsia="Arial" w:hAnsi="Arial"/>
                <w:sz w:val="18"/>
                <w:szCs w:val="18"/>
                <w:b w:val="1"/>
                <w:bCs w:val="1"/>
                <w:color w:val="auto"/>
                <w:w w:val="99"/>
              </w:rPr>
              <w:t>INCORPORATOR</w:t>
            </w:r>
          </w:p>
        </w:tc>
      </w:tr>
      <w:tr>
        <w:trPr>
          <w:trHeight w:val="432"/>
        </w:trPr>
        <w:tc>
          <w:tcPr>
            <w:tcW w:w="11240" w:type="dxa"/>
            <w:vAlign w:val="bottom"/>
            <w:gridSpan w:val="4"/>
          </w:tcPr>
          <w:p>
            <w:pPr>
              <w:ind w:left="660"/>
              <w:spacing w:after="0"/>
              <w:rPr>
                <w:sz w:val="20"/>
                <w:szCs w:val="20"/>
                <w:color w:val="auto"/>
              </w:rPr>
            </w:pPr>
            <w:r>
              <w:rPr>
                <w:rFonts w:ascii="Arial" w:cs="Arial" w:eastAsia="Arial" w:hAnsi="Arial"/>
                <w:sz w:val="18"/>
                <w:szCs w:val="18"/>
                <w:color w:val="auto"/>
              </w:rPr>
              <w:t>The name and mailing address of the sole incorporator of the Corporation are as follows:</w:t>
            </w:r>
          </w:p>
        </w:tc>
      </w:tr>
      <w:tr>
        <w:trPr>
          <w:trHeight w:val="439"/>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500" w:type="dxa"/>
            <w:vAlign w:val="bottom"/>
            <w:tcBorders>
              <w:bottom w:val="single" w:sz="8" w:color="auto"/>
            </w:tcBorders>
          </w:tcPr>
          <w:p>
            <w:pPr>
              <w:ind w:left="2440"/>
              <w:spacing w:after="0"/>
              <w:rPr>
                <w:sz w:val="20"/>
                <w:szCs w:val="20"/>
                <w:color w:val="auto"/>
              </w:rPr>
            </w:pPr>
            <w:r>
              <w:rPr>
                <w:rFonts w:ascii="Arial" w:cs="Arial" w:eastAsia="Arial" w:hAnsi="Arial"/>
                <w:sz w:val="18"/>
                <w:szCs w:val="18"/>
                <w:b w:val="1"/>
                <w:bCs w:val="1"/>
                <w:color w:val="auto"/>
              </w:rPr>
              <w:t>Address</w:t>
            </w:r>
          </w:p>
        </w:tc>
      </w:tr>
      <w:tr>
        <w:trPr>
          <w:trHeight w:val="202"/>
        </w:trPr>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Jaszick Maldonado, c/o Loeb &amp; Loeb LLP</w:t>
            </w: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345 Park Avenue</w:t>
            </w:r>
          </w:p>
        </w:tc>
      </w:tr>
      <w:tr>
        <w:trPr>
          <w:trHeight w:val="230"/>
        </w:trPr>
        <w:tc>
          <w:tcPr>
            <w:tcW w:w="39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5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New York, NY 10154</w:t>
            </w:r>
          </w:p>
        </w:tc>
      </w:tr>
    </w:tbl>
    <w:p>
      <w:pPr>
        <w:spacing w:after="0" w:line="198"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DIRECTORS</w:t>
      </w:r>
    </w:p>
    <w:p>
      <w:pPr>
        <w:spacing w:after="0" w:line="211"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Board Powers.</w:t>
      </w:r>
      <w:r>
        <w:rPr>
          <w:rFonts w:ascii="Arial" w:cs="Arial" w:eastAsia="Arial" w:hAnsi="Arial"/>
          <w:sz w:val="16"/>
          <w:szCs w:val="16"/>
          <w:color w:val="auto"/>
        </w:rPr>
        <w:t xml:space="preserve"> The business and affairs of the Corporation shall be managed by, or under the direction of, the Board. In addition to the powers and authority expressly conferred upon the Board by statute, this Certificate or the Bylaws (the “</w:t>
      </w:r>
      <w:r>
        <w:rPr>
          <w:rFonts w:ascii="Arial" w:cs="Arial" w:eastAsia="Arial" w:hAnsi="Arial"/>
          <w:sz w:val="16"/>
          <w:szCs w:val="16"/>
          <w:b w:val="1"/>
          <w:bCs w:val="1"/>
          <w:i w:val="1"/>
          <w:iCs w:val="1"/>
          <w:color w:val="auto"/>
        </w:rPr>
        <w:t>Bylaws</w:t>
      </w:r>
      <w:r>
        <w:rPr>
          <w:rFonts w:ascii="Arial" w:cs="Arial" w:eastAsia="Arial" w:hAnsi="Arial"/>
          <w:sz w:val="16"/>
          <w:szCs w:val="16"/>
          <w:color w:val="auto"/>
        </w:rPr>
        <w:t>”) of the Corporation, the Board is hereby empowered to exercise all such powers and do all such acts and things as may be exercised or done by the Corporation, subject, nevertheless, to the provisions of the DGCL, this Certificate and any Bylaws adopted by the stockholders; provided, however, that no Bylaws hereafter adopted by the stockholders shall invalidate any prior act of the Board that would have been valid if such Bylaws had not been adopted.</w:t>
      </w:r>
    </w:p>
    <w:p>
      <w:pPr>
        <w:spacing w:after="0" w:line="161"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 xml:space="preserve">Section 6.2 </w:t>
      </w:r>
      <w:r>
        <w:rPr>
          <w:rFonts w:ascii="Arial" w:cs="Arial" w:eastAsia="Arial" w:hAnsi="Arial"/>
          <w:sz w:val="17"/>
          <w:szCs w:val="17"/>
          <w:u w:val="single" w:color="auto"/>
          <w:color w:val="auto"/>
        </w:rPr>
        <w:t>Election.</w:t>
      </w:r>
      <w:r>
        <w:rPr>
          <w:rFonts w:ascii="Arial" w:cs="Arial" w:eastAsia="Arial" w:hAnsi="Arial"/>
          <w:sz w:val="17"/>
          <w:szCs w:val="17"/>
          <w:color w:val="auto"/>
        </w:rPr>
        <w:t xml:space="preserve"> Unless and except to the extent that the Bylaws shall so require, the election of directors need not be by written ballot.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1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furtherance and not in limitation of the powers conferred upon it by law, the Board shall have the power to adopt, amend, alter, change, add or repeal the Bylaws. The Bylaws also may be adopted, amended, altered or repealed by the stockholders.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8" w:name="page209"/>
    <w:bookmarkEnd w:id="208"/>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LIMITED LIABILITY; INDEMNIFICATION</w:t>
      </w:r>
    </w:p>
    <w:p>
      <w:pPr>
        <w:spacing w:after="0" w:line="211"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Limitation of Director Liability</w:t>
      </w:r>
      <w:r>
        <w:rPr>
          <w:rFonts w:ascii="Arial" w:cs="Arial" w:eastAsia="Arial" w:hAnsi="Arial"/>
          <w:sz w:val="16"/>
          <w:szCs w:val="16"/>
          <w:color w:val="auto"/>
        </w:rPr>
        <w:t>. A director of the Corporation shall not be personally liable to the Corporation or its stockholders for monetary damages for any breach of fiduciary duty by such director as a director, except for liability (i) for any breach of the director’s duty of loyalty to the Corporation or its stockholders, (ii) for acts or omissions not in good faith or which involve intentional misconduct or a knowing violation of law,</w:t>
      </w:r>
    </w:p>
    <w:p>
      <w:pPr>
        <w:spacing w:after="0" w:line="2" w:lineRule="exact"/>
        <w:rPr>
          <w:sz w:val="20"/>
          <w:szCs w:val="20"/>
          <w:color w:val="auto"/>
        </w:rPr>
      </w:pPr>
    </w:p>
    <w:p>
      <w:pPr>
        <w:ind w:right="80" w:firstLine="8"/>
        <w:spacing w:after="0" w:line="253" w:lineRule="auto"/>
        <w:tabs>
          <w:tab w:leader="none" w:pos="31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under Section 174 of the DGCL, or (iv) for any transaction from which the director derived an improper personal benefit. If the DGCL is amended to authorize corporate action further eliminating or limiting the personal liability of directors, then the liability of a director of the Corporation shall be eliminated or limited to the fullest extent permitted by the DGCL, as so amended. Any repeal or modification of this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by the stockholders of the Corporation shall not adversely affect any right or protection of a director of the Corporation with respect to events occurring prior to the time of such repeal or modification.</w:t>
      </w:r>
    </w:p>
    <w:p>
      <w:pPr>
        <w:spacing w:after="0" w:line="19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The Corporation, to the full extent permitted by Section 145 of the DGCL,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hereby.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INSOLVENCY; SALE, LEASE OR EXCHANGE OF ASSETS</w:t>
      </w:r>
    </w:p>
    <w:p>
      <w:pPr>
        <w:spacing w:after="0" w:line="21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Section 291 of Title 8 of the Delaware Code or on the application of trustees in dissolution or of any receiver or receivers appointed for this Corporation under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 fourths in value of the creditors or class of creditors, and/or of the stockholders or class of stockholders of this Corporation, as the case may be, agree to any compromise or arrangement and to any reorganization of this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OF CERTIFICATE OF INCORPORATION</w:t>
      </w:r>
    </w:p>
    <w:p>
      <w:pPr>
        <w:spacing w:after="0" w:line="21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The Corporation reserves the right to amend, alter, change, add or repeal any provision contained in this Certificate (including any Preferred Stock Designation), in the manner now or hereafter prescribed by this Certificate and the DGCL; and except as set forth in </w:t>
      </w:r>
      <w:r>
        <w:rPr>
          <w:rFonts w:ascii="Arial" w:cs="Arial" w:eastAsia="Arial" w:hAnsi="Arial"/>
          <w:sz w:val="18"/>
          <w:szCs w:val="18"/>
          <w:u w:val="single" w:color="auto"/>
          <w:color w:val="auto"/>
        </w:rPr>
        <w:t>ARTICLE VIII</w:t>
      </w:r>
      <w:r>
        <w:rPr>
          <w:rFonts w:ascii="Arial" w:cs="Arial" w:eastAsia="Arial" w:hAnsi="Arial"/>
          <w:sz w:val="18"/>
          <w:szCs w:val="18"/>
          <w:color w:val="auto"/>
        </w:rPr>
        <w:t>, all rights, preferences and privileges herein conferred upon stockholders, directors or any other persons by and pursuant to this Certificate in its present form or as hereafter amended are granted subject to the right reserved in this Article.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09" w:name="page210"/>
    <w:bookmarkEnd w:id="209"/>
    <w:p>
      <w:pPr>
        <w:spacing w:after="0"/>
        <w:rPr>
          <w:sz w:val="20"/>
          <w:szCs w:val="20"/>
          <w:color w:val="auto"/>
        </w:rPr>
      </w:pPr>
      <w:r>
        <w:rPr>
          <w:rFonts w:ascii="Arial" w:cs="Arial" w:eastAsia="Arial" w:hAnsi="Arial"/>
          <w:sz w:val="16"/>
          <w:szCs w:val="16"/>
          <w:color w:val="auto"/>
        </w:rPr>
        <w:t>IN WITNESS WHEREOF, the undersigned has executed this Certificate as of the date first set forth above.</w:t>
      </w:r>
    </w:p>
    <w:p>
      <w:pPr>
        <w:spacing w:after="0" w:line="248"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Jaszick Maldonado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Jaszick Maldonado</w:t>
      </w:r>
    </w:p>
    <w:p>
      <w:pPr>
        <w:spacing w:after="0" w:line="23"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Sole Incorporator</w:t>
      </w:r>
    </w:p>
    <w:p>
      <w:pPr>
        <w:spacing w:after="0" w:line="200" w:lineRule="exact"/>
        <w:rPr>
          <w:sz w:val="20"/>
          <w:szCs w:val="20"/>
          <w:color w:val="auto"/>
        </w:rPr>
      </w:pPr>
    </w:p>
    <w:p>
      <w:pPr>
        <w:spacing w:after="0" w:line="2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8" w:right="1440" w:bottom="1440" w:gutter="0" w:footer="0" w:header="0"/>
        </w:sectPr>
      </w:pPr>
    </w:p>
    <w:bookmarkStart w:id="210" w:name="page211"/>
    <w:bookmarkEnd w:id="210"/>
    <w:p>
      <w:pPr>
        <w:ind w:left="10360"/>
        <w:spacing w:after="0"/>
        <w:rPr>
          <w:sz w:val="20"/>
          <w:szCs w:val="20"/>
          <w:color w:val="auto"/>
        </w:rPr>
      </w:pPr>
      <w:r>
        <w:rPr>
          <w:rFonts w:ascii="Arial" w:cs="Arial" w:eastAsia="Arial" w:hAnsi="Arial"/>
          <w:sz w:val="17"/>
          <w:szCs w:val="17"/>
          <w:b w:val="1"/>
          <w:bCs w:val="1"/>
          <w:color w:val="auto"/>
        </w:rPr>
        <w:t>Exhibit 3.3</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OFFICES</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Principal Office</w:t>
      </w:r>
      <w:r>
        <w:rPr>
          <w:rFonts w:ascii="Arial" w:cs="Arial" w:eastAsia="Arial" w:hAnsi="Arial"/>
          <w:sz w:val="18"/>
          <w:szCs w:val="18"/>
          <w:color w:val="auto"/>
        </w:rPr>
        <w:t>. The registered office of the corporation shall be located in such place as may be provided from time to time in the Certificate of Incorporation.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also have offices at such other places both within and without the State of Delaware as the Board of Directors (the “Board”) may from time to time determine or as the business of the corporation may require.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STOCKHOLDERS</w:t>
      </w:r>
    </w:p>
    <w:p>
      <w:pPr>
        <w:spacing w:after="0" w:line="21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Annual Meetings</w:t>
      </w:r>
      <w:r>
        <w:rPr>
          <w:rFonts w:ascii="Arial" w:cs="Arial" w:eastAsia="Arial" w:hAnsi="Arial"/>
          <w:sz w:val="18"/>
          <w:szCs w:val="18"/>
          <w:color w:val="auto"/>
        </w:rPr>
        <w:t>. The annual meeting of the stockholders of the corporation shall be held wholly or partially by means of remote communication or at such place, within or without the State of Delaware, on such date and at such time as may be determined by the Board of Directors and as shall be designated in the notice of said meeting.</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stockholders for any purpose or purposes, unless otherwise prescribed by statute or by the Certificate of Incorporation, may be held wholly or partially by means of remote communication or at any place, within or without the State of Delaware, and may be called by resolution of the Board of Directors, or by the Chief Executive Officer, or by the holders of not less than one-quarter of all of the shares entitled to vote at the meeting.</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Notice and Purpose of Meetings</w:t>
      </w:r>
      <w:r>
        <w:rPr>
          <w:rFonts w:ascii="Arial" w:cs="Arial" w:eastAsia="Arial" w:hAnsi="Arial"/>
          <w:sz w:val="17"/>
          <w:szCs w:val="17"/>
          <w:color w:val="auto"/>
        </w:rPr>
        <w:t>. Written or printed notice of the meeting stating the place, day and hour of the meeting and, in case of a special meeting, stating the purpose or purposes for which the meeting is called, and in case of a meeting held by remote communication stating such means, shall be delivered not less than ten nor more than sixty days before the date of the meeting, either personally, or by telegram, facsimile or cable or other electronic means</w:t>
      </w:r>
      <w:r>
        <w:rPr>
          <w:rFonts w:ascii="Arial" w:cs="Arial" w:eastAsia="Arial" w:hAnsi="Arial"/>
          <w:sz w:val="17"/>
          <w:szCs w:val="17"/>
          <w:b w:val="1"/>
          <w:bCs w:val="1"/>
          <w:color w:val="auto"/>
        </w:rPr>
        <w:t>,</w:t>
      </w:r>
      <w:r>
        <w:rPr>
          <w:rFonts w:ascii="Arial" w:cs="Arial" w:eastAsia="Arial" w:hAnsi="Arial"/>
          <w:sz w:val="17"/>
          <w:szCs w:val="17"/>
          <w:color w:val="auto"/>
        </w:rPr>
        <w:t xml:space="preserve"> by or at the direction of the Chief Executive Officer, the Secretary, or the persons calling the meeting, to each stockholder of record entitled to vote at such meeting. Such notice shall be deemed to be given at the time of receipt thereof if given personally or at the time of transmission thereof if given by telegram, telex, facsimile or cable or other electronic means.</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Quorum</w:t>
      </w:r>
      <w:r>
        <w:rPr>
          <w:rFonts w:ascii="Arial" w:cs="Arial" w:eastAsia="Arial" w:hAnsi="Arial"/>
          <w:sz w:val="17"/>
          <w:szCs w:val="17"/>
          <w:color w:val="auto"/>
        </w:rPr>
        <w:t>. The holders of a majority of the shares of capital stock issued and outstanding and entitled to vote, represented in person or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1" w:name="page212"/>
    <w:bookmarkEnd w:id="211"/>
    <w:p>
      <w:pPr>
        <w:jc w:val="both"/>
        <w:ind w:firstLine="648"/>
        <w:spacing w:after="0" w:line="293"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Voting Process</w:t>
      </w:r>
      <w:r>
        <w:rPr>
          <w:rFonts w:ascii="Arial" w:cs="Arial" w:eastAsia="Arial" w:hAnsi="Arial"/>
          <w:sz w:val="16"/>
          <w:szCs w:val="16"/>
          <w:color w:val="auto"/>
        </w:rPr>
        <w:t>. If a quorum is present or represented, the affirmative vote of a majority of the shares of stock present or represented at the meeting, by ballot, proxy or electronic ballot, shall be the act of the stockholders unless the vote of a greater number of shares of stock is required by law, by the Certificate of Incorporation or by these by-laws. Each outstanding share of stock having voting power, shall be entitled to one vote on each matter submitted to a vote at a meeting of stockholders. A shareholder may vote either in person, by proxy executed in writing by the stockholder or by his duly authorized attorney-in-fact, or by an electronic ballot from which it can be determined that the ballot was authorized by a stockholder or proxyholder. The term, validity and enforceability of any proxy shall be determined in accordance with the General Corporation Law of the State of Delaware.</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Written Consent of Stockholders Without a Meeting</w:t>
      </w:r>
      <w:r>
        <w:rPr>
          <w:rFonts w:ascii="Arial" w:cs="Arial" w:eastAsia="Arial" w:hAnsi="Arial"/>
          <w:sz w:val="18"/>
          <w:szCs w:val="18"/>
          <w:color w:val="auto"/>
        </w:rPr>
        <w:t>. Whenever the stockholders are required or permitted to take any action by vote, such action may be taken without a meeting, without prior notice and without a vote, if a written consent or electronic transmission, setting forth the action so taken, shall be signed or e-mailed by the holders of outstanding stock having not less than the minimum number of votes that would be necessary to authorize or take such action at a meeting called for such purpose.</w:t>
      </w:r>
    </w:p>
    <w:p>
      <w:pPr>
        <w:spacing w:after="0" w:line="18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u w:val="single" w:color="auto"/>
          <w:color w:val="auto"/>
        </w:rPr>
        <w:t>DIRECTORS</w:t>
      </w:r>
    </w:p>
    <w:p>
      <w:pPr>
        <w:spacing w:after="0" w:line="21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Powers</w:t>
      </w:r>
      <w:r>
        <w:rPr>
          <w:rFonts w:ascii="Arial" w:cs="Arial" w:eastAsia="Arial" w:hAnsi="Arial"/>
          <w:sz w:val="16"/>
          <w:szCs w:val="16"/>
          <w:color w:val="auto"/>
        </w:rPr>
        <w:t>. The business affairs of the corporation shall be managed by its Board of Directors, which may exercise all such powers of the corporation and do all such lawful acts and things as are not by statute or by the Certificate of Incorporation or by these by-laws directed or required to be exercised or done by the stockholders. The Board of Directors may adopt such rules and regulations, not inconsistent with the Certificate of Incorporation or these by-laws or applicable laws, as it may deem proper for the conduct of its meetings and the management of the Corporation.</w:t>
      </w:r>
    </w:p>
    <w:p>
      <w:pPr>
        <w:spacing w:after="0" w:line="15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Number, Qualifications, Term</w:t>
      </w:r>
      <w:r>
        <w:rPr>
          <w:rFonts w:ascii="Arial" w:cs="Arial" w:eastAsia="Arial" w:hAnsi="Arial"/>
          <w:sz w:val="16"/>
          <w:szCs w:val="16"/>
          <w:color w:val="auto"/>
        </w:rPr>
        <w:t>. The Board of Directors shall consist of one or more members. The number of directors shall be fixed initially by the Incorporator and may thereafter be changed from time to time by resolution of the Board of Directors or of the shareholders. Directors need not be residents of the State of Delaware nor stockholders of the corporation. The directors shall be elected at the annual meeting of the stockholders, and each director elected shall serve until the next succeeding annual meeting and until his successor shall have been elected and qualified.</w:t>
      </w:r>
    </w:p>
    <w:p>
      <w:pPr>
        <w:spacing w:after="0" w:line="15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Vacancies</w:t>
      </w:r>
      <w:r>
        <w:rPr>
          <w:rFonts w:ascii="Arial" w:cs="Arial" w:eastAsia="Arial" w:hAnsi="Arial"/>
          <w:sz w:val="16"/>
          <w:szCs w:val="16"/>
          <w:color w:val="auto"/>
        </w:rPr>
        <w:t>. Vacancies and newly created directorships resulting from any increase in the number of directors may be filled by a majority of the directors then in office, though less than a quorum, and the directors so chosen shall hold office until the next annual election and until their successors are duly elected and shall qualify. A vacancy created by the removal of a director by the stockholders may be filled by the stockholders.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2" w:name="page213"/>
    <w:bookmarkEnd w:id="212"/>
    <w:p>
      <w:pPr>
        <w:jc w:val="both"/>
        <w:ind w:firstLine="648"/>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Place of Meetings</w:t>
      </w:r>
      <w:r>
        <w:rPr>
          <w:rFonts w:ascii="Arial" w:cs="Arial" w:eastAsia="Arial" w:hAnsi="Arial"/>
          <w:sz w:val="18"/>
          <w:szCs w:val="18"/>
          <w:color w:val="auto"/>
        </w:rPr>
        <w:t>. Meetings of the Board of Directors, regular or special, may be held either within or without the State of Delaware.</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First Meeting</w:t>
      </w:r>
      <w:r>
        <w:rPr>
          <w:rFonts w:ascii="Arial" w:cs="Arial" w:eastAsia="Arial" w:hAnsi="Arial"/>
          <w:sz w:val="16"/>
          <w:szCs w:val="16"/>
          <w:color w:val="auto"/>
        </w:rPr>
        <w:t>. The first meeting of each newly elected Board of Directors shall be held immediately following and at the place of the annual meeting of stockholders and no other notice of such meeting shall be necessary to the newly elected directors in order legally to constitute the meeting, provided a quorum shall be present, or it may convene at such place and time as shall be fixed by the consent in writing of all the directors.</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the Board of Directors may be held upon such notice, or without notice, and at such time and at such place as shall from time to time be determined by the Board.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Board of Directors may be called by the Chief Executive Officer or by the number of directors who then legally constitute a quorum. Notice of each special meeting shall, if mailed, be addressed to each director at least ten nor more than sixty days prior to the date on which the meeting is to be held.</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Notice; Waiver</w:t>
      </w:r>
      <w:r>
        <w:rPr>
          <w:rFonts w:ascii="Arial" w:cs="Arial" w:eastAsia="Arial" w:hAnsi="Arial"/>
          <w:sz w:val="18"/>
          <w:szCs w:val="18"/>
          <w:color w:val="auto"/>
        </w:rPr>
        <w:t>. Attendance of a director at any meeting shall constitute a waiver of notice of such meeting, except where a director attends for the express purpose of objecting to the transaction of any business because the meeting is not lawfully called or convened. Neither the business to be transacted at, nor the purpose of, any regular or special meeting of the Board of Directors need be specified in the notice or waiver of notice of such meeting.</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Quorum</w:t>
      </w:r>
      <w:r>
        <w:rPr>
          <w:rFonts w:ascii="Arial" w:cs="Arial" w:eastAsia="Arial" w:hAnsi="Arial"/>
          <w:sz w:val="16"/>
          <w:szCs w:val="16"/>
          <w:color w:val="auto"/>
        </w:rPr>
        <w:t>. Two-thirds of the directors then in office shall constitute a quorum for the transaction of business unless a greater number is required by law, by the Certificate of Incorporation or by these by-laws. If a quorum shall not be present at any meeting of directors, the directors present thereat may adjourn the meeting from time to time, without notice other than announcement at the meeting, until a quorum shall be present.</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Action Without A Meeting</w:t>
      </w:r>
      <w:r>
        <w:rPr>
          <w:rFonts w:ascii="Arial" w:cs="Arial" w:eastAsia="Arial" w:hAnsi="Arial"/>
          <w:sz w:val="18"/>
          <w:szCs w:val="18"/>
          <w:color w:val="auto"/>
        </w:rPr>
        <w:t>. Any action required or permitted to be taken at a meeting of the directors may be taken without a meeting if a consent in writing or by electronic transmission, setting forth the action so taken, shall be signed by all of the directors entitled to vote with respect to the subject matter thereof. In addition, meetings of the Board of Directors may be held by means of conference telephone or voice communication as permitted by the General Corporation Law of the State of Delaware.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Action</w:t>
      </w:r>
      <w:r>
        <w:rPr>
          <w:rFonts w:ascii="Arial" w:cs="Arial" w:eastAsia="Arial" w:hAnsi="Arial"/>
          <w:sz w:val="18"/>
          <w:szCs w:val="18"/>
          <w:color w:val="auto"/>
        </w:rPr>
        <w:t>. Except as otherwise provided by law or in the Certificate of Incorporation or these by-laws, if a quorum is present, the affirmative vote of a majority of the members of the Board of Directors will be required for any action.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SECTION 12.</w:t>
      </w:r>
      <w:r>
        <w:rPr>
          <w:rFonts w:ascii="Arial" w:cs="Arial" w:eastAsia="Arial" w:hAnsi="Arial"/>
          <w:sz w:val="18"/>
          <w:szCs w:val="18"/>
          <w:u w:val="single" w:color="auto"/>
          <w:color w:val="auto"/>
        </w:rPr>
        <w:t>Removal of Directors</w:t>
      </w:r>
      <w:r>
        <w:rPr>
          <w:rFonts w:ascii="Arial" w:cs="Arial" w:eastAsia="Arial" w:hAnsi="Arial"/>
          <w:sz w:val="18"/>
          <w:szCs w:val="18"/>
          <w:color w:val="auto"/>
        </w:rPr>
        <w:t>. Any director may be removed, either for or without cause, at any time by action of the holders of a majority of the outstanding shares of stock entitled to vote thereon, either at a meeting of the holders of such shares or, whenever permitted by law, without a meeting by their written consents thereto.</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3" w:name="page214"/>
    <w:bookmarkEnd w:id="213"/>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COMMITTEES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Executive Committee</w:t>
      </w:r>
      <w:r>
        <w:rPr>
          <w:rFonts w:ascii="Arial" w:cs="Arial" w:eastAsia="Arial" w:hAnsi="Arial"/>
          <w:sz w:val="18"/>
          <w:szCs w:val="18"/>
          <w:color w:val="auto"/>
        </w:rPr>
        <w:t>. The Board of Directors may, by resolution adopted by a majority of the whole Board, designate one or more of its members to constitute members or alternate members of an Executive Committee.</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Powers and Authority of Executive Committee</w:t>
      </w:r>
      <w:r>
        <w:rPr>
          <w:rFonts w:ascii="Arial" w:cs="Arial" w:eastAsia="Arial" w:hAnsi="Arial"/>
          <w:sz w:val="17"/>
          <w:szCs w:val="17"/>
          <w:color w:val="auto"/>
        </w:rPr>
        <w:t>. The Executive Committee shall have and may exercise, between meetings of the Board of Directors, all the powers and authority of the Board in the management of the business and affairs of the Company, including, the right to authorize the purchase of stock, except that the Executive Committee shall not have such power or authority in reference to amending the Certificate of Incorporation;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or authorizing the declaration of a dividend.</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Other Committees</w:t>
      </w:r>
      <w:r>
        <w:rPr>
          <w:rFonts w:ascii="Arial" w:cs="Arial" w:eastAsia="Arial" w:hAnsi="Arial"/>
          <w:sz w:val="18"/>
          <w:szCs w:val="18"/>
          <w:color w:val="auto"/>
        </w:rPr>
        <w:t>. The Board of Directors may, by resolution adopted by a majority of the whole Board, designate one or more other committees, each of which shall, except as otherwise prescribed by law, have such authority of the Board as shall be specified in the resolution of the Board designating such committee. A majority of all the members of such committee may determine its action and fix the time and place of its meeting, unless the Board shall otherwise provide. The Board shall have the power at any time to change the membership of, to fill all vacancies in and to discharge any such committee, either with or without cause.</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Procedure; Meetings; Quorum</w:t>
      </w:r>
      <w:r>
        <w:rPr>
          <w:rFonts w:ascii="Arial" w:cs="Arial" w:eastAsia="Arial" w:hAnsi="Arial"/>
          <w:sz w:val="16"/>
          <w:szCs w:val="16"/>
          <w:color w:val="auto"/>
        </w:rPr>
        <w:t>. Regular meetings of the Executive Committee or any other committee of the Board of Directors, of which no notice shall be necessary, may be held at such times and places as shall be fixed by resolution adopted by a majority of the members thereof. Special meetings of the Executive Committee or any other committee of the Board shall be called at the request of any member thereof. So far as applicable, the provisions of Article III of these by-laws relating to notice, quorum and voting requirements applicable to meetings of the Board shall govern meetings of the Executive Committee or any other committee of the Board. The Executive Committee and each other committee of the Board shall keep written minutes of its proceedings and circulate summaries of such written minutes to the Board before or at the next meeting of the Board.</w:t>
      </w:r>
    </w:p>
    <w:p>
      <w:pPr>
        <w:spacing w:after="0" w:line="16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OFFICERS</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Number</w:t>
      </w:r>
      <w:r>
        <w:rPr>
          <w:rFonts w:ascii="Arial" w:cs="Arial" w:eastAsia="Arial" w:hAnsi="Arial"/>
          <w:sz w:val="17"/>
          <w:szCs w:val="17"/>
          <w:color w:val="auto"/>
        </w:rPr>
        <w:t>. The Board of Directors at its first meeting after each annual meeting of stockholders shall choose one or more Chief Executive Officers and a Secretary, none of whom need be a member of the Board. The Board may also choose a Chairman from among the directors, one or more Executive Vice Presidents, one or more Vice Presidents, Assistant Secretaries, Treasurers and Assistant Treasurers. The Board may appoint such other officers and agents as it shall deem necessary, who shall hold their offices for such terms and shall exercise such powers and perform such duties as shall be determined from time to time by the Board. The same person may hold two or more offices.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4" w:name="page215"/>
    <w:bookmarkEnd w:id="214"/>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Compensation</w:t>
      </w:r>
      <w:r>
        <w:rPr>
          <w:rFonts w:ascii="Arial" w:cs="Arial" w:eastAsia="Arial" w:hAnsi="Arial"/>
          <w:sz w:val="18"/>
          <w:szCs w:val="18"/>
          <w:color w:val="auto"/>
        </w:rPr>
        <w:t>. The salaries or other compensation of all officers of the corporation shall be fixed by the Board of Directors. No officer shall be prevented from receiving a salary or other compensation by reason of the fact that he or she is also a director.</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Term; Removal; Vacancy</w:t>
      </w:r>
      <w:r>
        <w:rPr>
          <w:rFonts w:ascii="Arial" w:cs="Arial" w:eastAsia="Arial" w:hAnsi="Arial"/>
          <w:sz w:val="18"/>
          <w:szCs w:val="18"/>
          <w:color w:val="auto"/>
        </w:rPr>
        <w:t>. The officers of the corporation shall hold office until their successors are chosen and qualify. Any officer may be removed at any time, with or without cause, by the affirmative vote of a majority of the whole Board of Directors. Any vacancy occurring in any office of the corporation shall be filled by the Board of Directors.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Chairman</w:t>
      </w:r>
      <w:r>
        <w:rPr>
          <w:rFonts w:ascii="Arial" w:cs="Arial" w:eastAsia="Arial" w:hAnsi="Arial"/>
          <w:sz w:val="18"/>
          <w:szCs w:val="18"/>
          <w:color w:val="auto"/>
        </w:rPr>
        <w:t>. The Chairman shall, if one be elected, preside at all meetings of the Board of Directors.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The Chief Executive Officer, shall preside at all meetings of the stockholders and the Board of Directors in the absence of a Chairman, shall have general supervision over the business of the corporation and shall see that all directions and resolutions of the Board of Directors are carried into effect.</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Vice President</w:t>
      </w:r>
      <w:r>
        <w:rPr>
          <w:rFonts w:ascii="Arial" w:cs="Arial" w:eastAsia="Arial" w:hAnsi="Arial"/>
          <w:sz w:val="17"/>
          <w:szCs w:val="17"/>
          <w:color w:val="auto"/>
        </w:rPr>
        <w:t>. The Vice President shall, in the absence or disability of the Chief Executive Officers, perform the duties and exercise the powers of the Chief Executive officers and shall perform such other duties and have such other powers as the Board of Directors may from time to time prescribe. The Vice President shall, in the absence or disability of the Chief Executive Officer and of the Vice President, perform the duties and exercise the powers of the Chief Executive Officer and shall perform such other duties and have such other powers as the Board of Directors may from time to time prescribe. If there shall be more than one vice president, the vice presidents shall perform such duties and exercise such powers in the absence or disability of the Chief Executive Officer and of the Vice President, in the order determined by the Board of Directors.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Secretary</w:t>
      </w:r>
      <w:r>
        <w:rPr>
          <w:rFonts w:ascii="Arial" w:cs="Arial" w:eastAsia="Arial" w:hAnsi="Arial"/>
          <w:sz w:val="18"/>
          <w:szCs w:val="18"/>
          <w:color w:val="auto"/>
        </w:rPr>
        <w:t>. The Secretary shall attend all meetings of the Board of Directors and all meetings of the stockholders and record all the proceedings of the meetings of the corporation and of the Board of Directors in a book to be kept for that purpose. He shall give, or cause to be given, notice of all meetings of the stockholders and special meetings of the Board of Directors, and shall perform such other duties as may be prescribed by the Board of Directors or Chief Executive Officer, under whose supervision he shall be. He shall have custody of the corporate seal of the corporation and he, or an assistant secretary, shall have the authority to affix the same to an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19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Assistant Secretary</w:t>
      </w:r>
      <w:r>
        <w:rPr>
          <w:rFonts w:ascii="Arial" w:cs="Arial" w:eastAsia="Arial" w:hAnsi="Arial"/>
          <w:sz w:val="17"/>
          <w:szCs w:val="17"/>
          <w:color w:val="auto"/>
        </w:rPr>
        <w:t>. The Assistant Secretary, if there shall be one, or if there shall be more than one, the assistant secretaries in the order determined by the Board of Directors, shall, in the absence or disability of the Secretary, perform the duties and exercise the powers of the Secretary and shall perform such other duties and have such powers as the Board of Directors may from time to time prescribe.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5" w:name="page216"/>
    <w:bookmarkEnd w:id="215"/>
    <w:p>
      <w:pPr>
        <w:jc w:val="both"/>
        <w:ind w:firstLine="648"/>
        <w:spacing w:after="0" w:line="255"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Treasurer</w:t>
      </w:r>
      <w:r>
        <w:rPr>
          <w:rFonts w:ascii="Arial" w:cs="Arial" w:eastAsia="Arial" w:hAnsi="Arial"/>
          <w:sz w:val="18"/>
          <w:szCs w:val="18"/>
          <w:color w:val="auto"/>
        </w:rPr>
        <w:t>.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He shall disburse the funds of the corporation as may be ordered by the Board of Directors, taking proper vouchers for such disbursements, and shall render to the Chairman, the Chief Executive Officer and the Board of Directors, at its regular meetings, or when the Board of Directors so requires, an account of all of his transactions as Treasurer and of the financial condition of the corporation.</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Assistant Treasurer</w:t>
      </w:r>
      <w:r>
        <w:rPr>
          <w:rFonts w:ascii="Arial" w:cs="Arial" w:eastAsia="Arial" w:hAnsi="Arial"/>
          <w:sz w:val="17"/>
          <w:szCs w:val="17"/>
          <w:color w:val="auto"/>
        </w:rPr>
        <w:t>. The Assistant Treasurer, if there shall be one, or, if there shall be more than one, the Assistant Treasurers in the order determined by the Board of Directors, shall, in the absence or disability of the Treasurer, perform the duties and exercise the powers of the Treasurer and shall perform such other duties and have such other powers as the Board of Directors may from time to time prescribe.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CAPITAL STOCK</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Form</w:t>
      </w:r>
      <w:r>
        <w:rPr>
          <w:rFonts w:ascii="Arial" w:cs="Arial" w:eastAsia="Arial" w:hAnsi="Arial"/>
          <w:sz w:val="16"/>
          <w:szCs w:val="16"/>
          <w:color w:val="auto"/>
        </w:rPr>
        <w:t>. The shares of the capital stock of the corporation shall be represented by certificates in such form as shall be approved by the Board of Directors and shall be signed by the Chief Executive Officer, a Vice President or a Vice President, and by the Treasurer or an assistant treasurer or the Secretary or an Assistant Secretary of the corporation, and may be sealed with the seal of the corporation or a facsimile thereof.</w:t>
      </w:r>
    </w:p>
    <w:p>
      <w:pPr>
        <w:spacing w:after="0" w:line="149"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Lost and Destroyed Certificates</w:t>
      </w:r>
      <w:r>
        <w:rPr>
          <w:rFonts w:ascii="Arial" w:cs="Arial" w:eastAsia="Arial" w:hAnsi="Arial"/>
          <w:sz w:val="18"/>
          <w:szCs w:val="18"/>
          <w:color w:val="auto"/>
        </w:rPr>
        <w:t>. The Board of Directors may direct a new certificate to be issued in place of any certificate theretofore issued by the corporation alleged to have been lost or destroyed. When authorizing such issue of a new certificate, the Board of Directors, in its discretion and as a condition precedent to the issuance thereof, may prescribe such terms and conditions as it deems expedient, and may require such indemnities as it deems adequate, to protect the corporation from any claim that may be made against it with respect to any such certificate alleged to have been lost or destroyed.</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Transfer of Shares</w:t>
      </w:r>
      <w:r>
        <w:rPr>
          <w:rFonts w:ascii="Arial" w:cs="Arial" w:eastAsia="Arial" w:hAnsi="Arial"/>
          <w:sz w:val="17"/>
          <w:szCs w:val="17"/>
          <w:color w:val="auto"/>
        </w:rPr>
        <w:t>. Upon surrender to the corporation or the transfer agent of the corporation of a certificate representing shares duly endorsed or accompanied by proper evidence of succession, assignment or authority to transfer, a new certificate shall be issued to the person entitled thereto, and the old certificate cancelled and the transaction recorded upon the books of the corporation.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INDEMNIFICATION</w:t>
      </w:r>
    </w:p>
    <w:p>
      <w:pPr>
        <w:spacing w:after="0" w:line="21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SECTION 1. (a) The Corporation shall indemnify, subject to the requirements of subsection (d) of this Section,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w:t>
      </w:r>
      <w:r>
        <w:rPr>
          <w:rFonts w:ascii="Arial" w:cs="Arial" w:eastAsia="Arial" w:hAnsi="Arial"/>
          <w:sz w:val="16"/>
          <w:szCs w:val="16"/>
          <w:u w:val="single" w:color="auto"/>
          <w:color w:val="auto"/>
        </w:rPr>
        <w:t>nolo contendere</w:t>
      </w:r>
      <w:r>
        <w:rPr>
          <w:rFonts w:ascii="Arial" w:cs="Arial" w:eastAsia="Arial" w:hAnsi="Arial"/>
          <w:sz w:val="16"/>
          <w:szCs w:val="16"/>
          <w:color w:val="auto"/>
        </w:rPr>
        <w:t xml:space="preserv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6" w:name="page217"/>
    <w:bookmarkEnd w:id="216"/>
    <w:p>
      <w:pPr>
        <w:jc w:val="both"/>
        <w:ind w:firstLine="656"/>
        <w:spacing w:after="0" w:line="269" w:lineRule="auto"/>
        <w:tabs>
          <w:tab w:leader="none" w:pos="14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Corporation shall indemnify, subject to the requirements of subsection (d) of this Section,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of the State of Delaware or such other court shall deem proper.</w:t>
      </w:r>
    </w:p>
    <w:p>
      <w:pPr>
        <w:spacing w:after="0" w:line="185" w:lineRule="exact"/>
        <w:rPr>
          <w:rFonts w:ascii="Arial" w:cs="Arial" w:eastAsia="Arial" w:hAnsi="Arial"/>
          <w:sz w:val="17"/>
          <w:szCs w:val="17"/>
          <w:color w:val="auto"/>
        </w:rPr>
      </w:pPr>
    </w:p>
    <w:p>
      <w:pPr>
        <w:jc w:val="both"/>
        <w:ind w:firstLine="656"/>
        <w:spacing w:after="0" w:line="286" w:lineRule="auto"/>
        <w:tabs>
          <w:tab w:leader="none" w:pos="1441"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To the extent that a director, officer, employee or agent of the Corporation has been successful on the merits or otherwise in defense of any action, suit or proceeding referred to in subsections (a) and (b) of this Section, or in defense of any claim, issue or matter therein, the Corporation shall indemnify him against expenses (including attorneys’ fees) actually and reasonably incurred by him in connection therewith.</w:t>
      </w:r>
    </w:p>
    <w:p>
      <w:pPr>
        <w:spacing w:after="0" w:line="165" w:lineRule="exact"/>
        <w:rPr>
          <w:rFonts w:ascii="Arial" w:cs="Arial" w:eastAsia="Arial" w:hAnsi="Arial"/>
          <w:sz w:val="17"/>
          <w:szCs w:val="17"/>
          <w:color w:val="auto"/>
        </w:rPr>
      </w:pPr>
    </w:p>
    <w:p>
      <w:pPr>
        <w:jc w:val="both"/>
        <w:ind w:firstLine="656"/>
        <w:spacing w:after="0" w:line="255" w:lineRule="auto"/>
        <w:tabs>
          <w:tab w:leader="none" w:pos="140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indemnification under subsections (a) and (b) of this Section (unless ordered by a court) shall be made by the Corporation only as authorized in the specific case upon a determination that indemnification of the director, officer, employee or agent is proper in the circumstances because he has met the applicable standard of conduct set forth in subsections (a) and (b) of this Section. Such determination shall be made (1) by the Board of Directors by a majority vote of a quorum consisting of directors who were not parties to such action, suit or proceeding, or (2) if such a quorum is not obtainable, or, even if obtainable a quorum of disinterested directors so directs, by independent legal counsel in a written opinion, or (3) by the stockholders.</w:t>
      </w:r>
    </w:p>
    <w:p>
      <w:pPr>
        <w:spacing w:after="0" w:line="192" w:lineRule="exact"/>
        <w:rPr>
          <w:rFonts w:ascii="Arial" w:cs="Arial" w:eastAsia="Arial" w:hAnsi="Arial"/>
          <w:sz w:val="18"/>
          <w:szCs w:val="18"/>
          <w:color w:val="auto"/>
        </w:rPr>
      </w:pPr>
    </w:p>
    <w:p>
      <w:pPr>
        <w:jc w:val="both"/>
        <w:ind w:firstLine="656"/>
        <w:spacing w:after="0" w:line="301" w:lineRule="auto"/>
        <w:tabs>
          <w:tab w:leader="none" w:pos="1387" w:val="left"/>
        </w:tabs>
        <w:numPr>
          <w:ilvl w:val="0"/>
          <w:numId w:val="119"/>
        </w:numPr>
        <w:rPr>
          <w:rFonts w:ascii="Arial" w:cs="Arial" w:eastAsia="Arial" w:hAnsi="Arial"/>
          <w:sz w:val="16"/>
          <w:szCs w:val="16"/>
          <w:color w:val="auto"/>
        </w:rPr>
      </w:pPr>
      <w:r>
        <w:rPr>
          <w:rFonts w:ascii="Arial" w:cs="Arial" w:eastAsia="Arial" w:hAnsi="Arial"/>
          <w:sz w:val="16"/>
          <w:szCs w:val="16"/>
          <w:color w:val="auto"/>
        </w:rPr>
        <w:t>Expenses incurred by a director, officer, employee or agent in defending a civil or criminal action, suit or proceeding may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in this Section. Such expenses incurred by other employees and agents may be so paid upon such terms and conditions, if any, as the Board of Directors deems appropriate.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7" w:name="page218"/>
    <w:bookmarkEnd w:id="217"/>
    <w:p>
      <w:pPr>
        <w:jc w:val="both"/>
        <w:ind w:firstLine="656"/>
        <w:spacing w:after="0" w:line="301" w:lineRule="auto"/>
        <w:tabs>
          <w:tab w:leader="none" w:pos="1476"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indemnification and advancement of expenses provided by, or granted pursuant to, the other subsections of this Section shall not limit the Corporation from providing any other indemnification or advancement of expenses permitted by law nor shall they be deemed exclusive of any other rights to which a person seeking indemnification or advancement of expenses may be entitled under any by-law, agreement, vote of stockholders or disinterested directors or otherwise, both as to action in his official capacity and as to action in another capacity while holding such office.</w:t>
      </w:r>
    </w:p>
    <w:p>
      <w:pPr>
        <w:spacing w:after="0" w:line="157" w:lineRule="exact"/>
        <w:rPr>
          <w:rFonts w:ascii="Arial" w:cs="Arial" w:eastAsia="Arial" w:hAnsi="Arial"/>
          <w:sz w:val="16"/>
          <w:szCs w:val="16"/>
          <w:color w:val="auto"/>
        </w:rPr>
      </w:pPr>
    </w:p>
    <w:p>
      <w:pPr>
        <w:jc w:val="both"/>
        <w:ind w:firstLine="656"/>
        <w:spacing w:after="0" w:line="279" w:lineRule="auto"/>
        <w:tabs>
          <w:tab w:leader="none" w:pos="1433"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Section.</w:t>
      </w:r>
    </w:p>
    <w:p>
      <w:pPr>
        <w:spacing w:after="0" w:line="171" w:lineRule="exact"/>
        <w:rPr>
          <w:rFonts w:ascii="Arial" w:cs="Arial" w:eastAsia="Arial" w:hAnsi="Arial"/>
          <w:sz w:val="17"/>
          <w:szCs w:val="17"/>
          <w:color w:val="auto"/>
        </w:rPr>
      </w:pPr>
    </w:p>
    <w:p>
      <w:pPr>
        <w:jc w:val="both"/>
        <w:ind w:firstLine="656"/>
        <w:spacing w:after="0" w:line="293" w:lineRule="auto"/>
        <w:tabs>
          <w:tab w:leader="none" w:pos="1433" w:val="left"/>
        </w:tabs>
        <w:numPr>
          <w:ilvl w:val="0"/>
          <w:numId w:val="120"/>
        </w:numPr>
        <w:rPr>
          <w:rFonts w:ascii="Arial" w:cs="Arial" w:eastAsia="Arial" w:hAnsi="Arial"/>
          <w:sz w:val="16"/>
          <w:szCs w:val="16"/>
          <w:color w:val="auto"/>
        </w:rPr>
      </w:pPr>
      <w:r>
        <w:rPr>
          <w:rFonts w:ascii="Arial" w:cs="Arial" w:eastAsia="Arial" w:hAnsi="Arial"/>
          <w:sz w:val="16"/>
          <w:szCs w:val="16"/>
          <w:color w:val="auto"/>
        </w:rPr>
        <w:t>For the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164" w:lineRule="exact"/>
        <w:rPr>
          <w:rFonts w:ascii="Arial" w:cs="Arial" w:eastAsia="Arial" w:hAnsi="Arial"/>
          <w:sz w:val="16"/>
          <w:szCs w:val="16"/>
          <w:color w:val="auto"/>
        </w:rPr>
      </w:pPr>
    </w:p>
    <w:p>
      <w:pPr>
        <w:jc w:val="both"/>
        <w:ind w:firstLine="656"/>
        <w:spacing w:after="0" w:line="273" w:lineRule="auto"/>
        <w:tabs>
          <w:tab w:leader="none" w:pos="1452" w:val="left"/>
        </w:tabs>
        <w:numPr>
          <w:ilvl w:val="0"/>
          <w:numId w:val="120"/>
        </w:numPr>
        <w:rPr>
          <w:rFonts w:ascii="Arial" w:cs="Arial" w:eastAsia="Arial" w:hAnsi="Arial"/>
          <w:sz w:val="17"/>
          <w:szCs w:val="17"/>
          <w:color w:val="auto"/>
        </w:rPr>
      </w:pPr>
      <w:r>
        <w:rPr>
          <w:rFonts w:ascii="Arial" w:cs="Arial" w:eastAsia="Arial" w:hAnsi="Arial"/>
          <w:sz w:val="17"/>
          <w:szCs w:val="17"/>
          <w:color w:val="auto"/>
        </w:rPr>
        <w:t>For purposes of this Section,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any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Section.</w:t>
      </w:r>
    </w:p>
    <w:p>
      <w:pPr>
        <w:spacing w:after="0" w:line="177" w:lineRule="exact"/>
        <w:rPr>
          <w:rFonts w:ascii="Arial" w:cs="Arial" w:eastAsia="Arial" w:hAnsi="Arial"/>
          <w:sz w:val="17"/>
          <w:szCs w:val="17"/>
          <w:color w:val="auto"/>
        </w:rPr>
      </w:pPr>
    </w:p>
    <w:p>
      <w:pPr>
        <w:jc w:val="both"/>
        <w:ind w:firstLine="656"/>
        <w:spacing w:after="0" w:line="263" w:lineRule="auto"/>
        <w:tabs>
          <w:tab w:leader="none" w:pos="150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by the Board of Directors, continue as to a person who has ceased to be a director, officer, employee or agent of the Corporation and shall inure to the benefit of the heirs executors and administrators of such a person.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8" w:name="page219"/>
    <w:bookmarkEnd w:id="218"/>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PROVISIONS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Checks</w:t>
      </w:r>
      <w:r>
        <w:rPr>
          <w:rFonts w:ascii="Arial" w:cs="Arial" w:eastAsia="Arial" w:hAnsi="Arial"/>
          <w:sz w:val="18"/>
          <w:szCs w:val="18"/>
          <w:color w:val="auto"/>
        </w:rPr>
        <w:t>. All checks or demands for money and notes of the corporation shall be signed by such officer or officers or such other person or persons as the Board of Directors may from time to time designate.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Fiscal Year</w:t>
      </w:r>
      <w:r>
        <w:rPr>
          <w:rFonts w:ascii="Arial" w:cs="Arial" w:eastAsia="Arial" w:hAnsi="Arial"/>
          <w:sz w:val="16"/>
          <w:szCs w:val="16"/>
          <w:color w:val="auto"/>
        </w:rPr>
        <w:t>. The fiscal year of the corporation shall be determined, and may be changed, by resolution of the Board of Directors.</w:t>
      </w:r>
    </w:p>
    <w:p>
      <w:pPr>
        <w:spacing w:after="0" w:line="24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Seal</w:t>
      </w:r>
      <w:r>
        <w:rPr>
          <w:rFonts w:ascii="Arial" w:cs="Arial" w:eastAsia="Arial" w:hAnsi="Arial"/>
          <w:sz w:val="17"/>
          <w:szCs w:val="17"/>
          <w:color w:val="auto"/>
        </w:rPr>
        <w:t>. The corporate seal shall have inscribed thereon the name of the corporation, the year of its organization and the words “Corporate Seal, Delaware.” The seal may be used by causing it or a facsimile thereof to be impressed or affixed or in any manner reproduced.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AMENDMENTS</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SECTION 1. These by-laws may be altered, amended, supplemented or repealed or new by-laws may be adopted (a) at any regular or special meeting of stockholders at which a quorum is present or represented, by the affirmative vote of the holders of a majority of the shares entitled to vote, provided notice of the proposed alteration, amendment or repeal be contained in the notice of such meeting, or (b) by a resolution adopted by a majority of the whole Board of Directors at any regular or special meeting of the Board. The stockholders shall have authority to change or repeal any by-laws adopted by the directors.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9" w:name="page220"/>
    <w:bookmarkEnd w:id="219"/>
    <w:p>
      <w:pPr>
        <w:ind w:left="10320"/>
        <w:spacing w:after="0"/>
        <w:rPr>
          <w:sz w:val="20"/>
          <w:szCs w:val="20"/>
          <w:color w:val="auto"/>
        </w:rPr>
      </w:pPr>
      <w:r>
        <w:rPr>
          <w:rFonts w:ascii="Arial" w:cs="Arial" w:eastAsia="Arial" w:hAnsi="Arial"/>
          <w:sz w:val="16"/>
          <w:szCs w:val="16"/>
          <w:b w:val="1"/>
          <w:bCs w:val="1"/>
          <w:color w:val="auto"/>
        </w:rPr>
        <w:t>Exhibit 10.2</w:t>
      </w:r>
    </w:p>
    <w:p>
      <w:pPr>
        <w:spacing w:after="0" w:line="252"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THIS PROMISSORY NOTE (“NOTE”) HAS NOT BEEN REGISTERED UNDER THE SECURITIES ACT OF 1933, AS AMENDED (THE “SECURITIES ACT”). THIS NOTE HAS BEEN ACQUIRED FOR INVESTMENT ONLY AND MAY NOT BE SOLD, TRANSFERRED OR ASSIGNED IN THE ABSENCE OF REGISTRATION OF THE RESALE THEREOF UNDER THE SECURITIES ACT OR AN OPINION OF COUNSEL REASONABLY SATISFACTORY IN FORM, SCOPE AND SUBSTANCE TO THE COMPANY THAT SUCH REGISTRATION IS NOT REQUIRED.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600" w:type="dxa"/>
            <w:vAlign w:val="bottom"/>
          </w:tcPr>
          <w:p>
            <w:pPr>
              <w:jc w:val="right"/>
              <w:ind w:right="4650"/>
              <w:spacing w:after="0"/>
              <w:rPr>
                <w:sz w:val="20"/>
                <w:szCs w:val="20"/>
                <w:color w:val="auto"/>
              </w:rPr>
            </w:pPr>
            <w:r>
              <w:rPr>
                <w:rFonts w:ascii="Arial" w:cs="Arial" w:eastAsia="Arial" w:hAnsi="Arial"/>
                <w:sz w:val="18"/>
                <w:szCs w:val="18"/>
                <w:b w:val="1"/>
                <w:bCs w:val="1"/>
                <w:color w:val="auto"/>
              </w:rPr>
              <w:t>PROMISSORY NOTE</w:t>
            </w:r>
          </w:p>
        </w:tc>
        <w:tc>
          <w:tcPr>
            <w:tcW w:w="0" w:type="dxa"/>
            <w:vAlign w:val="bottom"/>
          </w:tcPr>
          <w:p>
            <w:pPr>
              <w:spacing w:after="0"/>
              <w:rPr>
                <w:sz w:val="1"/>
                <w:szCs w:val="1"/>
                <w:color w:val="auto"/>
              </w:rPr>
            </w:pPr>
          </w:p>
        </w:tc>
      </w:tr>
      <w:tr>
        <w:trPr>
          <w:trHeight w:val="418"/>
        </w:trPr>
        <w:tc>
          <w:tcPr>
            <w:tcW w:w="3640" w:type="dxa"/>
            <w:vAlign w:val="bottom"/>
            <w:vMerge w:val="restart"/>
          </w:tcPr>
          <w:p>
            <w:pPr>
              <w:spacing w:after="0"/>
              <w:rPr>
                <w:sz w:val="20"/>
                <w:szCs w:val="20"/>
                <w:color w:val="auto"/>
              </w:rPr>
            </w:pPr>
            <w:r>
              <w:rPr>
                <w:rFonts w:ascii="Arial" w:cs="Arial" w:eastAsia="Arial" w:hAnsi="Arial"/>
                <w:sz w:val="18"/>
                <w:szCs w:val="18"/>
                <w:color w:val="auto"/>
              </w:rPr>
              <w:t>Principal Amount: Up to $300,000</w:t>
            </w:r>
          </w:p>
        </w:tc>
        <w:tc>
          <w:tcPr>
            <w:tcW w:w="7600" w:type="dxa"/>
            <w:vAlign w:val="bottom"/>
          </w:tcPr>
          <w:p>
            <w:pPr>
              <w:jc w:val="right"/>
              <w:spacing w:after="0"/>
              <w:rPr>
                <w:sz w:val="20"/>
                <w:szCs w:val="20"/>
                <w:color w:val="auto"/>
              </w:rPr>
            </w:pPr>
            <w:r>
              <w:rPr>
                <w:rFonts w:ascii="Arial" w:cs="Arial" w:eastAsia="Arial" w:hAnsi="Arial"/>
                <w:sz w:val="18"/>
                <w:szCs w:val="18"/>
                <w:color w:val="auto"/>
              </w:rPr>
              <w:t>Dated as of May 21, 2021</w:t>
            </w:r>
          </w:p>
        </w:tc>
        <w:tc>
          <w:tcPr>
            <w:tcW w:w="0" w:type="dxa"/>
            <w:vAlign w:val="bottom"/>
          </w:tcPr>
          <w:p>
            <w:pPr>
              <w:spacing w:after="0"/>
              <w:rPr>
                <w:sz w:val="1"/>
                <w:szCs w:val="1"/>
                <w:color w:val="auto"/>
              </w:rPr>
            </w:pPr>
          </w:p>
        </w:tc>
      </w:tr>
      <w:tr>
        <w:trPr>
          <w:trHeight w:val="122"/>
        </w:trPr>
        <w:tc>
          <w:tcPr>
            <w:tcW w:w="3640" w:type="dxa"/>
            <w:vAlign w:val="bottom"/>
            <w:vMerge w:val="continue"/>
          </w:tcPr>
          <w:p>
            <w:pPr>
              <w:spacing w:after="0"/>
              <w:rPr>
                <w:sz w:val="10"/>
                <w:szCs w:val="10"/>
                <w:color w:val="auto"/>
              </w:rPr>
            </w:pPr>
          </w:p>
        </w:tc>
        <w:tc>
          <w:tcPr>
            <w:tcW w:w="7600" w:type="dxa"/>
            <w:vAlign w:val="bottom"/>
            <w:vMerge w:val="restart"/>
          </w:tcPr>
          <w:p>
            <w:pPr>
              <w:jc w:val="right"/>
              <w:spacing w:after="0"/>
              <w:rPr>
                <w:sz w:val="20"/>
                <w:szCs w:val="20"/>
                <w:color w:val="auto"/>
              </w:rPr>
            </w:pPr>
            <w:r>
              <w:rPr>
                <w:rFonts w:ascii="Arial" w:cs="Arial" w:eastAsia="Arial" w:hAnsi="Arial"/>
                <w:sz w:val="18"/>
                <w:szCs w:val="18"/>
                <w:color w:val="auto"/>
              </w:rPr>
              <w:t>New York, New York</w:t>
            </w:r>
          </w:p>
        </w:tc>
        <w:tc>
          <w:tcPr>
            <w:tcW w:w="0" w:type="dxa"/>
            <w:vAlign w:val="bottom"/>
          </w:tcPr>
          <w:p>
            <w:pPr>
              <w:spacing w:after="0"/>
              <w:rPr>
                <w:sz w:val="1"/>
                <w:szCs w:val="1"/>
                <w:color w:val="auto"/>
              </w:rPr>
            </w:pPr>
          </w:p>
        </w:tc>
      </w:tr>
      <w:tr>
        <w:trPr>
          <w:trHeight w:val="108"/>
        </w:trPr>
        <w:tc>
          <w:tcPr>
            <w:tcW w:w="3640" w:type="dxa"/>
            <w:vAlign w:val="bottom"/>
          </w:tcPr>
          <w:p>
            <w:pPr>
              <w:spacing w:after="0"/>
              <w:rPr>
                <w:sz w:val="9"/>
                <w:szCs w:val="9"/>
                <w:color w:val="auto"/>
              </w:rPr>
            </w:pPr>
          </w:p>
        </w:tc>
        <w:tc>
          <w:tcPr>
            <w:tcW w:w="7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color w:val="auto"/>
        </w:rPr>
        <w:t>BurTech Acquisition Corp., a Delaware corporation and blank check company (the “</w:t>
      </w:r>
      <w:r>
        <w:rPr>
          <w:rFonts w:ascii="Arial" w:cs="Arial" w:eastAsia="Arial" w:hAnsi="Arial"/>
          <w:sz w:val="18"/>
          <w:szCs w:val="18"/>
          <w:b w:val="1"/>
          <w:bCs w:val="1"/>
          <w:color w:val="auto"/>
        </w:rPr>
        <w:t>Maker</w:t>
      </w:r>
      <w:r>
        <w:rPr>
          <w:rFonts w:ascii="Arial" w:cs="Arial" w:eastAsia="Arial" w:hAnsi="Arial"/>
          <w:sz w:val="18"/>
          <w:szCs w:val="18"/>
          <w:color w:val="auto"/>
        </w:rPr>
        <w:t>”), promises to pay to the order of BurTech LP LLC, or its registered assigns or successors in interest (the “</w:t>
      </w:r>
      <w:r>
        <w:rPr>
          <w:rFonts w:ascii="Arial" w:cs="Arial" w:eastAsia="Arial" w:hAnsi="Arial"/>
          <w:sz w:val="18"/>
          <w:szCs w:val="18"/>
          <w:b w:val="1"/>
          <w:bCs w:val="1"/>
          <w:color w:val="auto"/>
        </w:rPr>
        <w:t>Payee</w:t>
      </w:r>
      <w:r>
        <w:rPr>
          <w:rFonts w:ascii="Arial" w:cs="Arial" w:eastAsia="Arial" w:hAnsi="Arial"/>
          <w:sz w:val="18"/>
          <w:szCs w:val="18"/>
          <w:color w:val="auto"/>
        </w:rPr>
        <w:t>”), or order, the principal sum of up to Three Hundred Thousand Dollars ($300,000) in lawful money of the United States of America, on the terms and conditions described below. All payments on this Note shall be made by check or wire transfer of immediately available funds or as otherwise determined by the Maker to such account as the Payee may from time to time designate by written notice in accordance with the provisions of this Note.</w:t>
      </w:r>
    </w:p>
    <w:p>
      <w:pPr>
        <w:spacing w:after="0" w:line="183" w:lineRule="exact"/>
        <w:rPr>
          <w:sz w:val="20"/>
          <w:szCs w:val="20"/>
          <w:color w:val="auto"/>
        </w:rPr>
      </w:pPr>
    </w:p>
    <w:p>
      <w:pPr>
        <w:jc w:val="both"/>
        <w:ind w:right="340" w:firstLine="8"/>
        <w:spacing w:after="0" w:line="261" w:lineRule="auto"/>
        <w:tabs>
          <w:tab w:leader="none" w:pos="18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Principal. </w:t>
      </w:r>
      <w:r>
        <w:rPr>
          <w:rFonts w:ascii="Arial" w:cs="Arial" w:eastAsia="Arial" w:hAnsi="Arial"/>
          <w:sz w:val="18"/>
          <w:szCs w:val="18"/>
          <w:color w:val="auto"/>
        </w:rPr>
        <w:t>The principal balance of this Note shall be payable by the Maker on the earlier of: (i) December 31, 2021 or (ii) the date on which Maker</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consummates an initial public offering of its securities. The principal balance may be prepaid at any time. Under no circumstances shall any individual, including but not limited to any officer, director, employee or shareholder of the Maker, be obligated personally for any obligations or liabilities of the Maker hereunder.</w:t>
      </w:r>
    </w:p>
    <w:p>
      <w:pPr>
        <w:spacing w:after="0" w:line="179" w:lineRule="exact"/>
        <w:rPr>
          <w:rFonts w:ascii="Arial" w:cs="Arial" w:eastAsia="Arial" w:hAnsi="Arial"/>
          <w:sz w:val="18"/>
          <w:szCs w:val="18"/>
          <w:b w:val="1"/>
          <w:bCs w:val="1"/>
          <w:color w:val="auto"/>
        </w:rPr>
      </w:pPr>
    </w:p>
    <w:p>
      <w:pPr>
        <w:ind w:left="180" w:hanging="172"/>
        <w:spacing w:after="0"/>
        <w:tabs>
          <w:tab w:leader="none" w:pos="18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 </w:t>
      </w:r>
      <w:r>
        <w:rPr>
          <w:rFonts w:ascii="Arial" w:cs="Arial" w:eastAsia="Arial" w:hAnsi="Arial"/>
          <w:sz w:val="18"/>
          <w:szCs w:val="18"/>
          <w:color w:val="auto"/>
        </w:rPr>
        <w:t>No interest shall accrue on the unpaid principal balance of this Note.</w:t>
      </w:r>
    </w:p>
    <w:p>
      <w:pPr>
        <w:spacing w:after="0" w:line="225" w:lineRule="exact"/>
        <w:rPr>
          <w:rFonts w:ascii="Arial" w:cs="Arial" w:eastAsia="Arial" w:hAnsi="Arial"/>
          <w:sz w:val="18"/>
          <w:szCs w:val="18"/>
          <w:b w:val="1"/>
          <w:bCs w:val="1"/>
          <w:color w:val="auto"/>
        </w:rPr>
      </w:pPr>
    </w:p>
    <w:p>
      <w:pPr>
        <w:ind w:right="20" w:firstLine="8"/>
        <w:spacing w:after="0" w:line="270" w:lineRule="auto"/>
        <w:tabs>
          <w:tab w:leader="none" w:pos="180" w:val="left"/>
        </w:tabs>
        <w:numPr>
          <w:ilvl w:val="0"/>
          <w:numId w:val="12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Drawdown Requests. </w:t>
      </w:r>
      <w:r>
        <w:rPr>
          <w:rFonts w:ascii="Arial" w:cs="Arial" w:eastAsia="Arial" w:hAnsi="Arial"/>
          <w:sz w:val="17"/>
          <w:szCs w:val="17"/>
          <w:color w:val="auto"/>
        </w:rPr>
        <w:t>Maker and Payee agree that Maker may request up to Three Hundred Thousand Dollars ($300,000) for costs reasonably related to</w:t>
      </w:r>
      <w:r>
        <w:rPr>
          <w:rFonts w:ascii="Arial" w:cs="Arial" w:eastAsia="Arial" w:hAnsi="Arial"/>
          <w:sz w:val="17"/>
          <w:szCs w:val="17"/>
          <w:b w:val="1"/>
          <w:bCs w:val="1"/>
          <w:color w:val="auto"/>
        </w:rPr>
        <w:t xml:space="preserve"> </w:t>
      </w:r>
      <w:r>
        <w:rPr>
          <w:rFonts w:ascii="Arial" w:cs="Arial" w:eastAsia="Arial" w:hAnsi="Arial"/>
          <w:sz w:val="17"/>
          <w:szCs w:val="17"/>
          <w:color w:val="auto"/>
        </w:rPr>
        <w:t>Maker’s initial public offering of its securities. The principal of this Note may be drawn down from time to time prior to the earlier of: (i) December 31, 2021 or (ii) the date on which Maker consummates an initial public offering of its securities, upon written request from Maker to Payee (each, a “</w:t>
      </w:r>
      <w:r>
        <w:rPr>
          <w:rFonts w:ascii="Arial" w:cs="Arial" w:eastAsia="Arial" w:hAnsi="Arial"/>
          <w:sz w:val="17"/>
          <w:szCs w:val="17"/>
          <w:b w:val="1"/>
          <w:bCs w:val="1"/>
          <w:color w:val="auto"/>
        </w:rPr>
        <w:t>Drawdown Request</w:t>
      </w:r>
      <w:r>
        <w:rPr>
          <w:rFonts w:ascii="Arial" w:cs="Arial" w:eastAsia="Arial" w:hAnsi="Arial"/>
          <w:sz w:val="17"/>
          <w:szCs w:val="17"/>
          <w:color w:val="auto"/>
        </w:rPr>
        <w:t>”). Each Drawdown Request must state the amount to be drawn down, and must not be an amount less than Ten Thousand Dollars ($10,000) unless agreed upon by Maker and Payee. Payee shall fund each Drawdown Request no later than five (5) business days after receipt of a Drawdown Request; provided, however, that the maximum amount of drawdowns collectively under this Note is Three Hundred Thousand Dollars ($300,000). Once an amount is drawn down under this Note, it shall not be available for future Drawdown Requests even if prepaid. No fees, payments or other amounts shall be due to Payee in connection with, or as a result of, any Drawdown Request by Maker. Notwithstanding the foregoing, all payments shall be applied first to payment in full of any costs incurred in the collection of any sum due under this Note, including (without limitation) reasonable attorneys’ fees, and then to the reduction of the unpaid principal balance of this Note.</w:t>
      </w:r>
    </w:p>
    <w:p>
      <w:pPr>
        <w:spacing w:after="0" w:line="176" w:lineRule="exact"/>
        <w:rPr>
          <w:rFonts w:ascii="Arial" w:cs="Arial" w:eastAsia="Arial" w:hAnsi="Arial"/>
          <w:sz w:val="17"/>
          <w:szCs w:val="17"/>
          <w:b w:val="1"/>
          <w:bCs w:val="1"/>
          <w:color w:val="auto"/>
        </w:rPr>
      </w:pPr>
    </w:p>
    <w:p>
      <w:pPr>
        <w:jc w:val="both"/>
        <w:ind w:right="120" w:firstLine="8"/>
        <w:spacing w:after="0" w:line="266" w:lineRule="auto"/>
        <w:tabs>
          <w:tab w:leader="none" w:pos="17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Application of Payments. </w:t>
      </w:r>
      <w:r>
        <w:rPr>
          <w:rFonts w:ascii="Arial" w:cs="Arial" w:eastAsia="Arial" w:hAnsi="Arial"/>
          <w:sz w:val="18"/>
          <w:szCs w:val="18"/>
          <w:color w:val="auto"/>
        </w:rPr>
        <w:t>All payments shall be applied first to payment in full of any costs incurred in the collection of any sum due under this Note,</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(without limitation) reasonable attorney’s fees, then to the payment in full of any late charges and finally to the reduction of the unpaid principal balance of this Note.</w:t>
      </w:r>
    </w:p>
    <w:p>
      <w:pPr>
        <w:spacing w:after="0" w:line="175" w:lineRule="exact"/>
        <w:rPr>
          <w:rFonts w:ascii="Arial" w:cs="Arial" w:eastAsia="Arial" w:hAnsi="Arial"/>
          <w:sz w:val="18"/>
          <w:szCs w:val="18"/>
          <w:b w:val="1"/>
          <w:bCs w:val="1"/>
          <w:color w:val="auto"/>
        </w:rPr>
      </w:pPr>
    </w:p>
    <w:p>
      <w:pPr>
        <w:ind w:left="180" w:hanging="172"/>
        <w:spacing w:after="0"/>
        <w:tabs>
          <w:tab w:leader="none" w:pos="18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Events of Default. </w:t>
      </w:r>
      <w:r>
        <w:rPr>
          <w:rFonts w:ascii="Arial" w:cs="Arial" w:eastAsia="Arial" w:hAnsi="Arial"/>
          <w:sz w:val="18"/>
          <w:szCs w:val="18"/>
          <w:color w:val="auto"/>
        </w:rPr>
        <w:t>The following shall constitute an event of default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220" w:firstLine="656"/>
        <w:spacing w:after="0" w:line="277" w:lineRule="auto"/>
        <w:tabs>
          <w:tab w:leader="none" w:pos="892"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Failure to Make Required Payments</w:t>
      </w:r>
      <w:r>
        <w:rPr>
          <w:rFonts w:ascii="Arial" w:cs="Arial" w:eastAsia="Arial" w:hAnsi="Arial"/>
          <w:sz w:val="18"/>
          <w:szCs w:val="18"/>
          <w:color w:val="auto"/>
        </w:rPr>
        <w:t>. Failure by Maker to pay the principal amount due pursuant to this Note within five (5) business days of the date specified above.</w:t>
      </w:r>
    </w:p>
    <w:p>
      <w:pPr>
        <w:spacing w:after="0" w:line="170" w:lineRule="exact"/>
        <w:rPr>
          <w:rFonts w:ascii="Arial" w:cs="Arial" w:eastAsia="Arial" w:hAnsi="Arial"/>
          <w:sz w:val="18"/>
          <w:szCs w:val="18"/>
          <w:color w:val="auto"/>
        </w:rPr>
      </w:pPr>
    </w:p>
    <w:p>
      <w:pPr>
        <w:ind w:right="80" w:firstLine="656"/>
        <w:spacing w:after="0" w:line="257" w:lineRule="auto"/>
        <w:tabs>
          <w:tab w:leader="none" w:pos="903"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Voluntary Bankruptcy, Etc</w:t>
      </w:r>
      <w:r>
        <w:rPr>
          <w:rFonts w:ascii="Arial" w:cs="Arial" w:eastAsia="Arial" w:hAnsi="Arial"/>
          <w:sz w:val="18"/>
          <w:szCs w:val="18"/>
          <w:color w:val="auto"/>
        </w:rPr>
        <w:t>. The commencement by Maker of a voluntary case under any applicable bankruptcy, insolvency, reorganization, rehabilitation or other similar law, or the consent by it to the appointment of or taking possession by a receiver, liquidator, assignee, trustee, custodian, sequestrator (or other similar official) of Maker or for any substantial part of its property, or the making by it of any assignment for the benefit of creditors, or the failure of Maker generally to pay its debts as such debts become due, or the taking of corporate action by Maker in furtherance of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0" w:name="page221"/>
    <w:bookmarkEnd w:id="220"/>
    <w:p>
      <w:pPr>
        <w:ind w:left="-8" w:right="240" w:firstLine="656"/>
        <w:spacing w:after="0" w:line="259" w:lineRule="auto"/>
        <w:tabs>
          <w:tab w:leader="none" w:pos="884"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t>Involuntary Bankruptcy, Etc</w:t>
      </w:r>
      <w:r>
        <w:rPr>
          <w:rFonts w:ascii="Arial" w:cs="Arial" w:eastAsia="Arial" w:hAnsi="Arial"/>
          <w:sz w:val="18"/>
          <w:szCs w:val="18"/>
          <w:color w:val="auto"/>
        </w:rPr>
        <w:t>. The entry of a decree or order for relief by a court having jurisdiction in the premises in respect of Maker in an involuntary case under any applicable bankruptcy, insolvency or other similar law, or appointing a receiver, liquidator, assignee, custodian, trustee, sequestrator (or similar official) of Maker or for any substantial part of its property, or ordering the winding-up or liquidation of its affairs, and the continuance of any such decree or order unstayed and in effect for a period of 60 consecutive days.</w:t>
      </w:r>
    </w:p>
    <w:p>
      <w:pPr>
        <w:spacing w:after="0" w:line="182" w:lineRule="exact"/>
        <w:rPr>
          <w:rFonts w:ascii="Arial" w:cs="Arial" w:eastAsia="Arial" w:hAnsi="Arial"/>
          <w:sz w:val="18"/>
          <w:szCs w:val="18"/>
          <w:color w:val="auto"/>
        </w:rPr>
      </w:pPr>
    </w:p>
    <w:p>
      <w:pPr>
        <w:ind w:left="172" w:hanging="172"/>
        <w:spacing w:after="0"/>
        <w:tabs>
          <w:tab w:leader="none" w:pos="172"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Remedies.</w:t>
      </w:r>
    </w:p>
    <w:p>
      <w:pPr>
        <w:spacing w:after="0" w:line="229" w:lineRule="exact"/>
        <w:rPr>
          <w:rFonts w:ascii="Arial" w:cs="Arial" w:eastAsia="Arial" w:hAnsi="Arial"/>
          <w:sz w:val="18"/>
          <w:szCs w:val="18"/>
          <w:b w:val="1"/>
          <w:bCs w:val="1"/>
          <w:color w:val="auto"/>
        </w:rPr>
      </w:pPr>
    </w:p>
    <w:p>
      <w:pPr>
        <w:ind w:left="-8" w:firstLine="656"/>
        <w:spacing w:after="0" w:line="259" w:lineRule="auto"/>
        <w:tabs>
          <w:tab w:leader="none" w:pos="885" w:val="left"/>
        </w:tabs>
        <w:numPr>
          <w:ilvl w:val="1"/>
          <w:numId w:val="123"/>
        </w:numPr>
        <w:rPr>
          <w:rFonts w:ascii="Arial" w:cs="Arial" w:eastAsia="Arial" w:hAnsi="Arial"/>
          <w:sz w:val="18"/>
          <w:szCs w:val="18"/>
          <w:color w:val="auto"/>
        </w:rPr>
      </w:pPr>
      <w:r>
        <w:rPr>
          <w:rFonts w:ascii="Arial" w:cs="Arial" w:eastAsia="Arial" w:hAnsi="Arial"/>
          <w:sz w:val="18"/>
          <w:szCs w:val="18"/>
          <w:color w:val="auto"/>
        </w:rPr>
        <w:t>Upon the occurrence of an Event of Default specified in Section 5(a) hereof, Payee may, by written notice to Maker, declare this Note to be due immediately and payable, whereupon the unpaid principal amount of this Note, and all other amounts payable hereunder, shall become immediately due and payable without presentment, demand, protest or other notice of any kind, all of which are hereby expressly waived, anything contained herein or in the documents evidencing the same to the contrary notwithstanding.</w:t>
      </w:r>
    </w:p>
    <w:p>
      <w:pPr>
        <w:spacing w:after="0" w:line="186" w:lineRule="exact"/>
        <w:rPr>
          <w:rFonts w:ascii="Arial" w:cs="Arial" w:eastAsia="Arial" w:hAnsi="Arial"/>
          <w:sz w:val="18"/>
          <w:szCs w:val="18"/>
          <w:color w:val="auto"/>
        </w:rPr>
      </w:pPr>
    </w:p>
    <w:p>
      <w:pPr>
        <w:ind w:left="-8" w:right="240" w:firstLine="656"/>
        <w:spacing w:after="0" w:line="342" w:lineRule="auto"/>
        <w:tabs>
          <w:tab w:leader="none" w:pos="895" w:val="left"/>
        </w:tabs>
        <w:numPr>
          <w:ilvl w:val="1"/>
          <w:numId w:val="123"/>
        </w:numPr>
        <w:rPr>
          <w:rFonts w:ascii="Arial" w:cs="Arial" w:eastAsia="Arial" w:hAnsi="Arial"/>
          <w:sz w:val="16"/>
          <w:szCs w:val="16"/>
          <w:color w:val="auto"/>
        </w:rPr>
      </w:pPr>
      <w:r>
        <w:rPr>
          <w:rFonts w:ascii="Arial" w:cs="Arial" w:eastAsia="Arial" w:hAnsi="Arial"/>
          <w:sz w:val="16"/>
          <w:szCs w:val="16"/>
          <w:color w:val="auto"/>
        </w:rPr>
        <w:t>Upon the occurrence of an Event of Default specified in Sections 5(b) and 5(c), the unpaid principal balance of this Note, and all other sums payable with regard to this Note, shall automatically and immediately become due and payable, in all cases without any action on the part of Payee.</w:t>
      </w:r>
    </w:p>
    <w:p>
      <w:pPr>
        <w:spacing w:after="0" w:line="119" w:lineRule="exact"/>
        <w:rPr>
          <w:rFonts w:ascii="Arial" w:cs="Arial" w:eastAsia="Arial" w:hAnsi="Arial"/>
          <w:sz w:val="16"/>
          <w:szCs w:val="16"/>
          <w:color w:val="auto"/>
        </w:rPr>
      </w:pPr>
    </w:p>
    <w:p>
      <w:pPr>
        <w:ind w:left="-8" w:right="60" w:firstLine="8"/>
        <w:spacing w:after="0" w:line="294" w:lineRule="auto"/>
        <w:tabs>
          <w:tab w:leader="none" w:pos="169" w:val="left"/>
        </w:tabs>
        <w:numPr>
          <w:ilvl w:val="0"/>
          <w:numId w:val="12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Waivers. </w:t>
      </w:r>
      <w:r>
        <w:rPr>
          <w:rFonts w:ascii="Arial" w:cs="Arial" w:eastAsia="Arial" w:hAnsi="Arial"/>
          <w:sz w:val="16"/>
          <w:szCs w:val="16"/>
          <w:color w:val="auto"/>
        </w:rPr>
        <w:t>Maker and all endorsers and guarantors of, and sureties for, this Note waive presentment for payment, demand, notice of dishonor, protest, and</w:t>
      </w:r>
      <w:r>
        <w:rPr>
          <w:rFonts w:ascii="Arial" w:cs="Arial" w:eastAsia="Arial" w:hAnsi="Arial"/>
          <w:sz w:val="16"/>
          <w:szCs w:val="16"/>
          <w:b w:val="1"/>
          <w:bCs w:val="1"/>
          <w:color w:val="auto"/>
        </w:rPr>
        <w:t xml:space="preserve"> </w:t>
      </w:r>
      <w:r>
        <w:rPr>
          <w:rFonts w:ascii="Arial" w:cs="Arial" w:eastAsia="Arial" w:hAnsi="Arial"/>
          <w:sz w:val="16"/>
          <w:szCs w:val="16"/>
          <w:color w:val="auto"/>
        </w:rPr>
        <w:t>notice of protest with regard to the Note, all errors, defects and imperfections in any proceedings instituted by Payee under the terms of this Note, and all benefits that might accrue to Maker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Maker agrees that any real estate that may be levied upon pursuant to a judgment obtained by virtue hereof or any writ of execution issued hereon, may be sold upon any such writ in whole or in part in any order desired by Payee.</w:t>
      </w:r>
    </w:p>
    <w:p>
      <w:pPr>
        <w:spacing w:after="0" w:line="159" w:lineRule="exact"/>
        <w:rPr>
          <w:rFonts w:ascii="Arial" w:cs="Arial" w:eastAsia="Arial" w:hAnsi="Arial"/>
          <w:sz w:val="16"/>
          <w:szCs w:val="16"/>
          <w:b w:val="1"/>
          <w:bCs w:val="1"/>
          <w:color w:val="auto"/>
        </w:rPr>
      </w:pPr>
    </w:p>
    <w:p>
      <w:pPr>
        <w:ind w:left="-8" w:right="120" w:firstLine="8"/>
        <w:spacing w:after="0" w:line="298" w:lineRule="auto"/>
        <w:tabs>
          <w:tab w:leader="none" w:pos="172" w:val="left"/>
        </w:tabs>
        <w:numPr>
          <w:ilvl w:val="0"/>
          <w:numId w:val="12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Unconditional Liability. </w:t>
      </w:r>
      <w:r>
        <w:rPr>
          <w:rFonts w:ascii="Arial" w:cs="Arial" w:eastAsia="Arial" w:hAnsi="Arial"/>
          <w:sz w:val="16"/>
          <w:szCs w:val="16"/>
          <w:color w:val="auto"/>
        </w:rPr>
        <w:t>Maker hereby waives all notices in connection with the delivery, acceptance, performance, default, or enforcement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of this Note, and agrees that its liability shall be unconditional, without regard to the liability of any other party, and shall not be affected in any manner by any indulgence, extension of time, renewal, waiver or modification granted or consented to by Payee, and consents to any and all extensions of time, renewals, waivers, or modifications that may be granted by Payee with respect to the payment or other provisions of this Note, and agrees that additional makers, endorsers, guarantors, or sureties may become parties hereto without notice to Maker or affecting Maker’s liability hereunder.</w:t>
      </w:r>
    </w:p>
    <w:p>
      <w:pPr>
        <w:spacing w:after="0" w:line="153" w:lineRule="exact"/>
        <w:rPr>
          <w:rFonts w:ascii="Arial" w:cs="Arial" w:eastAsia="Arial" w:hAnsi="Arial"/>
          <w:sz w:val="16"/>
          <w:szCs w:val="16"/>
          <w:b w:val="1"/>
          <w:bCs w:val="1"/>
          <w:color w:val="auto"/>
        </w:rPr>
      </w:pPr>
    </w:p>
    <w:p>
      <w:pPr>
        <w:ind w:left="172" w:hanging="172"/>
        <w:spacing w:after="0"/>
        <w:tabs>
          <w:tab w:leader="none" w:pos="172" w:val="left"/>
        </w:tabs>
        <w:numPr>
          <w:ilvl w:val="0"/>
          <w:numId w:val="1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Notices. </w:t>
      </w:r>
      <w:r>
        <w:rPr>
          <w:rFonts w:ascii="Arial" w:cs="Arial" w:eastAsia="Arial" w:hAnsi="Arial"/>
          <w:sz w:val="17"/>
          <w:szCs w:val="17"/>
          <w:color w:val="auto"/>
        </w:rPr>
        <w:t>All notices, statements or other documents which are required or contemplated by this Note shall be made in writing and delivered:</w:t>
      </w:r>
    </w:p>
    <w:p>
      <w:pPr>
        <w:spacing w:after="0" w:line="39" w:lineRule="exact"/>
        <w:rPr>
          <w:sz w:val="20"/>
          <w:szCs w:val="20"/>
          <w:color w:val="auto"/>
        </w:rPr>
      </w:pPr>
    </w:p>
    <w:p>
      <w:pPr>
        <w:ind w:left="-8" w:right="100" w:firstLine="8"/>
        <w:spacing w:after="0" w:line="270" w:lineRule="auto"/>
        <w:tabs>
          <w:tab w:leader="none" w:pos="207" w:val="left"/>
        </w:tabs>
        <w:numPr>
          <w:ilvl w:val="0"/>
          <w:numId w:val="124"/>
        </w:numPr>
        <w:rPr>
          <w:rFonts w:ascii="Arial" w:cs="Arial" w:eastAsia="Arial" w:hAnsi="Arial"/>
          <w:sz w:val="17"/>
          <w:szCs w:val="17"/>
          <w:color w:val="auto"/>
        </w:rPr>
      </w:pPr>
      <w:r>
        <w:rPr>
          <w:rFonts w:ascii="Arial" w:cs="Arial" w:eastAsia="Arial" w:hAnsi="Arial"/>
          <w:sz w:val="17"/>
          <w:szCs w:val="17"/>
          <w:color w:val="auto"/>
        </w:rPr>
        <w:t>personally or sent by first class registered or certified mail, overnight courier service or facsimile or electronic transmission to the address designated in writing, (ii) by facsimile to the number most recently provided to such party or such other address or fax number as may be designated in writing by such party or (iii) by electronic mail, to the electronic mail address most recently provided to such party or such other electronic mail address as may be designated in writing by such party. Any notice or other communication so transmitted shall be deemed to have been given on the day of delivery, if delivered personally, on the business day following receipt of written confirmation, if sent by facsimile or electronic transmission, one (1) business day after delivery to an overnight courier service or five (5) days after mailing if sent by mail.</w:t>
      </w:r>
    </w:p>
    <w:p>
      <w:pPr>
        <w:spacing w:after="0" w:line="174" w:lineRule="exact"/>
        <w:rPr>
          <w:sz w:val="20"/>
          <w:szCs w:val="20"/>
          <w:color w:val="auto"/>
        </w:rPr>
      </w:pPr>
    </w:p>
    <w:p>
      <w:pPr>
        <w:ind w:left="-8" w:right="300" w:firstLine="8"/>
        <w:spacing w:after="0" w:line="282" w:lineRule="auto"/>
        <w:tabs>
          <w:tab w:leader="none" w:pos="262"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Construction. </w:t>
      </w:r>
      <w:r>
        <w:rPr>
          <w:rFonts w:ascii="Arial" w:cs="Arial" w:eastAsia="Arial" w:hAnsi="Arial"/>
          <w:sz w:val="18"/>
          <w:szCs w:val="18"/>
          <w:color w:val="auto"/>
        </w:rPr>
        <w:t>THIS NOTE SHALL BE CONSTRUED AND ENFORCED IN ACCORDANCE WITH THE LAWS OF DELAWARE,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CONFLICT OF LAW PROVISIONS THEREOF.</w:t>
      </w:r>
    </w:p>
    <w:p>
      <w:pPr>
        <w:spacing w:after="0" w:line="161" w:lineRule="exact"/>
        <w:rPr>
          <w:rFonts w:ascii="Arial" w:cs="Arial" w:eastAsia="Arial" w:hAnsi="Arial"/>
          <w:sz w:val="18"/>
          <w:szCs w:val="18"/>
          <w:b w:val="1"/>
          <w:bCs w:val="1"/>
          <w:color w:val="auto"/>
        </w:rPr>
      </w:pPr>
    </w:p>
    <w:p>
      <w:pPr>
        <w:jc w:val="both"/>
        <w:ind w:left="-8" w:right="160" w:firstLine="8"/>
        <w:spacing w:after="0" w:line="266" w:lineRule="auto"/>
        <w:tabs>
          <w:tab w:leader="none" w:pos="252"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Any provision contained in this Note which is prohibited or unenforceable in any jurisdiction shall, as to such jurisdiction, be ineffective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39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221" w:name="page222"/>
    <w:bookmarkEnd w:id="221"/>
    <w:p>
      <w:pPr>
        <w:ind w:left="280" w:hanging="272"/>
        <w:spacing w:after="0"/>
        <w:tabs>
          <w:tab w:leader="none" w:pos="280" w:val="left"/>
        </w:tabs>
        <w:numPr>
          <w:ilvl w:val="0"/>
          <w:numId w:val="126"/>
        </w:numPr>
        <w:rPr>
          <w:rFonts w:ascii="Arial" w:cs="Arial" w:eastAsia="Arial" w:hAnsi="Arial"/>
          <w:sz w:val="17"/>
          <w:szCs w:val="17"/>
          <w:b w:val="1"/>
          <w:bCs w:val="1"/>
          <w:color w:val="auto"/>
        </w:rPr>
      </w:pPr>
      <w:r>
        <w:rPr>
          <w:rFonts w:ascii="Arial" w:cs="Arial" w:eastAsia="Arial" w:hAnsi="Arial"/>
          <w:sz w:val="17"/>
          <w:szCs w:val="17"/>
          <w:b w:val="1"/>
          <w:bCs w:val="1"/>
          <w:color w:val="auto"/>
        </w:rPr>
        <w:t>Trust Waiver</w:t>
      </w:r>
      <w:r>
        <w:rPr>
          <w:rFonts w:ascii="Arial" w:cs="Arial" w:eastAsia="Arial" w:hAnsi="Arial"/>
          <w:sz w:val="17"/>
          <w:szCs w:val="17"/>
          <w:color w:val="auto"/>
        </w:rPr>
        <w:t>. Notwithstanding anything herein to the contrary, the Payee hereby waives any and all right, title, interest or claim of any kind</w:t>
      </w:r>
    </w:p>
    <w:p>
      <w:pPr>
        <w:spacing w:after="0" w:line="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w:t>
      </w:r>
      <w:r>
        <w:rPr>
          <w:rFonts w:ascii="Arial" w:cs="Arial" w:eastAsia="Arial" w:hAnsi="Arial"/>
          <w:sz w:val="18"/>
          <w:szCs w:val="18"/>
          <w:color w:val="auto"/>
        </w:rPr>
        <w:t>”) in or to any distribution of or from the trust account to be established in which the proceeds of the initial public offering (the “</w:t>
      </w:r>
      <w:r>
        <w:rPr>
          <w:rFonts w:ascii="Arial" w:cs="Arial" w:eastAsia="Arial" w:hAnsi="Arial"/>
          <w:sz w:val="18"/>
          <w:szCs w:val="18"/>
          <w:b w:val="1"/>
          <w:bCs w:val="1"/>
          <w:color w:val="auto"/>
        </w:rPr>
        <w:t>IPO</w:t>
      </w:r>
      <w:r>
        <w:rPr>
          <w:rFonts w:ascii="Arial" w:cs="Arial" w:eastAsia="Arial" w:hAnsi="Arial"/>
          <w:sz w:val="18"/>
          <w:szCs w:val="18"/>
          <w:color w:val="auto"/>
        </w:rPr>
        <w:t>”) to be conducted by the Maker (including the deferred underwriters discounts and commissions) and the proceeds of the sale of the warrants to be issued in a private placement to occur prior to the closing of the IPO are to be deposited, as described in greater detail in the registration statement and prospectus to be filed with the Securities and Exchange Commission in connection with the IPO, and hereby agrees not to seek recourse, reimbursement, payment or satisfaction for any Claim against the trust account for any reason whatsoever.</w:t>
      </w:r>
    </w:p>
    <w:p>
      <w:pPr>
        <w:spacing w:after="0" w:line="187"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13</w:t>
      </w:r>
      <w:r>
        <w:rPr>
          <w:rFonts w:ascii="Arial" w:cs="Arial" w:eastAsia="Arial" w:hAnsi="Arial"/>
          <w:sz w:val="18"/>
          <w:szCs w:val="18"/>
          <w:color w:val="auto"/>
        </w:rPr>
        <w:t>.</w:t>
      </w:r>
      <w:r>
        <w:rPr>
          <w:rFonts w:ascii="Arial" w:cs="Arial" w:eastAsia="Arial" w:hAnsi="Arial"/>
          <w:sz w:val="18"/>
          <w:szCs w:val="18"/>
          <w:b w:val="1"/>
          <w:bCs w:val="1"/>
          <w:color w:val="auto"/>
        </w:rPr>
        <w:t xml:space="preserve"> Amendment; Waiver</w:t>
      </w:r>
      <w:r>
        <w:rPr>
          <w:rFonts w:ascii="Arial" w:cs="Arial" w:eastAsia="Arial" w:hAnsi="Arial"/>
          <w:sz w:val="18"/>
          <w:szCs w:val="18"/>
          <w:color w:val="auto"/>
        </w:rPr>
        <w:t>. Any amendment hereto or waiver of any provision hereof may be made with, and only with, the written consent of the Maker</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Payee.</w:t>
      </w:r>
    </w:p>
    <w:p>
      <w:pPr>
        <w:spacing w:after="0" w:line="162" w:lineRule="exact"/>
        <w:rPr>
          <w:sz w:val="20"/>
          <w:szCs w:val="20"/>
          <w:color w:val="auto"/>
        </w:rPr>
      </w:pPr>
    </w:p>
    <w:p>
      <w:pPr>
        <w:ind w:right="320"/>
        <w:spacing w:after="0" w:line="347" w:lineRule="auto"/>
        <w:rPr>
          <w:sz w:val="20"/>
          <w:szCs w:val="20"/>
          <w:color w:val="auto"/>
        </w:rPr>
      </w:pPr>
      <w:r>
        <w:rPr>
          <w:rFonts w:ascii="Arial" w:cs="Arial" w:eastAsia="Arial" w:hAnsi="Arial"/>
          <w:sz w:val="16"/>
          <w:szCs w:val="16"/>
          <w:b w:val="1"/>
          <w:bCs w:val="1"/>
          <w:color w:val="auto"/>
        </w:rPr>
        <w:t>14</w:t>
      </w:r>
      <w:r>
        <w:rPr>
          <w:rFonts w:ascii="Arial" w:cs="Arial" w:eastAsia="Arial" w:hAnsi="Arial"/>
          <w:sz w:val="16"/>
          <w:szCs w:val="16"/>
          <w:color w:val="auto"/>
        </w:rPr>
        <w:t>.</w:t>
      </w:r>
      <w:r>
        <w:rPr>
          <w:rFonts w:ascii="Arial" w:cs="Arial" w:eastAsia="Arial" w:hAnsi="Arial"/>
          <w:sz w:val="16"/>
          <w:szCs w:val="16"/>
          <w:b w:val="1"/>
          <w:bCs w:val="1"/>
          <w:color w:val="auto"/>
        </w:rPr>
        <w:t xml:space="preserve"> Assignment</w:t>
      </w:r>
      <w:r>
        <w:rPr>
          <w:rFonts w:ascii="Arial" w:cs="Arial" w:eastAsia="Arial" w:hAnsi="Arial"/>
          <w:sz w:val="16"/>
          <w:szCs w:val="16"/>
          <w:color w:val="auto"/>
        </w:rPr>
        <w:t>. No assignment or transfer of this Note or any rights or obligations hereunder may be made by any party hereto (by operation of law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without the prior written consent of the other party hereto and any attempted assignment without the required consent shall be void.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2" w:name="page223"/>
    <w:bookmarkEnd w:id="222"/>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Maker, intending to be legally bound hereby, has caused this Note to be duly executed by the undersigned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day and year first above written.</w:t>
      </w:r>
    </w:p>
    <w:p>
      <w:pPr>
        <w:spacing w:after="0" w:line="38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BURTECH ACQUISITION CORP.</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Shahal Khan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04" w:right="519" w:bottom="1440" w:gutter="0" w:footer="0" w:header="0"/>
        </w:sectPr>
      </w:pPr>
    </w:p>
    <w:bookmarkStart w:id="223" w:name="page224"/>
    <w:bookmarkEnd w:id="223"/>
    <w:p>
      <w:pPr>
        <w:ind w:left="10260"/>
        <w:spacing w:after="0"/>
        <w:rPr>
          <w:sz w:val="20"/>
          <w:szCs w:val="20"/>
          <w:color w:val="auto"/>
        </w:rPr>
      </w:pPr>
      <w:r>
        <w:rPr>
          <w:rFonts w:ascii="Arial" w:cs="Arial" w:eastAsia="Arial" w:hAnsi="Arial"/>
          <w:sz w:val="17"/>
          <w:szCs w:val="17"/>
          <w:b w:val="1"/>
          <w:bCs w:val="1"/>
          <w:color w:val="auto"/>
        </w:rPr>
        <w:t>Exhibit 10.5</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7770 Norfolk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Bethesda, MD 20814</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21,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BurTech LP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7770 Norfolk Avnue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Bethesda, MD 20814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Securities Subscription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This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on May 21, 2021 by and between BurTech LP LLC, a Delaware limited liability company (the “</w:t>
      </w:r>
      <w:r>
        <w:rPr>
          <w:rFonts w:ascii="Arial" w:cs="Arial" w:eastAsia="Arial" w:hAnsi="Arial"/>
          <w:sz w:val="18"/>
          <w:szCs w:val="18"/>
          <w:b w:val="1"/>
          <w:bCs w:val="1"/>
          <w:color w:val="auto"/>
        </w:rPr>
        <w:t>Subscriber</w:t>
      </w:r>
      <w:r>
        <w:rPr>
          <w:rFonts w:ascii="Arial" w:cs="Arial" w:eastAsia="Arial" w:hAnsi="Arial"/>
          <w:sz w:val="18"/>
          <w:szCs w:val="18"/>
          <w:color w:val="auto"/>
        </w:rPr>
        <w:t>” or “</w:t>
      </w:r>
      <w:r>
        <w:rPr>
          <w:rFonts w:ascii="Arial" w:cs="Arial" w:eastAsia="Arial" w:hAnsi="Arial"/>
          <w:sz w:val="18"/>
          <w:szCs w:val="18"/>
          <w:b w:val="1"/>
          <w:bCs w:val="1"/>
          <w:color w:val="auto"/>
        </w:rPr>
        <w:t>you</w:t>
      </w:r>
      <w:r>
        <w:rPr>
          <w:rFonts w:ascii="Arial" w:cs="Arial" w:eastAsia="Arial" w:hAnsi="Arial"/>
          <w:sz w:val="18"/>
          <w:szCs w:val="18"/>
          <w:color w:val="auto"/>
        </w:rPr>
        <w:t>”), and BurTech Acquisition Corp.,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w:t>
      </w:r>
      <w:r>
        <w:rPr>
          <w:rFonts w:ascii="Arial" w:cs="Arial" w:eastAsia="Arial" w:hAnsi="Arial"/>
          <w:sz w:val="18"/>
          <w:szCs w:val="18"/>
          <w:b w:val="1"/>
          <w:bCs w:val="1"/>
          <w:color w:val="auto"/>
        </w:rPr>
        <w:t>we</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color w:val="auto"/>
        </w:rPr>
        <w:t>”). Pursuant to the terms hereof, the Company hereby accepts the offer the Subscriber has made to purchase 8,625,000 shares of Class B common stock, $0.0001 par value per share of the Company (the “</w:t>
      </w:r>
      <w:r>
        <w:rPr>
          <w:rFonts w:ascii="Arial" w:cs="Arial" w:eastAsia="Arial" w:hAnsi="Arial"/>
          <w:sz w:val="18"/>
          <w:szCs w:val="18"/>
          <w:b w:val="1"/>
          <w:bCs w:val="1"/>
          <w:color w:val="auto"/>
        </w:rPr>
        <w:t>Shares</w:t>
      </w:r>
      <w:r>
        <w:rPr>
          <w:rFonts w:ascii="Arial" w:cs="Arial" w:eastAsia="Arial" w:hAnsi="Arial"/>
          <w:sz w:val="18"/>
          <w:szCs w:val="18"/>
          <w:color w:val="auto"/>
        </w:rPr>
        <w:t>”), up to 1,125.000 of which are subject to forfeiture by you if the underwriters of the initial public offering (“</w:t>
      </w:r>
      <w:r>
        <w:rPr>
          <w:rFonts w:ascii="Arial" w:cs="Arial" w:eastAsia="Arial" w:hAnsi="Arial"/>
          <w:sz w:val="18"/>
          <w:szCs w:val="18"/>
          <w:b w:val="1"/>
          <w:bCs w:val="1"/>
          <w:color w:val="auto"/>
        </w:rPr>
        <w:t>IPO</w:t>
      </w:r>
      <w:r>
        <w:rPr>
          <w:rFonts w:ascii="Arial" w:cs="Arial" w:eastAsia="Arial" w:hAnsi="Arial"/>
          <w:sz w:val="18"/>
          <w:szCs w:val="18"/>
          <w:color w:val="auto"/>
        </w:rPr>
        <w:t>”) of units (“</w:t>
      </w:r>
      <w:r>
        <w:rPr>
          <w:rFonts w:ascii="Arial" w:cs="Arial" w:eastAsia="Arial" w:hAnsi="Arial"/>
          <w:sz w:val="18"/>
          <w:szCs w:val="18"/>
          <w:b w:val="1"/>
          <w:bCs w:val="1"/>
          <w:color w:val="auto"/>
        </w:rPr>
        <w:t>Units</w:t>
      </w:r>
      <w:r>
        <w:rPr>
          <w:rFonts w:ascii="Arial" w:cs="Arial" w:eastAsia="Arial" w:hAnsi="Arial"/>
          <w:sz w:val="18"/>
          <w:szCs w:val="18"/>
          <w:color w:val="auto"/>
        </w:rPr>
        <w:t>”) of the Company, do not fully exercise their over-allotment option (the “</w:t>
      </w:r>
      <w:r>
        <w:rPr>
          <w:rFonts w:ascii="Arial" w:cs="Arial" w:eastAsia="Arial" w:hAnsi="Arial"/>
          <w:sz w:val="18"/>
          <w:szCs w:val="18"/>
          <w:b w:val="1"/>
          <w:bCs w:val="1"/>
          <w:color w:val="auto"/>
        </w:rPr>
        <w:t>Over-allotment Option</w:t>
      </w:r>
      <w:r>
        <w:rPr>
          <w:rFonts w:ascii="Arial" w:cs="Arial" w:eastAsia="Arial" w:hAnsi="Arial"/>
          <w:sz w:val="18"/>
          <w:szCs w:val="18"/>
          <w:color w:val="auto"/>
        </w:rPr>
        <w:t>”). The Company and the Subscriber’s agreements regarding such Shares are as follows:</w:t>
      </w:r>
    </w:p>
    <w:p>
      <w:pPr>
        <w:spacing w:after="0" w:line="191" w:lineRule="exact"/>
        <w:rPr>
          <w:sz w:val="20"/>
          <w:szCs w:val="20"/>
          <w:color w:val="auto"/>
        </w:rPr>
      </w:pPr>
    </w:p>
    <w:p>
      <w:pPr>
        <w:ind w:left="180" w:hanging="172"/>
        <w:spacing w:after="0"/>
        <w:tabs>
          <w:tab w:leader="none" w:pos="18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Purchase of Securities.</w:t>
      </w:r>
    </w:p>
    <w:p>
      <w:pPr>
        <w:spacing w:after="0" w:line="221" w:lineRule="exact"/>
        <w:rPr>
          <w:sz w:val="20"/>
          <w:szCs w:val="20"/>
          <w:color w:val="auto"/>
        </w:rPr>
      </w:pPr>
    </w:p>
    <w:p>
      <w:pPr>
        <w:ind w:right="40" w:firstLine="324"/>
        <w:spacing w:after="0" w:line="303"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Purchase of Shares.</w:t>
      </w:r>
      <w:r>
        <w:rPr>
          <w:rFonts w:ascii="Arial" w:cs="Arial" w:eastAsia="Arial" w:hAnsi="Arial"/>
          <w:sz w:val="16"/>
          <w:szCs w:val="16"/>
          <w:color w:val="auto"/>
        </w:rPr>
        <w:t xml:space="preserve"> For the sum of $25,000 (the “</w:t>
      </w:r>
      <w:r>
        <w:rPr>
          <w:rFonts w:ascii="Arial" w:cs="Arial" w:eastAsia="Arial" w:hAnsi="Arial"/>
          <w:sz w:val="16"/>
          <w:szCs w:val="16"/>
          <w:b w:val="1"/>
          <w:bCs w:val="1"/>
          <w:color w:val="auto"/>
        </w:rPr>
        <w:t>Purchase Price</w:t>
      </w:r>
      <w:r>
        <w:rPr>
          <w:rFonts w:ascii="Arial" w:cs="Arial" w:eastAsia="Arial" w:hAnsi="Arial"/>
          <w:sz w:val="16"/>
          <w:szCs w:val="16"/>
          <w:color w:val="auto"/>
        </w:rPr>
        <w:t>”), which the Company acknowledges receiving in cash, the Company hereby issues the Shares to the Subscriber, and the Subscriber hereby purchases the Shares from the Company, subject to forfeiture, on the terms and subject to the conditions set forth in this Agreement. Concurrently with the Subscriber’s execution of this Agreement, the Company shall, at its option, deliver to the Subscriber a certificate registered in the Subscriber’s name representing the shares (the “</w:t>
      </w:r>
      <w:r>
        <w:rPr>
          <w:rFonts w:ascii="Arial" w:cs="Arial" w:eastAsia="Arial" w:hAnsi="Arial"/>
          <w:sz w:val="16"/>
          <w:szCs w:val="16"/>
          <w:b w:val="1"/>
          <w:bCs w:val="1"/>
          <w:color w:val="auto"/>
        </w:rPr>
        <w:t>Original Certificate</w:t>
      </w:r>
      <w:r>
        <w:rPr>
          <w:rFonts w:ascii="Arial" w:cs="Arial" w:eastAsia="Arial" w:hAnsi="Arial"/>
          <w:sz w:val="16"/>
          <w:szCs w:val="16"/>
          <w:color w:val="auto"/>
        </w:rPr>
        <w:t>”), or effect such delivery in book-entry form.</w:t>
      </w:r>
    </w:p>
    <w:p>
      <w:pPr>
        <w:spacing w:after="0" w:line="155" w:lineRule="exact"/>
        <w:rPr>
          <w:sz w:val="20"/>
          <w:szCs w:val="20"/>
          <w:color w:val="auto"/>
        </w:rPr>
      </w:pPr>
    </w:p>
    <w:p>
      <w:pPr>
        <w:ind w:left="180" w:hanging="172"/>
        <w:spacing w:after="0"/>
        <w:tabs>
          <w:tab w:leader="none" w:pos="18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Agreements.</w:t>
      </w:r>
    </w:p>
    <w:p>
      <w:pPr>
        <w:spacing w:after="0" w:line="22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Subscriber’s Representations, Warranties and Agreements.</w:t>
      </w:r>
      <w:r>
        <w:rPr>
          <w:rFonts w:ascii="Arial" w:cs="Arial" w:eastAsia="Arial" w:hAnsi="Arial"/>
          <w:sz w:val="18"/>
          <w:szCs w:val="18"/>
          <w:color w:val="auto"/>
        </w:rPr>
        <w:t xml:space="preserve"> To induce the Company to issue the Shares to the Subscriber, the Subscriber hereby represents and warrants to the Company and agrees with the Company as follows:</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No Government Recommendation or Approval.</w:t>
      </w:r>
      <w:r>
        <w:rPr>
          <w:rFonts w:ascii="Arial" w:cs="Arial" w:eastAsia="Arial" w:hAnsi="Arial"/>
          <w:sz w:val="18"/>
          <w:szCs w:val="18"/>
          <w:color w:val="auto"/>
        </w:rPr>
        <w:t xml:space="preserve"> The Subscriber understands that no federal or state agency has passed upon or made any recommendation or endorsement of the offering of the Shares.</w:t>
      </w:r>
    </w:p>
    <w:p>
      <w:pPr>
        <w:spacing w:after="0" w:line="170"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No Conflicts.</w:t>
      </w:r>
      <w:r>
        <w:rPr>
          <w:rFonts w:ascii="Arial" w:cs="Arial" w:eastAsia="Arial" w:hAnsi="Arial"/>
          <w:sz w:val="18"/>
          <w:szCs w:val="18"/>
          <w:color w:val="auto"/>
        </w:rPr>
        <w:t xml:space="preserve"> The execution, delivery and performance of this Agreement and the consummation by the Subscriber of the transactions contemplated hereby do not violate, conflict with or constitute a default under (i) the formation and governing documents of the Subscriber, (ii) any agreement, indenture or instrument to which the Subscriber is a party or (iii) any law, statute, rule or regulation to which the Subscriber is subject, or any agreement, order, judgment or decree to which the Subscriber is subject.</w:t>
      </w:r>
    </w:p>
    <w:p>
      <w:pPr>
        <w:spacing w:after="0" w:line="187"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Organization and Authority.</w:t>
      </w:r>
      <w:r>
        <w:rPr>
          <w:rFonts w:ascii="Arial" w:cs="Arial" w:eastAsia="Arial" w:hAnsi="Arial"/>
          <w:sz w:val="16"/>
          <w:szCs w:val="16"/>
          <w:color w:val="auto"/>
        </w:rPr>
        <w:t xml:space="preserve"> The Subscriber is a Delaware limited liability company, validly existing and in good standing under the laws of Delaware and possesses all requisite power and authority necessary to carry out the transactions contemplated by this Agreement. Upon execution and delivery by you, this Agreement is a legal, valid and binding agreement of Subscriber, enforceable against Subscriber in accordance with its terms, except as such enforceability may be limited by applicable bankruptcy, insolvency, fraudulent conveyance or similar laws affecting the enforcement of creditors’ rights generally and subject to general principles of equity (regardless of whether enforcement is sought in a proceeding at law or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4" w:name="page225"/>
    <w:bookmarkEnd w:id="224"/>
    <w:p>
      <w:pPr>
        <w:ind w:firstLine="648"/>
        <w:spacing w:after="0" w:line="272"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u w:val="single" w:color="auto"/>
          <w:color w:val="auto"/>
        </w:rPr>
        <w:t>Experience, Financial Capability and Suitability.</w:t>
      </w:r>
      <w:r>
        <w:rPr>
          <w:rFonts w:ascii="Arial" w:cs="Arial" w:eastAsia="Arial" w:hAnsi="Arial"/>
          <w:sz w:val="17"/>
          <w:szCs w:val="17"/>
          <w:color w:val="auto"/>
        </w:rPr>
        <w:t xml:space="preserve"> Subscriber is: (i) sophisticated in financial matters and is able to evaluate the risks and benefits of the investment in the Shares and (ii) able to bear the economic risk of its investment in the Shares for an indefinite period of time because the Shares have not been registered under the Securities Act (as defined below) and therefore cannot be sold unless subsequently registered under the Securities Act or an exemption from such registration is available. Subscriber is capable of evaluating the merits and risks of its investment in the Company and has the capacity to protect its own interests. Subscriber must bear the economic risk of this investment until the Shares are sold pursuant to: (i) an effective registration statement under the Securities Act or (ii) an exemption from registration available with respect to such sale. Subscriber is able to bear the economic risks of an investment in the Shares and to afford a complete loss of Subscriber’s investment in the Shares.</w:t>
      </w:r>
    </w:p>
    <w:p>
      <w:pPr>
        <w:spacing w:after="0" w:line="17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Access to Information; Independent Investigation.</w:t>
      </w:r>
      <w:r>
        <w:rPr>
          <w:rFonts w:ascii="Arial" w:cs="Arial" w:eastAsia="Arial" w:hAnsi="Arial"/>
          <w:sz w:val="18"/>
          <w:szCs w:val="18"/>
          <w:color w:val="auto"/>
        </w:rPr>
        <w:t xml:space="preserve"> Prior to the execution of this Agreement, the Subscriber has had the opportunity to ask questions of and receive answers from representatives of the Company concerning an investment in the Company, as well as the finances, operations, business and prospects of the Company, and the opportunity to obtain additional information to verify the accuracy of all information so obtained. In determining whether to make this investment, Subscriber has relied solely on Subscriber’s own knowledge and understanding of the Company and its business based upon Subscriber’s own due diligence investigation and the information furnished pursuant to this paragraph. Subscriber understands that no person has been authorized to give any information or to make any representations which were not furnished pursuant to this Section 2 and Subscriber has not relied on any other representations or information in making its investment decision, whether written or oral, relating to the Company, its operations and/or its prospects.</w:t>
      </w:r>
    </w:p>
    <w:p>
      <w:pPr>
        <w:spacing w:after="0" w:line="19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Regulation D Offering.</w:t>
      </w:r>
      <w:r>
        <w:rPr>
          <w:rFonts w:ascii="Arial" w:cs="Arial" w:eastAsia="Arial" w:hAnsi="Arial"/>
          <w:sz w:val="18"/>
          <w:szCs w:val="18"/>
          <w:color w:val="auto"/>
        </w:rPr>
        <w:t xml:space="preserve"> Subscriber represents that it is an “accredited investor” as such term is defined in Rule 501(a) of Regulation D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acknowledges the sale contemplated hereby is being made in reliance on a private placement exemption to “accredited investors” within the meaning of Section 501(a) of Regulation D under the Securities Act or similar exemptions under state law.</w:t>
      </w:r>
    </w:p>
    <w:p>
      <w:pPr>
        <w:spacing w:after="0" w:line="187"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 xml:space="preserve">2.1.7. </w:t>
      </w:r>
      <w:r>
        <w:rPr>
          <w:rFonts w:ascii="Arial" w:cs="Arial" w:eastAsia="Arial" w:hAnsi="Arial"/>
          <w:sz w:val="17"/>
          <w:szCs w:val="17"/>
          <w:u w:val="single" w:color="auto"/>
          <w:color w:val="auto"/>
        </w:rPr>
        <w:t>Investment Purposes.</w:t>
      </w:r>
      <w:r>
        <w:rPr>
          <w:rFonts w:ascii="Arial" w:cs="Arial" w:eastAsia="Arial" w:hAnsi="Arial"/>
          <w:sz w:val="17"/>
          <w:szCs w:val="17"/>
          <w:color w:val="auto"/>
        </w:rPr>
        <w:t xml:space="preserve"> The Subscriber is purchasing the Shares solely for investment purposes, for the Subscriber’s own account and not for the account or benefit of any other person, and not with a view towards the distribution or dissemination thereof. The Subscriber did not decide to enter into this Agreement as a result of any general solicitation or general advertising within the meaning of Rule 502 under the Securities Act.</w:t>
      </w:r>
    </w:p>
    <w:p>
      <w:pPr>
        <w:spacing w:after="0" w:line="165" w:lineRule="exact"/>
        <w:rPr>
          <w:sz w:val="20"/>
          <w:szCs w:val="20"/>
          <w:color w:val="auto"/>
        </w:rPr>
      </w:pPr>
    </w:p>
    <w:p>
      <w:pPr>
        <w:ind w:right="480" w:firstLine="648"/>
        <w:spacing w:after="0" w:line="291" w:lineRule="auto"/>
        <w:rPr>
          <w:sz w:val="20"/>
          <w:szCs w:val="20"/>
          <w:color w:val="auto"/>
        </w:rPr>
      </w:pPr>
      <w:r>
        <w:rPr>
          <w:rFonts w:ascii="Arial" w:cs="Arial" w:eastAsia="Arial" w:hAnsi="Arial"/>
          <w:sz w:val="16"/>
          <w:szCs w:val="16"/>
          <w:color w:val="auto"/>
        </w:rPr>
        <w:t xml:space="preserve">2.1.8. </w:t>
      </w:r>
      <w:r>
        <w:rPr>
          <w:rFonts w:ascii="Arial" w:cs="Arial" w:eastAsia="Arial" w:hAnsi="Arial"/>
          <w:sz w:val="16"/>
          <w:szCs w:val="16"/>
          <w:u w:val="single" w:color="auto"/>
          <w:color w:val="auto"/>
        </w:rPr>
        <w:t>Restrictions on Transfer; Shell Company.</w:t>
      </w:r>
      <w:r>
        <w:rPr>
          <w:rFonts w:ascii="Arial" w:cs="Arial" w:eastAsia="Arial" w:hAnsi="Arial"/>
          <w:sz w:val="16"/>
          <w:szCs w:val="16"/>
          <w:color w:val="auto"/>
        </w:rPr>
        <w:t xml:space="preserve"> Subscriber understands the Shares are being offered in a transaction not involving a public offering within the meaning of the Securities Act. Subscriber understands the Shares will be “restricted securities” within the meaning of Rule 144(a)</w:t>
      </w:r>
    </w:p>
    <w:p>
      <w:pPr>
        <w:ind w:firstLine="8"/>
        <w:spacing w:after="0" w:line="268" w:lineRule="auto"/>
        <w:tabs>
          <w:tab w:leader="none" w:pos="255" w:val="left"/>
        </w:tabs>
        <w:numPr>
          <w:ilvl w:val="0"/>
          <w:numId w:val="129"/>
        </w:numPr>
        <w:rPr>
          <w:rFonts w:ascii="Arial" w:cs="Arial" w:eastAsia="Arial" w:hAnsi="Arial"/>
          <w:sz w:val="17"/>
          <w:szCs w:val="17"/>
          <w:color w:val="auto"/>
        </w:rPr>
      </w:pPr>
      <w:r>
        <w:rPr>
          <w:rFonts w:ascii="Arial" w:cs="Arial" w:eastAsia="Arial" w:hAnsi="Arial"/>
          <w:sz w:val="17"/>
          <w:szCs w:val="17"/>
          <w:color w:val="auto"/>
        </w:rPr>
        <w:t>under the Securities Act, and Subscriber understands that the certificates or book-entries representing the Shares will contain a legend in respect of such restrictions. If in the future the Subscriber decides to offer, resell, pledge or otherwise transfer the Shares, such Shares may be offered, resold, pledged or otherwise transferred only pursuant to: (i) registration under the Securities Act, or (ii) an available exemption from registration. Subscriber agrees that if any transfer of its Shares or any interest therein is proposed to be made, as a condition precedent to any such transfer, Subscriber may be required to deliver to the Company an opinion of counsel satisfactory to the Company. Absent registration or an exemption, the Subscriber agrees not to resell the Shares. Subscriber further acknowledges that because the Company is a shell company, Rule 144 may not be available to the Subscriber for the resale of the Shares until one year following consummation of the initial business combination of the Company, despite technical compliance with the requirements of Rule 144 and the release or waiver of any contractual transfer restrictions.</w:t>
      </w:r>
    </w:p>
    <w:p>
      <w:pPr>
        <w:spacing w:after="0" w:line="183"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u w:val="single" w:color="auto"/>
          <w:color w:val="auto"/>
        </w:rPr>
        <w:t>No Governmental Consents.</w:t>
      </w:r>
      <w:r>
        <w:rPr>
          <w:rFonts w:ascii="Arial" w:cs="Arial" w:eastAsia="Arial" w:hAnsi="Arial"/>
          <w:sz w:val="18"/>
          <w:szCs w:val="18"/>
          <w:color w:val="auto"/>
        </w:rPr>
        <w:t xml:space="preserve"> No governmental, administrative or other third party consents or approvals are required, necessary or appropriate on the part of Subscriber in connection with the transactions contemplated by this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5" w:name="page226"/>
    <w:bookmarkEnd w:id="225"/>
    <w:p>
      <w:pPr>
        <w:ind w:right="240" w:firstLine="324"/>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Company’s Representations, Warranties and Agreements.</w:t>
      </w:r>
      <w:r>
        <w:rPr>
          <w:rFonts w:ascii="Arial" w:cs="Arial" w:eastAsia="Arial" w:hAnsi="Arial"/>
          <w:sz w:val="18"/>
          <w:szCs w:val="18"/>
          <w:color w:val="auto"/>
        </w:rPr>
        <w:t xml:space="preserve"> To induce the Subscriber to purchase the Shares, the Company hereby represents and warrants to the Subscriber and agrees with the Subscriber as follows:</w:t>
      </w:r>
    </w:p>
    <w:p>
      <w:pPr>
        <w:spacing w:after="0" w:line="170"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Organization and Corporate Power.</w:t>
      </w:r>
      <w:r>
        <w:rPr>
          <w:rFonts w:ascii="Arial" w:cs="Arial" w:eastAsia="Arial" w:hAnsi="Arial"/>
          <w:sz w:val="16"/>
          <w:szCs w:val="16"/>
          <w:color w:val="auto"/>
        </w:rPr>
        <w:t xml:space="preserve"> The Company is a Delaware corporation and is qualified to do business in every jurisdiction in which the failure to so qualify would reasonably be expected to have a material adverse effect on the financial condition, operating results or assets of the Company. The Company possesses all requisite corporate power and authority necessary to carry out the transactions contemplated by this Agreement.</w:t>
      </w:r>
    </w:p>
    <w:p>
      <w:pPr>
        <w:spacing w:after="0" w:line="149"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No Conflicts.</w:t>
      </w:r>
      <w:r>
        <w:rPr>
          <w:rFonts w:ascii="Arial" w:cs="Arial" w:eastAsia="Arial" w:hAnsi="Arial"/>
          <w:sz w:val="18"/>
          <w:szCs w:val="18"/>
          <w:color w:val="auto"/>
        </w:rPr>
        <w:t xml:space="preserve"> The execution, delivery and performance of this Agreement and the consummation by the Company of the transactions contemplated hereby do not violate, conflict with or constitute a default under (i) the Certificate of Incorporation or By Laws of the Company, (ii) any agreement, indenture or instrument to which the Company is a party or (iii) any law, statute, rule or regulation to which the Company is subject, or any agreement, order, judgment or decree to which the Company is subject.</w:t>
      </w:r>
    </w:p>
    <w:p>
      <w:pPr>
        <w:spacing w:after="0" w:line="187"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6"/>
          <w:szCs w:val="16"/>
          <w:color w:val="auto"/>
        </w:rPr>
        <w:t xml:space="preserve">2.2.3. </w:t>
      </w:r>
      <w:r>
        <w:rPr>
          <w:rFonts w:ascii="Arial" w:cs="Arial" w:eastAsia="Arial" w:hAnsi="Arial"/>
          <w:sz w:val="16"/>
          <w:szCs w:val="16"/>
          <w:u w:val="single" w:color="auto"/>
          <w:color w:val="auto"/>
        </w:rPr>
        <w:t>Title to Securities.</w:t>
      </w:r>
      <w:r>
        <w:rPr>
          <w:rFonts w:ascii="Arial" w:cs="Arial" w:eastAsia="Arial" w:hAnsi="Arial"/>
          <w:sz w:val="16"/>
          <w:szCs w:val="16"/>
          <w:color w:val="auto"/>
        </w:rPr>
        <w:t xml:space="preserve"> Upon issuance in accordance with, and payment pursuant to, the terms hereof, the Shares will be duly and validly issued, fully paid and non-assessable. Upon issuance in accordance with, and payment pursuant to, the terms hereof, the Subscriber will have or receive good title to the Shares, free and clear of all liens, claims and encumbrances of any kind, other than (a) transfer restrictions hereunder and other agreements to which the Shares may be subject which have been notified to the Subscriber in writing, (b) transfer restrictions under federal and state securities laws,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 liens, claims or encumbrances imposed due to the actions of the Subscriber.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No Adverse Actions.</w:t>
      </w:r>
      <w:r>
        <w:rPr>
          <w:rFonts w:ascii="Arial" w:cs="Arial" w:eastAsia="Arial" w:hAnsi="Arial"/>
          <w:sz w:val="16"/>
          <w:szCs w:val="16"/>
          <w:color w:val="auto"/>
        </w:rPr>
        <w:t xml:space="preserve"> There are no actions, suits, investigations or proceedings pending, threatened against or affecting the Company which:</w:t>
      </w:r>
    </w:p>
    <w:p>
      <w:pPr>
        <w:spacing w:after="0" w:line="46" w:lineRule="exact"/>
        <w:rPr>
          <w:sz w:val="20"/>
          <w:szCs w:val="20"/>
          <w:color w:val="auto"/>
        </w:rPr>
      </w:pPr>
    </w:p>
    <w:p>
      <w:pPr>
        <w:ind w:right="80" w:firstLine="8"/>
        <w:spacing w:after="0" w:line="260" w:lineRule="auto"/>
        <w:tabs>
          <w:tab w:leader="none" w:pos="21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seek to restrain, enjoin, prevent the consummation of or otherwise affect the transactions contemplated by this Agreement or (ii) question the validity or legality of any transactions or seeks to recover damages or to obtain other relief in connection with any transactions.</w:t>
      </w:r>
    </w:p>
    <w:p>
      <w:pPr>
        <w:spacing w:after="0" w:line="185" w:lineRule="exact"/>
        <w:rPr>
          <w:sz w:val="20"/>
          <w:szCs w:val="20"/>
          <w:color w:val="auto"/>
        </w:rPr>
      </w:pPr>
    </w:p>
    <w:p>
      <w:pPr>
        <w:ind w:left="180" w:hanging="172"/>
        <w:spacing w:after="0"/>
        <w:tabs>
          <w:tab w:leader="none" w:pos="18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Forfeiture of Shares.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Partial or No Exercise of the Over-allotment Option.</w:t>
      </w:r>
      <w:r>
        <w:rPr>
          <w:rFonts w:ascii="Arial" w:cs="Arial" w:eastAsia="Arial" w:hAnsi="Arial"/>
          <w:sz w:val="18"/>
          <w:szCs w:val="18"/>
          <w:color w:val="auto"/>
        </w:rPr>
        <w:t xml:space="preserve"> In the event the Over-allotment Option granted to the underwriters of the IPO is not exercised in full, the Subscriber acknowledges and agrees that it (or, if applicable, it and any transferees of Shares) shall forfeit any and all rights to such number of Shares (up to an aggregate of 937,500 Shares and pro rata based upon the percentage of the Over-allotment Option exercised) such that immediately following such forfeiture, the Subscriber (and all other initial stockholders prior to the IPO, if any) will own an aggregate number of Shares, not including Shares issuable upon exercise of any warrants or any common stock of the Company purchased by Subscriber in the IPO or in the aftermarket equal to 20% of the issued and outstanding Shares immediately following the IPO.</w:t>
      </w:r>
    </w:p>
    <w:p>
      <w:pPr>
        <w:spacing w:after="0" w:line="192"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Termination of Rights as Stockholder.</w:t>
      </w:r>
      <w:r>
        <w:rPr>
          <w:rFonts w:ascii="Arial" w:cs="Arial" w:eastAsia="Arial" w:hAnsi="Arial"/>
          <w:sz w:val="18"/>
          <w:szCs w:val="18"/>
          <w:color w:val="auto"/>
        </w:rPr>
        <w:t xml:space="preserve"> If any of the Shares are forfeited in accordance with this Section 3, then after such time the Subscriber (or successor in interest), shall no longer have any rights as a holder of such forfeited Shares, and the Company shall take such action as is appropriate to cancel such forfeited Shares.</w:t>
      </w:r>
    </w:p>
    <w:p>
      <w:pPr>
        <w:spacing w:after="0" w:line="184"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Share Certificates.</w:t>
      </w:r>
      <w:r>
        <w:rPr>
          <w:rFonts w:ascii="Arial" w:cs="Arial" w:eastAsia="Arial" w:hAnsi="Arial"/>
          <w:sz w:val="17"/>
          <w:szCs w:val="17"/>
          <w:color w:val="auto"/>
        </w:rPr>
        <w:t xml:space="preserve"> </w:t>
      </w:r>
      <w:r>
        <w:rPr>
          <w:rFonts w:ascii="Arial" w:cs="Arial" w:eastAsia="Arial" w:hAnsi="Arial"/>
          <w:sz w:val="17"/>
          <w:szCs w:val="17"/>
          <w:color w:val="auto"/>
          <w:highlight w:val="white"/>
        </w:rPr>
        <w:t>In the event an adjustment to the Original Certificates, if any, is required pursuant to this Section 3, then the Subscriber shall</w:t>
      </w:r>
      <w:r>
        <w:rPr>
          <w:rFonts w:ascii="Arial" w:cs="Arial" w:eastAsia="Arial" w:hAnsi="Arial"/>
          <w:sz w:val="17"/>
          <w:szCs w:val="17"/>
          <w:color w:val="auto"/>
        </w:rPr>
        <w:t xml:space="preserve"> return such Original Certificates to the Company or its designated agent as soon as practicable upon its receipt of notice from the Company advising Subscriber of such adjustment, following which a new certificate (the “</w:t>
      </w:r>
      <w:r>
        <w:rPr>
          <w:rFonts w:ascii="Arial" w:cs="Arial" w:eastAsia="Arial" w:hAnsi="Arial"/>
          <w:sz w:val="17"/>
          <w:szCs w:val="17"/>
          <w:b w:val="1"/>
          <w:bCs w:val="1"/>
          <w:color w:val="auto"/>
        </w:rPr>
        <w:t>New Certificate</w:t>
      </w:r>
      <w:r>
        <w:rPr>
          <w:rFonts w:ascii="Arial" w:cs="Arial" w:eastAsia="Arial" w:hAnsi="Arial"/>
          <w:sz w:val="17"/>
          <w:szCs w:val="17"/>
          <w:color w:val="auto"/>
        </w:rPr>
        <w:t>”), if any, shall be issued in such amount representing the adjusted number of Shares held by the Subscriber. The New Certificate, if any, shall be returned to the Subscriber as soon as practicable. Any such adjustment for any uncertificated securities held by the Subscriber shall be made in book-entry form.</w:t>
      </w:r>
    </w:p>
    <w:p>
      <w:pPr>
        <w:spacing w:after="0" w:line="176" w:lineRule="exact"/>
        <w:rPr>
          <w:sz w:val="20"/>
          <w:szCs w:val="20"/>
          <w:color w:val="auto"/>
        </w:rPr>
      </w:pPr>
    </w:p>
    <w:p>
      <w:pPr>
        <w:ind w:firstLine="8"/>
        <w:spacing w:after="0" w:line="254" w:lineRule="auto"/>
        <w:tabs>
          <w:tab w:leader="none" w:pos="18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Waiver of Liquidation Distributions; Redemption Rights.</w:t>
      </w:r>
      <w:r>
        <w:rPr>
          <w:rFonts w:ascii="Arial" w:cs="Arial" w:eastAsia="Arial" w:hAnsi="Arial"/>
          <w:sz w:val="18"/>
          <w:szCs w:val="18"/>
          <w:color w:val="auto"/>
        </w:rPr>
        <w:t xml:space="preserve"> In connection with the Shares purchased pursuant to this Agreement, the Subscriber hereby waives any and all right, title, interest or claim of any kind in or to any distributions by the Company from the trust account which will be established for the benefit of the Company’s public stockholders and into which substantially all of the proceeds of the IPO will be deposited (the “</w:t>
      </w:r>
      <w:r>
        <w:rPr>
          <w:rFonts w:ascii="Arial" w:cs="Arial" w:eastAsia="Arial" w:hAnsi="Arial"/>
          <w:sz w:val="18"/>
          <w:szCs w:val="18"/>
          <w:b w:val="1"/>
          <w:bCs w:val="1"/>
          <w:color w:val="auto"/>
        </w:rPr>
        <w:t>Trust Account</w:t>
      </w:r>
      <w:r>
        <w:rPr>
          <w:rFonts w:ascii="Arial" w:cs="Arial" w:eastAsia="Arial" w:hAnsi="Arial"/>
          <w:sz w:val="18"/>
          <w:szCs w:val="18"/>
          <w:color w:val="auto"/>
        </w:rPr>
        <w:t>”), in the event of a liquidation of the Company upon the Company’s failure to timely complete an initial business combination. For purposes of clarity, in the event the Subscriber purchases Shares in the IPO or in the aftermarket, any additional Shares so purchased shall be eligible to receive any liquidating distributions by the Company. However, in no event will the Subscriber have the right to redeem any Shares into funds held in the Trust Account upon the successful completion of an initial business combination.</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6" w:name="page227"/>
    <w:bookmarkEnd w:id="226"/>
    <w:p>
      <w:pPr>
        <w:ind w:left="180" w:hanging="172"/>
        <w:spacing w:after="0"/>
        <w:tabs>
          <w:tab w:leader="none" w:pos="18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p>
    <w:p>
      <w:pPr>
        <w:spacing w:after="0" w:line="221" w:lineRule="exact"/>
        <w:rPr>
          <w:sz w:val="20"/>
          <w:szCs w:val="20"/>
          <w:color w:val="auto"/>
        </w:rPr>
      </w:pPr>
    </w:p>
    <w:p>
      <w:pPr>
        <w:ind w:right="120" w:firstLine="324"/>
        <w:spacing w:after="0" w:line="294"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Securities Law Restrictions.</w:t>
      </w:r>
      <w:r>
        <w:rPr>
          <w:rFonts w:ascii="Arial" w:cs="Arial" w:eastAsia="Arial" w:hAnsi="Arial"/>
          <w:sz w:val="16"/>
          <w:szCs w:val="16"/>
          <w:color w:val="auto"/>
        </w:rPr>
        <w:t xml:space="preserve"> In addition to any restrictions to be contained in that certain letter agreement (commonly known as an “</w:t>
      </w:r>
      <w:r>
        <w:rPr>
          <w:rFonts w:ascii="Arial" w:cs="Arial" w:eastAsia="Arial" w:hAnsi="Arial"/>
          <w:sz w:val="16"/>
          <w:szCs w:val="16"/>
          <w:b w:val="1"/>
          <w:bCs w:val="1"/>
          <w:color w:val="auto"/>
        </w:rPr>
        <w:t>Insider</w:t>
      </w:r>
      <w:r>
        <w:rPr>
          <w:rFonts w:ascii="Arial" w:cs="Arial" w:eastAsia="Arial" w:hAnsi="Arial"/>
          <w:sz w:val="16"/>
          <w:szCs w:val="16"/>
          <w:color w:val="auto"/>
        </w:rPr>
        <w:t xml:space="preserve"> </w:t>
      </w:r>
      <w:r>
        <w:rPr>
          <w:rFonts w:ascii="Arial" w:cs="Arial" w:eastAsia="Arial" w:hAnsi="Arial"/>
          <w:sz w:val="16"/>
          <w:szCs w:val="16"/>
          <w:b w:val="1"/>
          <w:bCs w:val="1"/>
          <w:color w:val="auto"/>
        </w:rPr>
        <w:t>Letter</w:t>
      </w:r>
      <w:r>
        <w:rPr>
          <w:rFonts w:ascii="Arial" w:cs="Arial" w:eastAsia="Arial" w:hAnsi="Arial"/>
          <w:sz w:val="16"/>
          <w:szCs w:val="16"/>
          <w:color w:val="auto"/>
        </w:rPr>
        <w:t>”) to be dated as of the closing of the IPO by and between Subscriber and the Company, Subscriber agrees not to sell, transfer, pledge, hypothecate</w:t>
      </w:r>
      <w:r>
        <w:rPr>
          <w:rFonts w:ascii="Arial" w:cs="Arial" w:eastAsia="Arial" w:hAnsi="Arial"/>
          <w:sz w:val="16"/>
          <w:szCs w:val="16"/>
          <w:b w:val="1"/>
          <w:bCs w:val="1"/>
          <w:color w:val="auto"/>
        </w:rPr>
        <w:t xml:space="preserve"> </w:t>
      </w:r>
      <w:r>
        <w:rPr>
          <w:rFonts w:ascii="Arial" w:cs="Arial" w:eastAsia="Arial" w:hAnsi="Arial"/>
          <w:sz w:val="16"/>
          <w:szCs w:val="16"/>
          <w:color w:val="auto"/>
        </w:rPr>
        <w:t>or otherwise dispose of all or any part of the Shares unless, prior thereto (a) a registration statement on the appropriate form under the Securities Act and applicable state securities laws with respect to the Shares proposed to be transferred shall then be effective or (b) the Company has received an opinion from counsel reasonably satisfactory to the Company, that such registration is not required because such transaction is exempt from registration under the Securities Act and the rules promulgated by the Securities and Exchange Commission thereunder and with all applicable state securities laws.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Lock-up</w:t>
      </w:r>
      <w:r>
        <w:rPr>
          <w:rFonts w:ascii="Arial" w:cs="Arial" w:eastAsia="Arial" w:hAnsi="Arial"/>
          <w:sz w:val="17"/>
          <w:szCs w:val="17"/>
          <w:color w:val="auto"/>
          <w:highlight w:val="white"/>
        </w:rPr>
        <w:t>. Subscriber acknowledges that the Securities will be subject to lock-up provisions (the “</w:t>
      </w:r>
      <w:r>
        <w:rPr>
          <w:rFonts w:ascii="Arial" w:cs="Arial" w:eastAsia="Arial" w:hAnsi="Arial"/>
          <w:sz w:val="17"/>
          <w:szCs w:val="17"/>
          <w:b w:val="1"/>
          <w:bCs w:val="1"/>
          <w:color w:val="auto"/>
          <w:highlight w:val="white"/>
        </w:rPr>
        <w:t>Lock-up</w:t>
      </w:r>
      <w:r>
        <w:rPr>
          <w:rFonts w:ascii="Arial" w:cs="Arial" w:eastAsia="Arial" w:hAnsi="Arial"/>
          <w:sz w:val="17"/>
          <w:szCs w:val="17"/>
          <w:color w:val="auto"/>
          <w:highlight w:val="white"/>
        </w:rPr>
        <w:t>”) contained in the Insider Letter.</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Restrictive Legends.</w:t>
      </w:r>
      <w:r>
        <w:rPr>
          <w:rFonts w:ascii="Arial" w:cs="Arial" w:eastAsia="Arial" w:hAnsi="Arial"/>
          <w:sz w:val="18"/>
          <w:szCs w:val="18"/>
          <w:color w:val="auto"/>
        </w:rPr>
        <w:t xml:space="preserve"> Any certificates representing the Shares shall have endorsed thereon legends substantially as follows: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SECURITIES REPRESENTED HEREBY HAVE NOT BEEN REGISTERED UNDER THE SECURITIES ACT OF 1933, AS AMENDED, OR ANY STATE SECURITIES LAWS AND NEITHER THE SECURITIES NOR ANY INTEREST THEREIN MAY BE OFFERED, SOLD, TRANSFERRED, PLEDGED OR OTHERWISE DISPOSED OF EXCEPT PURSUANT TO AN EFFECTIVE REGISTRATION STATEMENT UNDER SUCH ACT OR SUCH LAWS OR AN EXEMPTION FROM REGISTRATION UNDER SUCH ACT AND SUCH LAWS WHICH, IN THE OPINION OF COUNSEL, IS AVAILABLE.”</w:t>
      </w:r>
    </w:p>
    <w:p>
      <w:pPr>
        <w:spacing w:after="0" w:line="188"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“THE SECURITIES REPRESENTED BY THIS CERTIFICATE ARE SUBJECT TO A LOCKUP AND MAY NOT BE OFFERED, SOLD, TRANSFERRED, PLEDGED OR OTHERWISE DISPOSED DURING THE TERM OF THE LOCKUP.”</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Additional Shares or Substituted Securities.</w:t>
      </w:r>
      <w:r>
        <w:rPr>
          <w:rFonts w:ascii="Arial" w:cs="Arial" w:eastAsia="Arial" w:hAnsi="Arial"/>
          <w:sz w:val="18"/>
          <w:szCs w:val="18"/>
          <w:color w:val="auto"/>
        </w:rPr>
        <w:t xml:space="preserve"> In the event of the declaration of a share dividend, the declaration of an extraordinary dividend payable in a form other than Shares, a spin-off, a share split, an adjustment in conversion ratio, a recapitalization or a similar transaction affecting the Company’s outstanding Shares without receipt of consideration, any new, substituted or additional securities or other property which are by reason of such transaction distributed with respect to any Shares subject to this Section 5 or into which such Shares thereby become convertible shall immediately be subject to this Section 5 and Section 3. Appropriate adjustments to reflect the distribution of such securities or property shall be made to the number and/or class of Shares subject to this Section 5 and Section 3.</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Registration Rights.</w:t>
      </w:r>
      <w:r>
        <w:rPr>
          <w:rFonts w:ascii="Arial" w:cs="Arial" w:eastAsia="Arial" w:hAnsi="Arial"/>
          <w:sz w:val="18"/>
          <w:szCs w:val="18"/>
          <w:color w:val="auto"/>
        </w:rPr>
        <w:t xml:space="preserve"> Subscriber acknowledges that the Shares are being purchased pursuant to an exemption from the registration requirements of the Securities Act and will become freely tradable only after certain conditions are met or they are registered pursuant to a registration rights agreement to be entered into with the Company prior to the closing of the IPO.</w:t>
      </w:r>
    </w:p>
    <w:p>
      <w:pPr>
        <w:spacing w:after="0" w:line="184" w:lineRule="exact"/>
        <w:rPr>
          <w:sz w:val="20"/>
          <w:szCs w:val="20"/>
          <w:color w:val="auto"/>
        </w:rPr>
      </w:pPr>
    </w:p>
    <w:p>
      <w:pPr>
        <w:ind w:left="180" w:hanging="172"/>
        <w:spacing w:after="0"/>
        <w:tabs>
          <w:tab w:leader="none" w:pos="18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Other Agreements.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Further Assurances.</w:t>
      </w:r>
      <w:r>
        <w:rPr>
          <w:rFonts w:ascii="Arial" w:cs="Arial" w:eastAsia="Arial" w:hAnsi="Arial"/>
          <w:sz w:val="18"/>
          <w:szCs w:val="18"/>
          <w:color w:val="auto"/>
        </w:rPr>
        <w:t xml:space="preserve"> Subscriber agrees to execute such further instruments and to take such further action as may reasonably be necessary to carry out the intent of this Agreement.</w:t>
      </w:r>
    </w:p>
    <w:p>
      <w:pPr>
        <w:spacing w:after="0" w:line="170"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All notices, statements or other documents which are required or contemplated by this Agreement shall be: (i) in writing and delivered personally or sent by first class registered or certified mail, overnight courier service or facsimile or electronic transmission to the address designated in writing, (ii) by facsimile to the number most recently provided to such party or such other address or fax number as may be designated in writing by such party and (iii) by electronic mail, to the electronic mail address most recently provided to such party or such other electronic mail address as may be designated in writing by such party. Any notice or other communication so transmitted shall be deemed to have been given on the day of delivery, if delivered personally, on the business day following receipt of written confirmation, if sent by facsimile or electronic transmission, one (1) business day after delivery to an overnight courier service or five (5) days after mailing if sent by mail.</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227" w:name="page228"/>
    <w:bookmarkEnd w:id="227"/>
    <w:p>
      <w:pPr>
        <w:ind w:right="160" w:firstLine="324"/>
        <w:spacing w:after="0" w:line="296"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Entire Agreement.</w:t>
      </w:r>
      <w:r>
        <w:rPr>
          <w:rFonts w:ascii="Arial" w:cs="Arial" w:eastAsia="Arial" w:hAnsi="Arial"/>
          <w:sz w:val="16"/>
          <w:szCs w:val="16"/>
          <w:color w:val="auto"/>
        </w:rPr>
        <w:t xml:space="preserve"> This Agreement, together with the Insider Letter and the Registration Rights Agreement, each substantially in the form to be filed as an exhibit to the Registration Statement on Form S-1 associated with the Company’s IPO, embodies the entire agreement and understanding between the Subscriber and the Company with respect to the subject matter hereof and supersedes all prior oral or written agreements and understandings relating to the subject matter hereof. No statement, representation, warranty, covenant or agreement of any kind not expressly set forth in this Agreement shall affect, or be used to interpret, change or restrict, the express terms and provisions of this Agreement.</w:t>
      </w:r>
    </w:p>
    <w:p>
      <w:pPr>
        <w:spacing w:after="0" w:line="16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Modifications and Amendments.</w:t>
      </w:r>
      <w:r>
        <w:rPr>
          <w:rFonts w:ascii="Arial" w:cs="Arial" w:eastAsia="Arial" w:hAnsi="Arial"/>
          <w:sz w:val="18"/>
          <w:szCs w:val="18"/>
          <w:color w:val="auto"/>
        </w:rPr>
        <w:t xml:space="preserve"> The terms and provisions of this Agreement may be modified or amended only by written agreement executed by all parties hereto.</w:t>
      </w:r>
    </w:p>
    <w:p>
      <w:pPr>
        <w:spacing w:after="0" w:line="170"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Waivers and Consents.</w:t>
      </w:r>
      <w:r>
        <w:rPr>
          <w:rFonts w:ascii="Arial" w:cs="Arial" w:eastAsia="Arial" w:hAnsi="Arial"/>
          <w:sz w:val="16"/>
          <w:szCs w:val="16"/>
          <w:color w:val="auto"/>
        </w:rPr>
        <w:t xml:space="preserve"> The terms and provisions of this Agreement may be waived, or consent for the departure therefrom granted, only by a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5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The rights and obligations under this Agreement may not be assigned by either party hereto without the prior written consent of the other party.</w:t>
      </w:r>
    </w:p>
    <w:p>
      <w:pPr>
        <w:spacing w:after="0" w:line="170"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Benefit.</w:t>
      </w:r>
      <w:r>
        <w:rPr>
          <w:rFonts w:ascii="Arial" w:cs="Arial" w:eastAsia="Arial" w:hAnsi="Arial"/>
          <w:sz w:val="16"/>
          <w:szCs w:val="16"/>
          <w:color w:val="auto"/>
        </w:rPr>
        <w:t xml:space="preserve"> All statements, representations, warranties, covenants and agreements in this Agreement shall be binding on the parties hereto and shall inure to the benefit of the respective successors and permitted assigns of each party hereto. Nothing in this Agreement shall be construed to create any rights or obligations except among the parties hereto, and no person or entity shall be regarded as a third-party beneficiary of this Agreement.</w:t>
      </w:r>
    </w:p>
    <w:p>
      <w:pPr>
        <w:spacing w:after="0" w:line="149"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Agreement and the rights and obligations of the parties hereunder shall be construed in accordance with and governed by the laws of New York applicable to contracts wholly performed within the borders of such state, without giving effect to the conflict of law principles thereof.</w:t>
      </w:r>
    </w:p>
    <w:p>
      <w:pPr>
        <w:spacing w:after="0" w:line="184" w:lineRule="exact"/>
        <w:rPr>
          <w:sz w:val="20"/>
          <w:szCs w:val="20"/>
          <w:color w:val="auto"/>
        </w:rPr>
      </w:pPr>
    </w:p>
    <w:p>
      <w:pPr>
        <w:ind w:right="300" w:firstLine="324"/>
        <w:spacing w:after="0" w:line="279" w:lineRule="auto"/>
        <w:rPr>
          <w:sz w:val="20"/>
          <w:szCs w:val="20"/>
          <w:color w:val="auto"/>
        </w:rPr>
      </w:pPr>
      <w:r>
        <w:rPr>
          <w:rFonts w:ascii="Arial" w:cs="Arial" w:eastAsia="Arial" w:hAnsi="Arial"/>
          <w:sz w:val="17"/>
          <w:szCs w:val="17"/>
          <w:color w:val="auto"/>
        </w:rPr>
        <w:t xml:space="preserve">6.9. </w:t>
      </w:r>
      <w:r>
        <w:rPr>
          <w:rFonts w:ascii="Arial" w:cs="Arial" w:eastAsia="Arial" w:hAnsi="Arial"/>
          <w:sz w:val="17"/>
          <w:szCs w:val="17"/>
          <w:u w:val="single" w:color="auto"/>
          <w:color w:val="auto"/>
        </w:rPr>
        <w:t>Severability.</w:t>
      </w:r>
      <w:r>
        <w:rPr>
          <w:rFonts w:ascii="Arial" w:cs="Arial" w:eastAsia="Arial" w:hAnsi="Arial"/>
          <w:sz w:val="17"/>
          <w:szCs w:val="17"/>
          <w:color w:val="auto"/>
        </w:rPr>
        <w:t xml:space="preserve"> In the event that any court of competent jurisdiction shall determine that any provision, or any portion thereof, contained in this Agreement shall be unreasonable or unenforceable in any respect, then such provision shall be deemed limited to the extent that such court deems it reasonable and enforceable, and as so limited shall remain in full force and effect. In the event that such court shall deem any such provision, or portion thereof, wholly unenforceable, the remaining provisions of this Agreement shall nevertheless remain in full force and effect.</w:t>
      </w:r>
    </w:p>
    <w:p>
      <w:pPr>
        <w:spacing w:after="0" w:line="171"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u w:val="single" w:color="auto"/>
          <w:color w:val="auto"/>
        </w:rPr>
        <w:t>No Waiver of Rights, Powers and Remedies.</w:t>
      </w:r>
      <w:r>
        <w:rPr>
          <w:rFonts w:ascii="Arial" w:cs="Arial" w:eastAsia="Arial" w:hAnsi="Arial"/>
          <w:sz w:val="17"/>
          <w:szCs w:val="17"/>
          <w:color w:val="auto"/>
        </w:rPr>
        <w:t xml:space="preserve"> No failure or delay by a party hereto in exercising any right, power or remedy under this Agreement, and no course of dealing between the parties hereto, shall operate as a waiver of any such right, power or remedy of such party. No single or partial exercise of any right, power or remedy under this Agreement by a party hereto, nor any abandonment or discontinuance of steps to enforce any such right, power or remedy, shall preclude such party from any other or further exercise thereof or the exercise of any other right, power or remedy hereunder. The election of any remedy by a party hereto shall not constitute a waiver of the right of such party to pursue other available remedies. No notice to or demand on a party not expressly required under this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w:t>
      </w:r>
    </w:p>
    <w:p>
      <w:pPr>
        <w:spacing w:after="0" w:line="178"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xml:space="preserve"> All representations and warranties made by the parties hereto in this Agreement or in any other agreement, certificate or instrument provided for or contemplated hereby, shall survive the execution and delivery hereof and any investigations made by or on behalf of the parties.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28" w:name="page229"/>
    <w:bookmarkEnd w:id="228"/>
    <w:p>
      <w:pPr>
        <w:ind w:right="120" w:firstLine="324"/>
        <w:spacing w:after="0" w:line="257"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No Broker or Finder.</w:t>
      </w:r>
      <w:r>
        <w:rPr>
          <w:rFonts w:ascii="Arial" w:cs="Arial" w:eastAsia="Arial" w:hAnsi="Arial"/>
          <w:sz w:val="18"/>
          <w:szCs w:val="18"/>
          <w:color w:val="auto"/>
        </w:rPr>
        <w:t xml:space="preserve"> Each of the parties hereto represents and warrants to the other that no broker, finder or other financial consultant has acted on its behalf in connection with this Agreement or the transactions contemplated hereby in such a way as to create any liability on the other. Each of the parties hereto agrees to indemnify and save the other harmless from any claim or demand for commission or other compensation by any broker, finder, financial consultant or similar agent claiming to have been employed by or on behalf of such party and to bear the cost of legal expenses incurred in defending against any such claim.</w:t>
      </w:r>
    </w:p>
    <w:p>
      <w:pPr>
        <w:spacing w:after="0" w:line="18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Headings and Captions.</w:t>
      </w:r>
      <w:r>
        <w:rPr>
          <w:rFonts w:ascii="Arial" w:cs="Arial" w:eastAsia="Arial" w:hAnsi="Arial"/>
          <w:sz w:val="18"/>
          <w:szCs w:val="18"/>
          <w:color w:val="auto"/>
        </w:rPr>
        <w:t xml:space="preserve"> The headings and captions of the various subdivisions of this Agreement are for convenience of reference only and shall in no way modify or affect the meaning or construction of any of the terms or provisions hereof.</w:t>
      </w:r>
    </w:p>
    <w:p>
      <w:pPr>
        <w:spacing w:after="0" w:line="170" w:lineRule="exact"/>
        <w:rPr>
          <w:sz w:val="20"/>
          <w:szCs w:val="20"/>
          <w:color w:val="auto"/>
        </w:rPr>
      </w:pPr>
    </w:p>
    <w:p>
      <w:pPr>
        <w:ind w:right="240" w:firstLine="324"/>
        <w:spacing w:after="0" w:line="275" w:lineRule="auto"/>
        <w:rPr>
          <w:sz w:val="20"/>
          <w:szCs w:val="20"/>
          <w:color w:val="auto"/>
        </w:rPr>
      </w:pPr>
      <w:r>
        <w:rPr>
          <w:rFonts w:ascii="Arial" w:cs="Arial" w:eastAsia="Arial" w:hAnsi="Arial"/>
          <w:sz w:val="17"/>
          <w:szCs w:val="17"/>
          <w:color w:val="auto"/>
        </w:rPr>
        <w:t xml:space="preserve">6.14. </w:t>
      </w:r>
      <w:r>
        <w:rPr>
          <w:rFonts w:ascii="Arial" w:cs="Arial" w:eastAsia="Arial" w:hAnsi="Arial"/>
          <w:sz w:val="17"/>
          <w:szCs w:val="17"/>
          <w:u w:val="single" w:color="auto"/>
          <w:color w:val="auto"/>
        </w:rPr>
        <w:t>Counterparts.</w:t>
      </w:r>
      <w:r>
        <w:rPr>
          <w:rFonts w:ascii="Arial" w:cs="Arial" w:eastAsia="Arial" w:hAnsi="Arial"/>
          <w:sz w:val="17"/>
          <w:szCs w:val="17"/>
          <w:color w:val="auto"/>
        </w:rPr>
        <w:t xml:space="preserve"> This Agreement may be executed in one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any other form of electronic delivery, such signature shall create a valid and binding obligation of the party executing (or on whose behalf such signature is executed) with the same force and effect as if such signature page were an original thereof.</w:t>
      </w:r>
    </w:p>
    <w:p>
      <w:pPr>
        <w:spacing w:after="0" w:line="176"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 xml:space="preserve">6.15. </w:t>
      </w:r>
      <w:r>
        <w:rPr>
          <w:rFonts w:ascii="Arial" w:cs="Arial" w:eastAsia="Arial" w:hAnsi="Arial"/>
          <w:sz w:val="16"/>
          <w:szCs w:val="16"/>
          <w:u w:val="single" w:color="auto"/>
          <w:color w:val="auto"/>
        </w:rPr>
        <w:t>Construction.</w:t>
      </w:r>
      <w:r>
        <w:rPr>
          <w:rFonts w:ascii="Arial" w:cs="Arial" w:eastAsia="Arial" w:hAnsi="Arial"/>
          <w:sz w:val="16"/>
          <w:szCs w:val="16"/>
          <w:color w:val="auto"/>
        </w:rPr>
        <w:t xml:space="preserve"> The parties hereto have participated jointly in the negotiation and drafting of this Agreement. If an ambiguity or question of intent or interpretation arises, this Agreement will be construed as if drafted jointly by the parties hereto and no presumption or burden of proof will arise favoring or disfavoring any party hereto because of the authorship of any provision of this Agreement. The words “</w:t>
      </w:r>
      <w:r>
        <w:rPr>
          <w:rFonts w:ascii="Arial" w:cs="Arial" w:eastAsia="Arial" w:hAnsi="Arial"/>
          <w:sz w:val="16"/>
          <w:szCs w:val="16"/>
          <w:i w:val="1"/>
          <w:iCs w:val="1"/>
          <w:color w:val="auto"/>
        </w:rPr>
        <w:t>include</w:t>
      </w:r>
      <w:r>
        <w:rPr>
          <w:rFonts w:ascii="Arial" w:cs="Arial" w:eastAsia="Arial" w:hAnsi="Arial"/>
          <w:sz w:val="16"/>
          <w:szCs w:val="16"/>
          <w:color w:val="auto"/>
        </w:rPr>
        <w:t>,” “</w:t>
      </w:r>
      <w:r>
        <w:rPr>
          <w:rFonts w:ascii="Arial" w:cs="Arial" w:eastAsia="Arial" w:hAnsi="Arial"/>
          <w:sz w:val="16"/>
          <w:szCs w:val="16"/>
          <w:i w:val="1"/>
          <w:iCs w:val="1"/>
          <w:color w:val="auto"/>
        </w:rPr>
        <w:t>includes</w:t>
      </w:r>
      <w:r>
        <w:rPr>
          <w:rFonts w:ascii="Arial" w:cs="Arial" w:eastAsia="Arial" w:hAnsi="Arial"/>
          <w:sz w:val="16"/>
          <w:szCs w:val="16"/>
          <w:color w:val="auto"/>
        </w:rPr>
        <w:t>,” and “</w:t>
      </w:r>
      <w:r>
        <w:rPr>
          <w:rFonts w:ascii="Arial" w:cs="Arial" w:eastAsia="Arial" w:hAnsi="Arial"/>
          <w:sz w:val="16"/>
          <w:szCs w:val="16"/>
          <w:i w:val="1"/>
          <w:iCs w:val="1"/>
          <w:color w:val="auto"/>
        </w:rPr>
        <w:t>including</w:t>
      </w:r>
      <w:r>
        <w:rPr>
          <w:rFonts w:ascii="Arial" w:cs="Arial" w:eastAsia="Arial" w:hAnsi="Arial"/>
          <w:sz w:val="16"/>
          <w:szCs w:val="16"/>
          <w:color w:val="auto"/>
        </w:rPr>
        <w:t>” will be deemed to be followed by “</w:t>
      </w:r>
      <w:r>
        <w:rPr>
          <w:rFonts w:ascii="Arial" w:cs="Arial" w:eastAsia="Arial" w:hAnsi="Arial"/>
          <w:sz w:val="16"/>
          <w:szCs w:val="16"/>
          <w:i w:val="1"/>
          <w:iCs w:val="1"/>
          <w:color w:val="auto"/>
        </w:rPr>
        <w:t>without limitation</w:t>
      </w:r>
      <w:r>
        <w:rPr>
          <w:rFonts w:ascii="Arial" w:cs="Arial" w:eastAsia="Arial" w:hAnsi="Arial"/>
          <w:sz w:val="16"/>
          <w:szCs w:val="16"/>
          <w:color w:val="auto"/>
        </w:rPr>
        <w:t>.” Pronouns in masculine, feminine, and neuter genders will be construed to include any other gender, and words in the singular form will be construed to include the plural and vice versa, unless the context otherwise requires. The words “</w:t>
      </w:r>
      <w:r>
        <w:rPr>
          <w:rFonts w:ascii="Arial" w:cs="Arial" w:eastAsia="Arial" w:hAnsi="Arial"/>
          <w:sz w:val="16"/>
          <w:szCs w:val="16"/>
          <w:i w:val="1"/>
          <w:iCs w:val="1"/>
          <w:color w:val="auto"/>
        </w:rPr>
        <w:t>this Agreement</w:t>
      </w:r>
      <w:r>
        <w:rPr>
          <w:rFonts w:ascii="Arial" w:cs="Arial" w:eastAsia="Arial" w:hAnsi="Arial"/>
          <w:sz w:val="16"/>
          <w:szCs w:val="16"/>
          <w:color w:val="auto"/>
        </w:rPr>
        <w:t>,” “</w:t>
      </w:r>
      <w:r>
        <w:rPr>
          <w:rFonts w:ascii="Arial" w:cs="Arial" w:eastAsia="Arial" w:hAnsi="Arial"/>
          <w:sz w:val="16"/>
          <w:szCs w:val="16"/>
          <w:i w:val="1"/>
          <w:iCs w:val="1"/>
          <w:color w:val="auto"/>
        </w:rPr>
        <w:t>herein</w:t>
      </w:r>
      <w:r>
        <w:rPr>
          <w:rFonts w:ascii="Arial" w:cs="Arial" w:eastAsia="Arial" w:hAnsi="Arial"/>
          <w:sz w:val="16"/>
          <w:szCs w:val="16"/>
          <w:color w:val="auto"/>
        </w:rPr>
        <w:t>,” “</w:t>
      </w:r>
      <w:r>
        <w:rPr>
          <w:rFonts w:ascii="Arial" w:cs="Arial" w:eastAsia="Arial" w:hAnsi="Arial"/>
          <w:sz w:val="16"/>
          <w:szCs w:val="16"/>
          <w:i w:val="1"/>
          <w:iCs w:val="1"/>
          <w:color w:val="auto"/>
        </w:rPr>
        <w:t>hereof</w:t>
      </w:r>
      <w:r>
        <w:rPr>
          <w:rFonts w:ascii="Arial" w:cs="Arial" w:eastAsia="Arial" w:hAnsi="Arial"/>
          <w:sz w:val="16"/>
          <w:szCs w:val="16"/>
          <w:color w:val="auto"/>
        </w:rPr>
        <w:t>,” “</w:t>
      </w:r>
      <w:r>
        <w:rPr>
          <w:rFonts w:ascii="Arial" w:cs="Arial" w:eastAsia="Arial" w:hAnsi="Arial"/>
          <w:sz w:val="16"/>
          <w:szCs w:val="16"/>
          <w:i w:val="1"/>
          <w:iCs w:val="1"/>
          <w:color w:val="auto"/>
        </w:rPr>
        <w:t>hereby</w:t>
      </w:r>
      <w:r>
        <w:rPr>
          <w:rFonts w:ascii="Arial" w:cs="Arial" w:eastAsia="Arial" w:hAnsi="Arial"/>
          <w:sz w:val="16"/>
          <w:szCs w:val="16"/>
          <w:color w:val="auto"/>
        </w:rPr>
        <w:t>,” “</w:t>
      </w:r>
      <w:r>
        <w:rPr>
          <w:rFonts w:ascii="Arial" w:cs="Arial" w:eastAsia="Arial" w:hAnsi="Arial"/>
          <w:sz w:val="16"/>
          <w:szCs w:val="16"/>
          <w:i w:val="1"/>
          <w:iCs w:val="1"/>
          <w:color w:val="auto"/>
        </w:rPr>
        <w:t>hereunder</w:t>
      </w:r>
      <w:r>
        <w:rPr>
          <w:rFonts w:ascii="Arial" w:cs="Arial" w:eastAsia="Arial" w:hAnsi="Arial"/>
          <w:sz w:val="16"/>
          <w:szCs w:val="16"/>
          <w:color w:val="auto"/>
        </w:rPr>
        <w:t>,” and words of similar import refer to this Agreement as a whole and not to any particular subdivision unless expressly so limited. The parties hereto intend that each representation, warranty, and covenant contained herein will have independent significance. If any party hereto has breached any representation, warranty, or covenant contained herein in any respect, the fact that there exists another representation, warranty or covenant relating to the same subject matter (regardless of the relative levels of specificity) which such party hereto has not breached will not detract from or mitigate the fact that such party hereto is in breach of the first representation, warranty, or covenant.</w:t>
      </w:r>
    </w:p>
    <w:p>
      <w:pPr>
        <w:spacing w:after="0" w:line="168" w:lineRule="exact"/>
        <w:rPr>
          <w:sz w:val="20"/>
          <w:szCs w:val="20"/>
          <w:color w:val="auto"/>
        </w:rPr>
      </w:pPr>
    </w:p>
    <w:p>
      <w:pPr>
        <w:ind w:right="460" w:firstLine="324"/>
        <w:spacing w:after="0" w:line="308" w:lineRule="auto"/>
        <w:rPr>
          <w:sz w:val="20"/>
          <w:szCs w:val="20"/>
          <w:color w:val="auto"/>
        </w:rPr>
      </w:pPr>
      <w:r>
        <w:rPr>
          <w:rFonts w:ascii="Arial" w:cs="Arial" w:eastAsia="Arial" w:hAnsi="Arial"/>
          <w:sz w:val="17"/>
          <w:szCs w:val="17"/>
          <w:color w:val="auto"/>
        </w:rPr>
        <w:t xml:space="preserve">6.16. </w:t>
      </w:r>
      <w:r>
        <w:rPr>
          <w:rFonts w:ascii="Arial" w:cs="Arial" w:eastAsia="Arial" w:hAnsi="Arial"/>
          <w:sz w:val="17"/>
          <w:szCs w:val="17"/>
          <w:u w:val="single" w:color="auto"/>
          <w:color w:val="auto"/>
        </w:rPr>
        <w:t>Mutual Drafting.</w:t>
      </w:r>
      <w:r>
        <w:rPr>
          <w:rFonts w:ascii="Arial" w:cs="Arial" w:eastAsia="Arial" w:hAnsi="Arial"/>
          <w:sz w:val="17"/>
          <w:szCs w:val="17"/>
          <w:color w:val="auto"/>
        </w:rPr>
        <w:t xml:space="preserve"> This Agreement is the joint product of the Subscriber and the Company and each provision hereof has been subject to the mutual consultation, negotiation and agreement of such parties and shall not be construed for or against any party hereto.</w:t>
      </w:r>
    </w:p>
    <w:p>
      <w:pPr>
        <w:spacing w:after="0" w:line="146" w:lineRule="exact"/>
        <w:rPr>
          <w:sz w:val="20"/>
          <w:szCs w:val="20"/>
          <w:color w:val="auto"/>
        </w:rPr>
      </w:pPr>
    </w:p>
    <w:p>
      <w:pPr>
        <w:ind w:firstLine="8"/>
        <w:spacing w:after="0" w:line="259" w:lineRule="auto"/>
        <w:tabs>
          <w:tab w:leader="none" w:pos="225"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Voting and Tender of Shares.</w:t>
      </w:r>
      <w:r>
        <w:rPr>
          <w:rFonts w:ascii="Arial" w:cs="Arial" w:eastAsia="Arial" w:hAnsi="Arial"/>
          <w:sz w:val="18"/>
          <w:szCs w:val="18"/>
          <w:color w:val="auto"/>
        </w:rPr>
        <w:t xml:space="preserve"> Subscriber agrees to vote the Shares in favor of an initial business combination that the Company negotiates and submits for approval to the Company’s stockholders and shall not seek redemption with respect to such Shares. Additionally, the Subscriber agrees not to tender any Shares in connection with a tender offer presented to the Company’s stockholders in connection with an initial business combination negotiated by the Company.</w:t>
      </w:r>
    </w:p>
    <w:p>
      <w:pPr>
        <w:spacing w:after="0" w:line="186" w:lineRule="exact"/>
        <w:rPr>
          <w:rFonts w:ascii="Arial" w:cs="Arial" w:eastAsia="Arial" w:hAnsi="Arial"/>
          <w:sz w:val="18"/>
          <w:szCs w:val="18"/>
          <w:color w:val="auto"/>
        </w:rPr>
      </w:pPr>
    </w:p>
    <w:p>
      <w:pPr>
        <w:ind w:right="40" w:firstLine="8"/>
        <w:spacing w:after="0" w:line="277" w:lineRule="auto"/>
        <w:tabs>
          <w:tab w:leader="none" w:pos="495"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Each party shall indemnify the other against any loss, cost or damages (including reasonable attorney’s fees and expenses) incurred as a result of such party’s breach of any representation, warranty, covenant or agreement in this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9" w:name="page230"/>
    <w:bookmarkEnd w:id="229"/>
    <w:p>
      <w:pPr>
        <w:ind w:left="660"/>
        <w:spacing w:after="0"/>
        <w:rPr>
          <w:sz w:val="20"/>
          <w:szCs w:val="20"/>
          <w:color w:val="auto"/>
        </w:rPr>
      </w:pPr>
      <w:r>
        <w:rPr>
          <w:rFonts w:ascii="Arial" w:cs="Arial" w:eastAsia="Arial" w:hAnsi="Arial"/>
          <w:sz w:val="16"/>
          <w:szCs w:val="16"/>
          <w:color w:val="auto"/>
        </w:rPr>
        <w:t>If the foregoing accurately sets forth our understanding and agreement, please sign the enclosed copy of this Agreement and return it to us.</w:t>
      </w:r>
    </w:p>
    <w:p>
      <w:pPr>
        <w:spacing w:after="0" w:line="200" w:lineRule="exact"/>
        <w:rPr>
          <w:sz w:val="20"/>
          <w:szCs w:val="20"/>
          <w:color w:val="auto"/>
        </w:rPr>
      </w:pPr>
    </w:p>
    <w:p>
      <w:pPr>
        <w:spacing w:after="0" w:line="26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BURTECH ACQUISITION CORP.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Shahal Khan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as of the date first written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BURTECH LP LLC</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Roman Livson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Roman Livson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Authorized Person</w:t>
      </w:r>
    </w:p>
    <w:p>
      <w:pPr>
        <w:spacing w:after="0" w:line="211"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Securities Subscription Agreement</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40"/>
          </w:cols>
          <w:pgMar w:left="320" w:top="908" w:right="939" w:bottom="1440" w:gutter="0" w:footer="0" w:header="0"/>
        </w:sectPr>
      </w:pPr>
    </w:p>
    <w:bookmarkStart w:id="230" w:name="page231"/>
    <w:bookmarkEnd w:id="230"/>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consent to the inclusion in this Registration Statement of BurTech Acquisition Corp. (the “Company”) on Amendment No. 1 to Form S-1 (File No. 333-258914) of our report dated August 18, 2021, except for Note 8, as to which the date is October 13, 2021, which includes an explanatory paragraph as to the Company’s ability to continue as a going concern, with respect to our audit of the financial statements of BurTech Acquisition Corp. as of May 21,</w:t>
      </w:r>
    </w:p>
    <w:p>
      <w:pPr>
        <w:spacing w:after="0" w:line="2"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2021 and for the period from March 2, 2021 (inception) through May 21, 2021, which report appears in the Prospectus, which is part of this Registration Statement. We also consent to the reference to our Firm under the heading “Experts” in such Prospectus.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13,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1" w:name="page232"/>
    <w:bookmarkEnd w:id="231"/>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be Named as a Director Nominee</w:t>
      </w:r>
    </w:p>
    <w:p>
      <w:pPr>
        <w:spacing w:after="0" w:line="22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 connection with the filing by BurTech Acquisition Corp. of its Registration Statement on Form S-1 (the “Registration Statement”) with the U.S. Securities and Exchange Commission under the Securities Act of 1933, as amended (the “Securities Act”), I hereby consent, pursuant to Rule 438 of the Securities Act, to being named as a nominee to the board of directors of BurTech Acquisition Corp. in the Registration Statement and any and all amendments and supplements thereto. I also consent to the filing of this consent as an exhibit to the Registration Statement and any and all amendments thereto.</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Dated: August 18, 2021</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Hans Hertell</w:t>
            </w:r>
          </w:p>
        </w:tc>
      </w:tr>
      <w:tr>
        <w:trPr>
          <w:trHeight w:val="224"/>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Amb Hans Hertell</w:t>
            </w:r>
          </w:p>
        </w:tc>
      </w:tr>
      <w:tr>
        <w:trPr>
          <w:trHeight w:val="418"/>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be Named as a Director Nominee</w:t>
      </w:r>
    </w:p>
    <w:p>
      <w:pPr>
        <w:spacing w:after="0" w:line="22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 connection with the filing by BurTech Acquisition Corp. of its Registration Statement on Form S-1 (the “Registration Statement”) with the U.S. Securities and Exchange Commission under the Securities Act of 1933, as amended (the “Securities Act”), I hereby consent, pursuant to Rule 438 of the Securities Act, to being named as a nominee to the board of directors of BurTech Acquisition Corp. in the Registration Statement and any and all amendments and supplements thereto. I also consent to the filing of this consent as an exhibit to the Registration Statement and any and all amendments thereto.</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Dated: August 18, 2021</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Peter Plaut</w:t>
            </w:r>
          </w:p>
        </w:tc>
      </w:tr>
      <w:tr>
        <w:trPr>
          <w:trHeight w:val="224"/>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Peter Plaut</w:t>
            </w:r>
          </w:p>
        </w:tc>
      </w:tr>
      <w:tr>
        <w:trPr>
          <w:trHeight w:val="418"/>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233" w:name="page234"/>
    <w:bookmarkEnd w:id="233"/>
    <w:p>
      <w:pPr>
        <w:jc w:val="right"/>
        <w:spacing w:after="0"/>
        <w:rPr>
          <w:sz w:val="20"/>
          <w:szCs w:val="20"/>
          <w:color w:val="auto"/>
        </w:rPr>
      </w:pPr>
      <w:r>
        <w:rPr>
          <w:rFonts w:ascii="Arial" w:cs="Arial" w:eastAsia="Arial" w:hAnsi="Arial"/>
          <w:sz w:val="18"/>
          <w:szCs w:val="18"/>
          <w:b w:val="1"/>
          <w:bCs w:val="1"/>
          <w:color w:val="auto"/>
        </w:rPr>
        <w:t>Exhibit 99.5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be Named as a Director Nominee</w:t>
      </w:r>
    </w:p>
    <w:p>
      <w:pPr>
        <w:spacing w:after="0" w:line="22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 connection with the filing by BurTech Acquisition Corp. of its Registration Statement on Form S-1 (the “Registration Statement”) with the U.S. Securities and Exchange Commission under the Securities Act of 1933, as amended (the “Securities Act”), I hereby consent, pursuant to Rule 438 of the Securities Act, to being named as a nominee to the board of directors of BurTech Acquisition Corp. in the Registration Statement and any and all amendments and supplements thereto. I also consent to the filing of this consent as an exhibit to the Registration Statement and any and all amendments thereto.</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Dated: August 18, 2021</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Michael Penrod</w:t>
            </w:r>
          </w:p>
        </w:tc>
      </w:tr>
      <w:tr>
        <w:trPr>
          <w:trHeight w:val="224"/>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Michael Penrod</w:t>
            </w:r>
          </w:p>
        </w:tc>
      </w:tr>
      <w:tr>
        <w:trPr>
          <w:trHeight w:val="418"/>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234" w:name="page235"/>
    <w:bookmarkEnd w:id="234"/>
    <w:p>
      <w:pPr>
        <w:jc w:val="right"/>
        <w:spacing w:after="0"/>
        <w:rPr>
          <w:sz w:val="20"/>
          <w:szCs w:val="20"/>
          <w:color w:val="auto"/>
        </w:rPr>
      </w:pPr>
      <w:r>
        <w:rPr>
          <w:rFonts w:ascii="Arial" w:cs="Arial" w:eastAsia="Arial" w:hAnsi="Arial"/>
          <w:sz w:val="18"/>
          <w:szCs w:val="18"/>
          <w:b w:val="1"/>
          <w:bCs w:val="1"/>
          <w:color w:val="auto"/>
        </w:rPr>
        <w:t>Exhibit 99.6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be Named as a Director Nominee</w:t>
      </w:r>
    </w:p>
    <w:p>
      <w:pPr>
        <w:spacing w:after="0" w:line="22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 connection with the filing by BurTech Acquisition Corp. of its Registration Statement on Form S-1 (the “Registration Statement”) with the U.S. Securities and Exchange Commission under the Securities Act of 1933, as amended (the “Securities Act”), I hereby consent, pursuant to Rule 438 of the Securities Act, to being named as a nominee to the board of directors of BurTech Acquisition Corp. in the Registration Statement and any and all amendments and supplements thereto. I also consent to the filing of this consent as an exhibit to the Registration Statement and any and all amendments thereto.</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Dated: August 18, 2021</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Leon Golden</w:t>
            </w:r>
          </w:p>
        </w:tc>
      </w:tr>
      <w:tr>
        <w:trPr>
          <w:trHeight w:val="224"/>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Leon Golden</w:t>
            </w:r>
          </w:p>
        </w:tc>
      </w:tr>
      <w:tr>
        <w:trPr>
          <w:trHeight w:val="418"/>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235" w:name="page236"/>
    <w:bookmarkEnd w:id="235"/>
    <w:p>
      <w:pPr>
        <w:jc w:val="right"/>
        <w:spacing w:after="0"/>
        <w:rPr>
          <w:sz w:val="20"/>
          <w:szCs w:val="20"/>
          <w:color w:val="auto"/>
        </w:rPr>
      </w:pPr>
      <w:r>
        <w:rPr>
          <w:rFonts w:ascii="Arial" w:cs="Arial" w:eastAsia="Arial" w:hAnsi="Arial"/>
          <w:sz w:val="22"/>
          <w:szCs w:val="22"/>
          <w:b w:val="1"/>
          <w:bCs w:val="1"/>
          <w:color w:val="auto"/>
        </w:rPr>
        <w:t>Exhibit 99.7</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be Named as a Director Nominee</w:t>
      </w:r>
    </w:p>
    <w:p>
      <w:pPr>
        <w:spacing w:after="0" w:line="22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 connection with the filing by BurTech Acquisition Corp. of its Registration Statement on Form S-1 (the “Registration Statement”) with the U.S. Securities and Exchange Commission under the Securities Act of 1933, as amended (the “Securities Act”), I hereby consent, pursuant to Rule 438 of the Securities Act, to being named as a nominee to the board of directors of BurTech Acquisition Corp. in the Registration Statement and any and all amendments and supplements thereto. I also consent to the filing of this consent as an exhibit to the Registration Statement and any and all amendments thereto.</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Dated: August 18, 2021</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Gene Zolotarev</w:t>
            </w:r>
          </w:p>
        </w:tc>
      </w:tr>
      <w:tr>
        <w:trPr>
          <w:trHeight w:val="224"/>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Gene Zolotarev</w:t>
            </w:r>
          </w:p>
        </w:tc>
      </w:tr>
      <w:tr>
        <w:trPr>
          <w:trHeight w:val="661"/>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B70AE5"/>
    <w:multiLevelType w:val="hybridMultilevel"/>
    <w:lvl w:ilvl="0">
      <w:lvlJc w:val="left"/>
      <w:lvlText w:val="(%1)"/>
      <w:numFmt w:val="decimal"/>
      <w:start w:val="1"/>
    </w:lvl>
  </w:abstractNum>
  <w:abstractNum w:abstractNumId="1">
    <w:nsid w:val="100F8FCA"/>
    <w:multiLevelType w:val="hybridMultilevel"/>
    <w:lvl w:ilvl="0">
      <w:lvlJc w:val="left"/>
      <w:lvlText w:val="(%1)"/>
      <w:numFmt w:val="decimal"/>
      <w:start w:val="1"/>
    </w:lvl>
  </w:abstractNum>
  <w:abstractNum w:abstractNumId="2">
    <w:nsid w:val="6590700B"/>
    <w:multiLevelType w:val="hybridMultilevel"/>
    <w:lvl w:ilvl="0">
      <w:lvlJc w:val="left"/>
      <w:lvlText w:val="•"/>
      <w:numFmt w:val="bullet"/>
      <w:start w:val="1"/>
    </w:lvl>
  </w:abstractNum>
  <w:abstractNum w:abstractNumId="3">
    <w:nsid w:val="15014ACB"/>
    <w:multiLevelType w:val="hybridMultilevel"/>
    <w:lvl w:ilvl="0">
      <w:lvlJc w:val="left"/>
      <w:lvlText w:val="%1"/>
      <w:numFmt w:val="upperLetter"/>
      <w:start w:val="35"/>
    </w:lvl>
  </w:abstractNum>
  <w:abstractNum w:abstractNumId="4">
    <w:nsid w:val="5F5E7FD0"/>
    <w:multiLevelType w:val="hybridMultilevel"/>
    <w:lvl w:ilvl="0">
      <w:lvlJc w:val="left"/>
      <w:lvlText w:val="•"/>
      <w:numFmt w:val="bullet"/>
      <w:start w:val="1"/>
    </w:lvl>
  </w:abstractNum>
  <w:abstractNum w:abstractNumId="5">
    <w:nsid w:val="98A3148"/>
    <w:multiLevelType w:val="hybridMultilevel"/>
    <w:lvl w:ilvl="0">
      <w:lvlJc w:val="left"/>
      <w:lvlText w:val="•"/>
      <w:numFmt w:val="bullet"/>
      <w:start w:val="1"/>
    </w:lvl>
  </w:abstractNum>
  <w:abstractNum w:abstractNumId="6">
    <w:nsid w:val="799D0247"/>
    <w:multiLevelType w:val="hybridMultilevel"/>
    <w:lvl w:ilvl="0">
      <w:lvlJc w:val="left"/>
      <w:lvlText w:val="(%1)"/>
      <w:numFmt w:val="lowerRoman"/>
      <w:start w:val="2"/>
    </w:lvl>
  </w:abstractNum>
  <w:abstractNum w:abstractNumId="7">
    <w:nsid w:val="6B94764"/>
    <w:multiLevelType w:val="hybridMultilevel"/>
    <w:lvl w:ilvl="0">
      <w:lvlJc w:val="left"/>
      <w:lvlText w:val="•"/>
      <w:numFmt w:val="bullet"/>
      <w:start w:val="1"/>
    </w:lvl>
  </w:abstractNum>
  <w:abstractNum w:abstractNumId="8">
    <w:nsid w:val="42C296BD"/>
    <w:multiLevelType w:val="hybridMultilevel"/>
    <w:lvl w:ilvl="0">
      <w:lvlJc w:val="left"/>
      <w:lvlText w:val="(%1)"/>
      <w:numFmt w:val="decimal"/>
      <w:start w:val="1"/>
    </w:lvl>
  </w:abstractNum>
  <w:abstractNum w:abstractNumId="9">
    <w:nsid w:val="168E121F"/>
    <w:multiLevelType w:val="hybridMultilevel"/>
    <w:lvl w:ilvl="0">
      <w:lvlJc w:val="left"/>
      <w:lvlText w:val="·"/>
      <w:numFmt w:val="bullet"/>
      <w:start w:val="1"/>
    </w:lvl>
  </w:abstractNum>
  <w:abstractNum w:abstractNumId="10">
    <w:nsid w:val="1EBA5D23"/>
    <w:multiLevelType w:val="hybridMultilevel"/>
    <w:lvl w:ilvl="0">
      <w:lvlJc w:val="left"/>
      <w:lvlText w:val="(%1)"/>
      <w:numFmt w:val="lowerRoman"/>
      <w:start w:val="1"/>
    </w:lvl>
  </w:abstractNum>
  <w:abstractNum w:abstractNumId="11">
    <w:nsid w:val="661E3F1E"/>
    <w:multiLevelType w:val="hybridMultilevel"/>
    <w:lvl w:ilvl="0">
      <w:lvlJc w:val="left"/>
      <w:lvlText w:val="•"/>
      <w:numFmt w:val="bullet"/>
      <w:start w:val="1"/>
    </w:lvl>
  </w:abstractNum>
  <w:abstractNum w:abstractNumId="12">
    <w:nsid w:val="5DC79EA8"/>
    <w:multiLevelType w:val="hybridMultilevel"/>
    <w:lvl w:ilvl="0">
      <w:lvlJc w:val="left"/>
      <w:lvlText w:val="•"/>
      <w:numFmt w:val="bullet"/>
      <w:start w:val="1"/>
    </w:lvl>
  </w:abstractNum>
  <w:abstractNum w:abstractNumId="13">
    <w:nsid w:val="540A471C"/>
    <w:multiLevelType w:val="hybridMultilevel"/>
    <w:lvl w:ilvl="0">
      <w:lvlJc w:val="left"/>
      <w:lvlText w:val="(%1)"/>
      <w:numFmt w:val="lowerRoman"/>
      <w:start w:val="2"/>
    </w:lvl>
  </w:abstractNum>
  <w:abstractNum w:abstractNumId="14">
    <w:nsid w:val="7BD3EE7B"/>
    <w:multiLevelType w:val="hybridMultilevel"/>
    <w:lvl w:ilvl="0">
      <w:lvlJc w:val="left"/>
      <w:lvlText w:val="•"/>
      <w:numFmt w:val="bullet"/>
      <w:start w:val="1"/>
    </w:lvl>
  </w:abstractNum>
  <w:abstractNum w:abstractNumId="15">
    <w:nsid w:val="51D9C564"/>
    <w:multiLevelType w:val="hybridMultilevel"/>
    <w:lvl w:ilvl="0">
      <w:lvlJc w:val="left"/>
      <w:lvlText w:val="•"/>
      <w:numFmt w:val="bullet"/>
      <w:start w:val="1"/>
    </w:lvl>
  </w:abstractNum>
  <w:abstractNum w:abstractNumId="16">
    <w:nsid w:val="613EFDC5"/>
    <w:multiLevelType w:val="hybridMultilevel"/>
    <w:lvl w:ilvl="0">
      <w:lvlJc w:val="left"/>
      <w:lvlText w:val="•"/>
      <w:numFmt w:val="bullet"/>
      <w:start w:val="1"/>
    </w:lvl>
  </w:abstractNum>
  <w:abstractNum w:abstractNumId="17">
    <w:nsid w:val="BF72B14"/>
    <w:multiLevelType w:val="hybridMultilevel"/>
    <w:lvl w:ilvl="0">
      <w:lvlJc w:val="left"/>
      <w:lvlText w:val="•"/>
      <w:numFmt w:val="bullet"/>
      <w:start w:val="1"/>
    </w:lvl>
  </w:abstractNum>
  <w:abstractNum w:abstractNumId="18">
    <w:nsid w:val="11447B73"/>
    <w:multiLevelType w:val="hybridMultilevel"/>
    <w:lvl w:ilvl="0">
      <w:lvlJc w:val="left"/>
      <w:lvlText w:val="(%1)"/>
      <w:numFmt w:val="decimal"/>
      <w:start w:val="1"/>
    </w:lvl>
  </w:abstractNum>
  <w:abstractNum w:abstractNumId="19">
    <w:nsid w:val="42963E5A"/>
    <w:multiLevelType w:val="hybridMultilevel"/>
    <w:lvl w:ilvl="0">
      <w:lvlJc w:val="left"/>
      <w:lvlText w:val="(%1)"/>
      <w:numFmt w:val="lowerRoman"/>
      <w:start w:val="2"/>
    </w:lvl>
  </w:abstractNum>
  <w:abstractNum w:abstractNumId="20">
    <w:nsid w:val="A0382C5"/>
    <w:multiLevelType w:val="hybridMultilevel"/>
    <w:lvl w:ilvl="0">
      <w:lvlJc w:val="left"/>
      <w:lvlText w:val="•"/>
      <w:numFmt w:val="bullet"/>
      <w:start w:val="1"/>
    </w:lvl>
  </w:abstractNum>
  <w:abstractNum w:abstractNumId="21">
    <w:nsid w:val="8F2B15E"/>
    <w:multiLevelType w:val="hybridMultilevel"/>
    <w:lvl w:ilvl="0">
      <w:lvlJc w:val="left"/>
      <w:lvlText w:val="(%1)"/>
      <w:numFmt w:val="lowerRoman"/>
      <w:start w:val="1"/>
    </w:lvl>
  </w:abstractNum>
  <w:abstractNum w:abstractNumId="22">
    <w:nsid w:val="1A32234B"/>
    <w:multiLevelType w:val="hybridMultilevel"/>
    <w:lvl w:ilvl="0">
      <w:lvlJc w:val="left"/>
      <w:lvlText w:val="•"/>
      <w:numFmt w:val="bullet"/>
      <w:start w:val="1"/>
    </w:lvl>
  </w:abstractNum>
  <w:abstractNum w:abstractNumId="23">
    <w:nsid w:val="3B0FD379"/>
    <w:multiLevelType w:val="hybridMultilevel"/>
    <w:lvl w:ilvl="0">
      <w:lvlJc w:val="left"/>
      <w:lvlText w:val="•"/>
      <w:numFmt w:val="bullet"/>
      <w:start w:val="1"/>
    </w:lvl>
  </w:abstractNum>
  <w:abstractNum w:abstractNumId="24">
    <w:nsid w:val="68EB2F63"/>
    <w:multiLevelType w:val="hybridMultilevel"/>
    <w:lvl w:ilvl="0">
      <w:lvlJc w:val="left"/>
      <w:lvlText w:val="•"/>
      <w:numFmt w:val="bullet"/>
      <w:start w:val="1"/>
    </w:lvl>
  </w:abstractNum>
  <w:abstractNum w:abstractNumId="25">
    <w:nsid w:val="4962813B"/>
    <w:multiLevelType w:val="hybridMultilevel"/>
    <w:lvl w:ilvl="0">
      <w:lvlJc w:val="left"/>
      <w:lvlText w:val="•"/>
      <w:numFmt w:val="bullet"/>
      <w:start w:val="1"/>
    </w:lvl>
  </w:abstractNum>
  <w:abstractNum w:abstractNumId="26">
    <w:nsid w:val="60B6DF70"/>
    <w:multiLevelType w:val="hybridMultilevel"/>
    <w:lvl w:ilvl="0">
      <w:lvlJc w:val="left"/>
      <w:lvlText w:val="•"/>
      <w:numFmt w:val="bullet"/>
      <w:start w:val="1"/>
    </w:lvl>
  </w:abstractNum>
  <w:abstractNum w:abstractNumId="27">
    <w:nsid w:val="6A5EE64"/>
    <w:multiLevelType w:val="hybridMultilevel"/>
    <w:lvl w:ilvl="0">
      <w:lvlJc w:val="left"/>
      <w:lvlText w:val="•"/>
      <w:numFmt w:val="bullet"/>
      <w:start w:val="1"/>
    </w:lvl>
  </w:abstractNum>
  <w:abstractNum w:abstractNumId="28">
    <w:nsid w:val="14330624"/>
    <w:multiLevelType w:val="hybridMultilevel"/>
    <w:lvl w:ilvl="0">
      <w:lvlJc w:val="left"/>
      <w:lvlText w:val="•"/>
      <w:numFmt w:val="bullet"/>
      <w:start w:val="1"/>
    </w:lvl>
  </w:abstractNum>
  <w:abstractNum w:abstractNumId="29">
    <w:nsid w:val="7FFFCA11"/>
    <w:multiLevelType w:val="hybridMultilevel"/>
    <w:lvl w:ilvl="0">
      <w:lvlJc w:val="left"/>
      <w:lvlText w:val="•"/>
      <w:numFmt w:val="bullet"/>
      <w:start w:val="1"/>
    </w:lvl>
  </w:abstractNum>
  <w:abstractNum w:abstractNumId="30">
    <w:nsid w:val="1A27709E"/>
    <w:multiLevelType w:val="hybridMultilevel"/>
    <w:lvl w:ilvl="0">
      <w:lvlJc w:val="left"/>
      <w:lvlText w:val="(%1)"/>
      <w:numFmt w:val="lowerRoman"/>
      <w:start w:val="1"/>
    </w:lvl>
  </w:abstractNum>
  <w:abstractNum w:abstractNumId="31">
    <w:nsid w:val="71EA1109"/>
    <w:multiLevelType w:val="hybridMultilevel"/>
    <w:lvl w:ilvl="0">
      <w:lvlJc w:val="left"/>
      <w:lvlText w:val="•"/>
      <w:numFmt w:val="bullet"/>
      <w:start w:val="1"/>
    </w:lvl>
  </w:abstractNum>
  <w:abstractNum w:abstractNumId="32">
    <w:nsid w:val="100F59DC"/>
    <w:multiLevelType w:val="hybridMultilevel"/>
    <w:lvl w:ilvl="0">
      <w:lvlJc w:val="left"/>
      <w:lvlText w:val="(%1)"/>
      <w:numFmt w:val="lowerRoman"/>
      <w:start w:val="2"/>
    </w:lvl>
  </w:abstractNum>
  <w:abstractNum w:abstractNumId="33">
    <w:nsid w:val="7FB7E0AA"/>
    <w:multiLevelType w:val="hybridMultilevel"/>
    <w:lvl w:ilvl="0">
      <w:lvlJc w:val="left"/>
      <w:lvlText w:val="•"/>
      <w:numFmt w:val="bullet"/>
      <w:start w:val="1"/>
    </w:lvl>
  </w:abstractNum>
  <w:abstractNum w:abstractNumId="34">
    <w:nsid w:val="6EB5BD4"/>
    <w:multiLevelType w:val="hybridMultilevel"/>
    <w:lvl w:ilvl="0">
      <w:lvlJc w:val="left"/>
      <w:lvlText w:val="•"/>
      <w:numFmt w:val="bullet"/>
      <w:start w:val="1"/>
    </w:lvl>
  </w:abstractNum>
  <w:abstractNum w:abstractNumId="35">
    <w:nsid w:val="6F6DD9AC"/>
    <w:multiLevelType w:val="hybridMultilevel"/>
    <w:lvl w:ilvl="0">
      <w:lvlJc w:val="left"/>
      <w:lvlText w:val="(%1)"/>
      <w:numFmt w:val="decimal"/>
      <w:start w:val="1"/>
    </w:lvl>
  </w:abstractNum>
  <w:abstractNum w:abstractNumId="36">
    <w:nsid w:val="94211F2"/>
    <w:multiLevelType w:val="hybridMultilevel"/>
    <w:lvl w:ilvl="0">
      <w:lvlJc w:val="left"/>
      <w:lvlText w:val="(%1)"/>
      <w:numFmt w:val="decimal"/>
      <w:start w:val="3"/>
    </w:lvl>
  </w:abstractNum>
  <w:abstractNum w:abstractNumId="37">
    <w:nsid w:val="885E1B"/>
    <w:multiLevelType w:val="hybridMultilevel"/>
    <w:lvl w:ilvl="0">
      <w:lvlJc w:val="left"/>
      <w:lvlText w:val="(%1)"/>
      <w:numFmt w:val="decimal"/>
      <w:start w:val="1"/>
    </w:lvl>
  </w:abstractNum>
  <w:abstractNum w:abstractNumId="38">
    <w:nsid w:val="76272110"/>
    <w:multiLevelType w:val="hybridMultilevel"/>
    <w:lvl w:ilvl="0">
      <w:lvlJc w:val="left"/>
      <w:lvlText w:val="(%1)"/>
      <w:numFmt w:val="decimal"/>
      <w:start w:val="1"/>
    </w:lvl>
  </w:abstractNum>
  <w:abstractNum w:abstractNumId="39">
    <w:nsid w:val="4C04A8AF"/>
    <w:multiLevelType w:val="hybridMultilevel"/>
    <w:lvl w:ilvl="0">
      <w:lvlJc w:val="left"/>
      <w:lvlText w:val="(%1)"/>
      <w:numFmt w:val="decimal"/>
      <w:start w:val="1"/>
    </w:lvl>
  </w:abstractNum>
  <w:abstractNum w:abstractNumId="40">
    <w:nsid w:val="1716703B"/>
    <w:multiLevelType w:val="hybridMultilevel"/>
    <w:lvl w:ilvl="0">
      <w:lvlJc w:val="left"/>
      <w:lvlText w:val="•"/>
      <w:numFmt w:val="bullet"/>
      <w:start w:val="1"/>
    </w:lvl>
  </w:abstractNum>
  <w:abstractNum w:abstractNumId="41">
    <w:nsid w:val="14E17E33"/>
    <w:multiLevelType w:val="hybridMultilevel"/>
    <w:lvl w:ilvl="0">
      <w:lvlJc w:val="left"/>
      <w:lvlText w:val="•"/>
      <w:numFmt w:val="bullet"/>
      <w:start w:val="1"/>
    </w:lvl>
  </w:abstractNum>
  <w:abstractNum w:abstractNumId="42">
    <w:nsid w:val="3222E7CD"/>
    <w:multiLevelType w:val="hybridMultilevel"/>
    <w:lvl w:ilvl="0">
      <w:lvlJc w:val="left"/>
      <w:lvlText w:val="•"/>
      <w:numFmt w:val="bullet"/>
      <w:start w:val="1"/>
    </w:lvl>
  </w:abstractNum>
  <w:abstractNum w:abstractNumId="43">
    <w:nsid w:val="74DE0EE3"/>
    <w:multiLevelType w:val="hybridMultilevel"/>
    <w:lvl w:ilvl="0">
      <w:lvlJc w:val="left"/>
      <w:lvlText w:val="•"/>
      <w:numFmt w:val="bullet"/>
      <w:start w:val="1"/>
    </w:lvl>
  </w:abstractNum>
  <w:abstractNum w:abstractNumId="44">
    <w:nsid w:val="68EBC550"/>
    <w:multiLevelType w:val="hybridMultilevel"/>
    <w:lvl w:ilvl="0">
      <w:lvlJc w:val="left"/>
      <w:lvlText w:val="%1"/>
      <w:numFmt w:val="upperLetter"/>
      <w:start w:val="35"/>
    </w:lvl>
  </w:abstractNum>
  <w:abstractNum w:abstractNumId="45">
    <w:nsid w:val="2DF6D648"/>
    <w:multiLevelType w:val="hybridMultilevel"/>
    <w:lvl w:ilvl="0">
      <w:lvlJc w:val="left"/>
      <w:lvlText w:val="•"/>
      <w:numFmt w:val="bullet"/>
      <w:start w:val="1"/>
    </w:lvl>
  </w:abstractNum>
  <w:abstractNum w:abstractNumId="46">
    <w:nsid w:val="46B7D447"/>
    <w:multiLevelType w:val="hybridMultilevel"/>
    <w:lvl w:ilvl="0">
      <w:lvlJc w:val="left"/>
      <w:lvlText w:val="•"/>
      <w:numFmt w:val="bullet"/>
      <w:start w:val="1"/>
    </w:lvl>
  </w:abstractNum>
  <w:abstractNum w:abstractNumId="47">
    <w:nsid w:val="4A2AC315"/>
    <w:multiLevelType w:val="hybridMultilevel"/>
    <w:lvl w:ilvl="0">
      <w:lvlJc w:val="left"/>
      <w:lvlText w:val="(%1)"/>
      <w:numFmt w:val="lowerRoman"/>
      <w:start w:val="2"/>
    </w:lvl>
  </w:abstractNum>
  <w:abstractNum w:abstractNumId="48">
    <w:nsid w:val="39EE015C"/>
    <w:multiLevelType w:val="hybridMultilevel"/>
    <w:lvl w:ilvl="0">
      <w:lvlJc w:val="left"/>
      <w:lvlText w:val="·"/>
      <w:numFmt w:val="bullet"/>
      <w:start w:val="1"/>
    </w:lvl>
  </w:abstractNum>
  <w:abstractNum w:abstractNumId="49">
    <w:nsid w:val="57FC4FBB"/>
    <w:multiLevelType w:val="hybridMultilevel"/>
    <w:lvl w:ilvl="0">
      <w:lvlJc w:val="left"/>
      <w:lvlText w:val="·"/>
      <w:numFmt w:val="bullet"/>
      <w:start w:val="1"/>
    </w:lvl>
  </w:abstractNum>
  <w:abstractNum w:abstractNumId="50">
    <w:nsid w:val="CC1016F"/>
    <w:multiLevelType w:val="hybridMultilevel"/>
    <w:lvl w:ilvl="0">
      <w:lvlJc w:val="left"/>
      <w:lvlText w:val="(%1)"/>
      <w:numFmt w:val="lowerRoman"/>
      <w:start w:val="2"/>
    </w:lvl>
  </w:abstractNum>
  <w:abstractNum w:abstractNumId="51">
    <w:nsid w:val="43F18422"/>
    <w:multiLevelType w:val="hybridMultilevel"/>
    <w:lvl w:ilvl="0">
      <w:lvlJc w:val="left"/>
      <w:lvlText w:val="·"/>
      <w:numFmt w:val="bullet"/>
      <w:start w:val="1"/>
    </w:lvl>
  </w:abstractNum>
  <w:abstractNum w:abstractNumId="52">
    <w:nsid w:val="60EF0119"/>
    <w:multiLevelType w:val="hybridMultilevel"/>
    <w:lvl w:ilvl="0">
      <w:lvlJc w:val="left"/>
      <w:lvlText w:val="·"/>
      <w:numFmt w:val="bullet"/>
      <w:start w:val="1"/>
    </w:lvl>
  </w:abstractNum>
  <w:abstractNum w:abstractNumId="53">
    <w:nsid w:val="26F324BA"/>
    <w:multiLevelType w:val="hybridMultilevel"/>
    <w:lvl w:ilvl="0">
      <w:lvlJc w:val="left"/>
      <w:lvlText w:val="(%1)"/>
      <w:numFmt w:val="lowerRoman"/>
      <w:start w:val="2"/>
    </w:lvl>
  </w:abstractNum>
  <w:abstractNum w:abstractNumId="54">
    <w:nsid w:val="7F01579B"/>
    <w:multiLevelType w:val="hybridMultilevel"/>
    <w:lvl w:ilvl="0">
      <w:lvlJc w:val="left"/>
      <w:lvlText w:val="(%1)"/>
      <w:numFmt w:val="lowerRoman"/>
      <w:start w:val="1"/>
    </w:lvl>
  </w:abstractNum>
  <w:abstractNum w:abstractNumId="55">
    <w:nsid w:val="49DA307D"/>
    <w:multiLevelType w:val="hybridMultilevel"/>
    <w:lvl w:ilvl="0">
      <w:lvlJc w:val="left"/>
      <w:lvlText w:val="(%1)"/>
      <w:numFmt w:val="decimal"/>
      <w:start w:val="2"/>
    </w:lvl>
  </w:abstractNum>
  <w:abstractNum w:abstractNumId="56">
    <w:nsid w:val="7055A5F5"/>
    <w:multiLevelType w:val="hybridMultilevel"/>
    <w:lvl w:ilvl="0">
      <w:lvlJc w:val="left"/>
      <w:lvlText w:val="•"/>
      <w:numFmt w:val="bullet"/>
      <w:start w:val="1"/>
    </w:lvl>
  </w:abstractNum>
  <w:abstractNum w:abstractNumId="57">
    <w:nsid w:val="5FB8370B"/>
    <w:multiLevelType w:val="hybridMultilevel"/>
    <w:lvl w:ilvl="0">
      <w:lvlJc w:val="left"/>
      <w:lvlText w:val="•"/>
      <w:numFmt w:val="bullet"/>
      <w:start w:val="1"/>
    </w:lvl>
  </w:abstractNum>
  <w:abstractNum w:abstractNumId="58">
    <w:nsid w:val="50801EE1"/>
    <w:multiLevelType w:val="hybridMultilevel"/>
    <w:lvl w:ilvl="0">
      <w:lvlJc w:val="left"/>
      <w:lvlText w:val="•"/>
      <w:numFmt w:val="bullet"/>
      <w:start w:val="1"/>
    </w:lvl>
  </w:abstractNum>
  <w:abstractNum w:abstractNumId="59">
    <w:nsid w:val="488AC1A"/>
    <w:multiLevelType w:val="hybridMultilevel"/>
    <w:lvl w:ilvl="0">
      <w:lvlJc w:val="left"/>
      <w:lvlText w:val="•"/>
      <w:numFmt w:val="bullet"/>
      <w:start w:val="1"/>
    </w:lvl>
  </w:abstractNum>
  <w:abstractNum w:abstractNumId="60">
    <w:nsid w:val="5FB8011C"/>
    <w:multiLevelType w:val="hybridMultilevel"/>
    <w:lvl w:ilvl="0">
      <w:lvlJc w:val="left"/>
      <w:lvlText w:val="•"/>
      <w:numFmt w:val="bullet"/>
      <w:start w:val="1"/>
    </w:lvl>
  </w:abstractNum>
  <w:abstractNum w:abstractNumId="61">
    <w:nsid w:val="6AA78F7F"/>
    <w:multiLevelType w:val="hybridMultilevel"/>
    <w:lvl w:ilvl="0">
      <w:lvlJc w:val="left"/>
      <w:lvlText w:val="•"/>
      <w:numFmt w:val="bullet"/>
      <w:start w:val="1"/>
    </w:lvl>
  </w:abstractNum>
  <w:abstractNum w:abstractNumId="62">
    <w:nsid w:val="7672BD23"/>
    <w:multiLevelType w:val="hybridMultilevel"/>
    <w:lvl w:ilvl="0">
      <w:lvlJc w:val="left"/>
      <w:lvlText w:val="(%1)"/>
      <w:numFmt w:val="decimal"/>
      <w:start w:val="1"/>
    </w:lvl>
  </w:abstractNum>
  <w:abstractNum w:abstractNumId="63">
    <w:nsid w:val="6FC75AF8"/>
    <w:multiLevelType w:val="hybridMultilevel"/>
    <w:lvl w:ilvl="0">
      <w:lvlJc w:val="left"/>
      <w:lvlText w:val="•"/>
      <w:numFmt w:val="bullet"/>
      <w:start w:val="1"/>
    </w:lvl>
  </w:abstractNum>
  <w:abstractNum w:abstractNumId="64">
    <w:nsid w:val="6A5F7029"/>
    <w:multiLevelType w:val="hybridMultilevel"/>
    <w:lvl w:ilvl="0">
      <w:lvlJc w:val="left"/>
      <w:lvlText w:val="(%1)"/>
      <w:numFmt w:val="decimal"/>
      <w:start w:val="1"/>
    </w:lvl>
  </w:abstractNum>
  <w:abstractNum w:abstractNumId="65">
    <w:nsid w:val="7D5E18F8"/>
    <w:multiLevelType w:val="hybridMultilevel"/>
    <w:lvl w:ilvl="0">
      <w:lvlJc w:val="left"/>
      <w:lvlText w:val="•"/>
      <w:numFmt w:val="bullet"/>
      <w:start w:val="1"/>
    </w:lvl>
  </w:abstractNum>
  <w:abstractNum w:abstractNumId="66">
    <w:nsid w:val="5F3534A4"/>
    <w:multiLevelType w:val="hybridMultilevel"/>
    <w:lvl w:ilvl="0">
      <w:lvlJc w:val="left"/>
      <w:lvlText w:val="•"/>
      <w:numFmt w:val="bullet"/>
      <w:start w:val="1"/>
    </w:lvl>
  </w:abstractNum>
  <w:abstractNum w:abstractNumId="67">
    <w:nsid w:val="73A1821B"/>
    <w:multiLevelType w:val="hybridMultilevel"/>
    <w:lvl w:ilvl="0">
      <w:lvlJc w:val="left"/>
      <w:lvlText w:val="(%1)"/>
      <w:numFmt w:val="lowerRoman"/>
      <w:start w:val="3"/>
    </w:lvl>
  </w:abstractNum>
  <w:abstractNum w:abstractNumId="68">
    <w:nsid w:val="7DE67713"/>
    <w:multiLevelType w:val="hybridMultilevel"/>
    <w:lvl w:ilvl="0">
      <w:lvlJc w:val="left"/>
      <w:lvlText w:val="•"/>
      <w:numFmt w:val="bullet"/>
      <w:start w:val="1"/>
    </w:lvl>
  </w:abstractNum>
  <w:abstractNum w:abstractNumId="69">
    <w:nsid w:val="555C55B5"/>
    <w:multiLevelType w:val="hybridMultilevel"/>
    <w:lvl w:ilvl="0">
      <w:lvlJc w:val="left"/>
      <w:lvlText w:val="•"/>
      <w:numFmt w:val="bullet"/>
      <w:start w:val="1"/>
    </w:lvl>
  </w:abstractNum>
  <w:abstractNum w:abstractNumId="70">
    <w:nsid w:val="3FA62ACA"/>
    <w:multiLevelType w:val="hybridMultilevel"/>
    <w:lvl w:ilvl="0">
      <w:lvlJc w:val="left"/>
      <w:lvlText w:val="\emdash "/>
      <w:numFmt w:val="bullet"/>
      <w:start w:val="1"/>
    </w:lvl>
  </w:abstractNum>
  <w:abstractNum w:abstractNumId="71">
    <w:nsid w:val="14FCE74E"/>
    <w:multiLevelType w:val="hybridMultilevel"/>
    <w:lvl w:ilvl="0">
      <w:lvlJc w:val="left"/>
      <w:lvlText w:val="•"/>
      <w:numFmt w:val="bullet"/>
      <w:start w:val="1"/>
    </w:lvl>
  </w:abstractNum>
  <w:abstractNum w:abstractNumId="72">
    <w:nsid w:val="6A3DD3E8"/>
    <w:multiLevelType w:val="hybridMultilevel"/>
    <w:lvl w:ilvl="0">
      <w:lvlJc w:val="left"/>
      <w:lvlText w:val="•"/>
      <w:numFmt w:val="bullet"/>
      <w:start w:val="1"/>
    </w:lvl>
  </w:abstractNum>
  <w:abstractNum w:abstractNumId="73">
    <w:nsid w:val="71C91298"/>
    <w:multiLevelType w:val="hybridMultilevel"/>
    <w:lvl w:ilvl="0">
      <w:lvlJc w:val="left"/>
      <w:lvlText w:val="•"/>
      <w:numFmt w:val="bullet"/>
      <w:start w:val="1"/>
    </w:lvl>
  </w:abstractNum>
  <w:abstractNum w:abstractNumId="74">
    <w:nsid w:val="9DAF632"/>
    <w:multiLevelType w:val="hybridMultilevel"/>
    <w:lvl w:ilvl="0">
      <w:lvlJc w:val="left"/>
      <w:lvlText w:val="•"/>
      <w:numFmt w:val="bullet"/>
      <w:start w:val="1"/>
    </w:lvl>
  </w:abstractNum>
  <w:abstractNum w:abstractNumId="75">
    <w:nsid w:val="53299938"/>
    <w:multiLevelType w:val="hybridMultilevel"/>
    <w:lvl w:ilvl="0">
      <w:lvlJc w:val="left"/>
      <w:lvlText w:val="(%1)"/>
      <w:numFmt w:val="upperLetter"/>
      <w:start w:val="3"/>
    </w:lvl>
  </w:abstractNum>
  <w:abstractNum w:abstractNumId="76">
    <w:nsid w:val="1FBFE8E0"/>
    <w:multiLevelType w:val="hybridMultilevel"/>
    <w:lvl w:ilvl="0">
      <w:lvlJc w:val="left"/>
      <w:lvlText w:val="•"/>
      <w:numFmt w:val="bullet"/>
      <w:start w:val="1"/>
    </w:lvl>
  </w:abstractNum>
  <w:abstractNum w:abstractNumId="77">
    <w:nsid w:val="5092CA79"/>
    <w:multiLevelType w:val="hybridMultilevel"/>
    <w:lvl w:ilvl="0">
      <w:lvlJc w:val="left"/>
      <w:lvlText w:val="•"/>
      <w:numFmt w:val="bullet"/>
      <w:start w:val="1"/>
    </w:lvl>
  </w:abstractNum>
  <w:abstractNum w:abstractNumId="78">
    <w:nsid w:val="1D545C4D"/>
    <w:multiLevelType w:val="hybridMultilevel"/>
    <w:lvl w:ilvl="0">
      <w:lvlJc w:val="left"/>
      <w:lvlText w:val="•"/>
      <w:numFmt w:val="bullet"/>
      <w:start w:val="1"/>
    </w:lvl>
  </w:abstractNum>
  <w:abstractNum w:abstractNumId="79">
    <w:nsid w:val="59ADEA3D"/>
    <w:multiLevelType w:val="hybridMultilevel"/>
    <w:lvl w:ilvl="0">
      <w:lvlJc w:val="left"/>
      <w:lvlText w:val="•"/>
      <w:numFmt w:val="bullet"/>
      <w:start w:val="1"/>
    </w:lvl>
  </w:abstractNum>
  <w:abstractNum w:abstractNumId="80">
    <w:nsid w:val="288F1A34"/>
    <w:multiLevelType w:val="hybridMultilevel"/>
    <w:lvl w:ilvl="0">
      <w:lvlJc w:val="left"/>
      <w:lvlText w:val="•"/>
      <w:numFmt w:val="bullet"/>
      <w:start w:val="1"/>
    </w:lvl>
  </w:abstractNum>
  <w:abstractNum w:abstractNumId="81">
    <w:nsid w:val="2A155DBC"/>
    <w:multiLevelType w:val="hybridMultilevel"/>
    <w:lvl w:ilvl="0">
      <w:lvlJc w:val="left"/>
      <w:lvlText w:val="(%1)"/>
      <w:numFmt w:val="decimal"/>
      <w:start w:val="1"/>
    </w:lvl>
  </w:abstractNum>
  <w:abstractNum w:abstractNumId="82">
    <w:nsid w:val="1D9F6E5F"/>
    <w:multiLevelType w:val="hybridMultilevel"/>
    <w:lvl w:ilvl="0">
      <w:lvlJc w:val="left"/>
      <w:lvlText w:val="(%1)"/>
      <w:numFmt w:val="lowerRoman"/>
      <w:start w:val="2"/>
    </w:lvl>
  </w:abstractNum>
  <w:abstractNum w:abstractNumId="83">
    <w:nsid w:val="97E1B4E"/>
    <w:multiLevelType w:val="hybridMultilevel"/>
    <w:lvl w:ilvl="0">
      <w:lvlJc w:val="left"/>
      <w:lvlText w:val="•"/>
      <w:numFmt w:val="bullet"/>
      <w:start w:val="1"/>
    </w:lvl>
  </w:abstractNum>
  <w:abstractNum w:abstractNumId="84">
    <w:nsid w:val="51088277"/>
    <w:multiLevelType w:val="hybridMultilevel"/>
    <w:lvl w:ilvl="0">
      <w:lvlJc w:val="left"/>
      <w:lvlText w:val="•"/>
      <w:numFmt w:val="bullet"/>
      <w:start w:val="1"/>
    </w:lvl>
  </w:abstractNum>
  <w:abstractNum w:abstractNumId="85">
    <w:nsid w:val="1CA0C5FA"/>
    <w:multiLevelType w:val="hybridMultilevel"/>
    <w:lvl w:ilvl="0">
      <w:lvlJc w:val="left"/>
      <w:lvlText w:val="•"/>
      <w:numFmt w:val="bullet"/>
      <w:start w:val="1"/>
    </w:lvl>
  </w:abstractNum>
  <w:abstractNum w:abstractNumId="86">
    <w:nsid w:val="53584BCB"/>
    <w:multiLevelType w:val="hybridMultilevel"/>
    <w:lvl w:ilvl="0">
      <w:lvlJc w:val="left"/>
      <w:lvlText w:val="•"/>
      <w:numFmt w:val="bullet"/>
      <w:start w:val="1"/>
    </w:lvl>
  </w:abstractNum>
  <w:abstractNum w:abstractNumId="87">
    <w:nsid w:val="415E286C"/>
    <w:multiLevelType w:val="hybridMultilevel"/>
    <w:lvl w:ilvl="0">
      <w:lvlJc w:val="left"/>
      <w:lvlText w:val="•"/>
      <w:numFmt w:val="bullet"/>
      <w:start w:val="1"/>
    </w:lvl>
  </w:abstractNum>
  <w:abstractNum w:abstractNumId="88">
    <w:nsid w:val="7C58FD05"/>
    <w:multiLevelType w:val="hybridMultilevel"/>
    <w:lvl w:ilvl="0">
      <w:lvlJc w:val="left"/>
      <w:lvlText w:val="(%1)"/>
      <w:numFmt w:val="lowerLetter"/>
      <w:start w:val="1"/>
    </w:lvl>
  </w:abstractNum>
  <w:abstractNum w:abstractNumId="89">
    <w:nsid w:val="23D86AAC"/>
    <w:multiLevelType w:val="hybridMultilevel"/>
    <w:lvl w:ilvl="0">
      <w:lvlJc w:val="left"/>
      <w:lvlText w:val="(%1)"/>
      <w:numFmt w:val="lowerLetter"/>
      <w:start w:val="1"/>
    </w:lvl>
  </w:abstractNum>
  <w:abstractNum w:abstractNumId="90">
    <w:nsid w:val="45E6D486"/>
    <w:multiLevelType w:val="hybridMultilevel"/>
    <w:lvl w:ilvl="0">
      <w:lvlJc w:val="left"/>
      <w:lvlText w:val="\endash "/>
      <w:numFmt w:val="bullet"/>
      <w:start w:val="1"/>
    </w:lvl>
  </w:abstractNum>
  <w:abstractNum w:abstractNumId="91">
    <w:nsid w:val="5C10FE21"/>
    <w:multiLevelType w:val="hybridMultilevel"/>
    <w:lvl w:ilvl="0">
      <w:lvlJc w:val="left"/>
      <w:lvlText w:val="%1"/>
      <w:numFmt w:val="decimal"/>
      <w:start w:val="949"/>
    </w:lvl>
  </w:abstractNum>
  <w:abstractNum w:abstractNumId="92">
    <w:nsid w:val="E7FFA2B"/>
    <w:multiLevelType w:val="hybridMultilevel"/>
    <w:lvl w:ilvl="0">
      <w:lvlJc w:val="left"/>
      <w:lvlText w:val="(%1)"/>
      <w:numFmt w:val="decimal"/>
      <w:start w:val="1"/>
    </w:lvl>
  </w:abstractNum>
  <w:abstractNum w:abstractNumId="93">
    <w:nsid w:val="3C5991AA"/>
    <w:multiLevelType w:val="hybridMultilevel"/>
    <w:lvl w:ilvl="0">
      <w:lvlJc w:val="left"/>
      <w:lvlText w:val="(%1)"/>
      <w:numFmt w:val="decimal"/>
      <w:start w:val="1"/>
    </w:lvl>
  </w:abstractNum>
  <w:abstractNum w:abstractNumId="94">
    <w:nsid w:val="4BD8591A"/>
    <w:multiLevelType w:val="hybridMultilevel"/>
    <w:lvl w:ilvl="0">
      <w:lvlJc w:val="left"/>
      <w:lvlText w:val="(%1)"/>
      <w:numFmt w:val="decimal"/>
      <w:start w:val="1"/>
    </w:lvl>
  </w:abstractNum>
  <w:abstractNum w:abstractNumId="95">
    <w:nsid w:val="78DF6A55"/>
    <w:multiLevelType w:val="hybridMultilevel"/>
    <w:lvl w:ilvl="0">
      <w:lvlJc w:val="left"/>
      <w:lvlText w:val="l"/>
      <w:numFmt w:val="bullet"/>
      <w:start w:val="1"/>
    </w:lvl>
  </w:abstractNum>
  <w:abstractNum w:abstractNumId="96">
    <w:nsid w:val="39B7AAA2"/>
    <w:multiLevelType w:val="hybridMultilevel"/>
    <w:lvl w:ilvl="0">
      <w:lvlJc w:val="left"/>
      <w:lvlText w:val="l"/>
      <w:numFmt w:val="bullet"/>
      <w:start w:val="1"/>
    </w:lvl>
  </w:abstractNum>
  <w:abstractNum w:abstractNumId="97">
    <w:nsid w:val="2B0D8DBE"/>
    <w:multiLevelType w:val="hybridMultilevel"/>
    <w:lvl w:ilvl="0">
      <w:lvlJc w:val="left"/>
      <w:lvlText w:val="(%1)"/>
      <w:numFmt w:val="lowerRoman"/>
      <w:start w:val="2"/>
    </w:lvl>
  </w:abstractNum>
  <w:abstractNum w:abstractNumId="98">
    <w:nsid w:val="6C80EC70"/>
    <w:multiLevelType w:val="hybridMultilevel"/>
    <w:lvl w:ilvl="0">
      <w:lvlJc w:val="left"/>
      <w:lvlText w:val="l"/>
      <w:numFmt w:val="bullet"/>
      <w:start w:val="1"/>
    </w:lvl>
  </w:abstractNum>
  <w:abstractNum w:abstractNumId="99">
    <w:nsid w:val="379E21B5"/>
    <w:multiLevelType w:val="hybridMultilevel"/>
    <w:lvl w:ilvl="0">
      <w:lvlJc w:val="left"/>
      <w:lvlText w:val="(%1)"/>
      <w:numFmt w:val="decimal"/>
      <w:start w:val="1"/>
    </w:lvl>
  </w:abstractNum>
  <w:abstractNum w:abstractNumId="100">
    <w:nsid w:val="69E373"/>
    <w:multiLevelType w:val="hybridMultilevel"/>
    <w:lvl w:ilvl="0">
      <w:lvlJc w:val="left"/>
      <w:lvlText w:val="(%1)"/>
      <w:numFmt w:val="lowerLetter"/>
      <w:start w:val="1"/>
    </w:lvl>
  </w:abstractNum>
  <w:abstractNum w:abstractNumId="101">
    <w:nsid w:val="2C27173B"/>
    <w:multiLevelType w:val="hybridMultilevel"/>
    <w:lvl w:ilvl="0">
      <w:lvlJc w:val="left"/>
      <w:lvlText w:val="(%1)"/>
      <w:numFmt w:val="lowerLetter"/>
      <w:start w:val="3"/>
    </w:lvl>
  </w:abstractNum>
  <w:abstractNum w:abstractNumId="102">
    <w:nsid w:val="4C9B0904"/>
    <w:multiLevelType w:val="hybridMultilevel"/>
    <w:lvl w:ilvl="0">
      <w:lvlJc w:val="left"/>
      <w:lvlText w:val="(%1)"/>
      <w:numFmt w:val="lowerLetter"/>
      <w:start w:val="9"/>
    </w:lvl>
  </w:abstractNum>
  <w:abstractNum w:abstractNumId="103">
    <w:nsid w:val="6AA7B75C"/>
    <w:multiLevelType w:val="hybridMultilevel"/>
    <w:lvl w:ilvl="0">
      <w:lvlJc w:val="left"/>
      <w:lvlText w:val="(%1)"/>
      <w:numFmt w:val="lowerLetter"/>
      <w:start w:val="1"/>
    </w:lvl>
  </w:abstractNum>
  <w:abstractNum w:abstractNumId="104">
    <w:nsid w:val="1DF029D3"/>
    <w:multiLevelType w:val="hybridMultilevel"/>
    <w:lvl w:ilvl="0">
      <w:lvlJc w:val="left"/>
      <w:lvlText w:val="(%1)"/>
      <w:numFmt w:val="lowerLetter"/>
      <w:start w:val="1"/>
    </w:lvl>
  </w:abstractNum>
  <w:abstractNum w:abstractNumId="105">
    <w:nsid w:val="5675FF36"/>
    <w:multiLevelType w:val="hybridMultilevel"/>
    <w:lvl w:ilvl="0">
      <w:lvlJc w:val="left"/>
      <w:lvlText w:val="(%1)"/>
      <w:numFmt w:val="lowerLetter"/>
      <w:start w:val="2"/>
    </w:lvl>
    <w:lvl w:ilvl="1">
      <w:lvlJc w:val="left"/>
      <w:lvlText w:val="(%2)"/>
      <w:numFmt w:val="decimal"/>
      <w:start w:val="1"/>
    </w:lvl>
  </w:abstractNum>
  <w:abstractNum w:abstractNumId="106">
    <w:nsid w:val="3DD15094"/>
    <w:multiLevelType w:val="hybridMultilevel"/>
    <w:lvl w:ilvl="0">
      <w:lvlJc w:val="left"/>
      <w:lvlText w:val="(%1)"/>
      <w:numFmt w:val="lowerRoman"/>
      <w:start w:val="1"/>
    </w:lvl>
  </w:abstractNum>
  <w:abstractNum w:abstractNumId="107">
    <w:nsid w:val="3DB012B3"/>
    <w:multiLevelType w:val="hybridMultilevel"/>
    <w:lvl w:ilvl="0">
      <w:lvlJc w:val="left"/>
      <w:lvlText w:val="*"/>
      <w:numFmt w:val="bullet"/>
      <w:start w:val="1"/>
    </w:lvl>
  </w:abstractNum>
  <w:abstractNum w:abstractNumId="108">
    <w:nsid w:val="2708C9AF"/>
    <w:multiLevelType w:val="hybridMultilevel"/>
    <w:lvl w:ilvl="0">
      <w:lvlJc w:val="left"/>
      <w:lvlText w:val="%1."/>
      <w:numFmt w:val="decimal"/>
      <w:start w:val="1"/>
    </w:lvl>
  </w:abstractNum>
  <w:abstractNum w:abstractNumId="109">
    <w:nsid w:val="5B25ACE2"/>
    <w:multiLevelType w:val="hybridMultilevel"/>
    <w:lvl w:ilvl="0">
      <w:lvlJc w:val="left"/>
      <w:lvlText w:val="%1."/>
      <w:numFmt w:val="decimal"/>
      <w:start w:val="1"/>
    </w:lvl>
  </w:abstractNum>
  <w:abstractNum w:abstractNumId="110">
    <w:nsid w:val="175DFCF0"/>
    <w:multiLevelType w:val="hybridMultilevel"/>
    <w:lvl w:ilvl="0">
      <w:lvlJc w:val="left"/>
      <w:lvlText w:val="(%1)"/>
      <w:numFmt w:val="lowerRoman"/>
      <w:start w:val="1"/>
    </w:lvl>
  </w:abstractNum>
  <w:abstractNum w:abstractNumId="111">
    <w:nsid w:val="4F97E3E4"/>
    <w:multiLevelType w:val="hybridMultilevel"/>
    <w:lvl w:ilvl="0">
      <w:lvlJc w:val="left"/>
      <w:lvlText w:val="(%1)"/>
      <w:numFmt w:val="lowerLetter"/>
      <w:start w:val="1"/>
    </w:lvl>
    <w:lvl w:ilvl="1">
      <w:lvlJc w:val="left"/>
      <w:lvlText w:val="(%2)"/>
      <w:numFmt w:val="lowerRoman"/>
      <w:start w:val="1"/>
    </w:lvl>
  </w:abstractNum>
  <w:abstractNum w:abstractNumId="112">
    <w:nsid w:val="53B0A9E"/>
    <w:multiLevelType w:val="hybridMultilevel"/>
    <w:lvl w:ilvl="0">
      <w:lvlJc w:val="left"/>
      <w:lvlText w:val="(%1)"/>
      <w:numFmt w:val="lowerRoman"/>
      <w:start w:val="2"/>
    </w:lvl>
  </w:abstractNum>
  <w:abstractNum w:abstractNumId="113">
    <w:nsid w:val="34FD6B4F"/>
    <w:multiLevelType w:val="hybridMultilevel"/>
    <w:lvl w:ilvl="0">
      <w:lvlJc w:val="left"/>
      <w:lvlText w:val="●"/>
      <w:numFmt w:val="bullet"/>
      <w:start w:val="1"/>
    </w:lvl>
  </w:abstractNum>
  <w:abstractNum w:abstractNumId="114">
    <w:nsid w:val="5915FF32"/>
    <w:multiLevelType w:val="hybridMultilevel"/>
    <w:lvl w:ilvl="0">
      <w:lvlJc w:val="left"/>
      <w:lvlText w:val="●"/>
      <w:numFmt w:val="bullet"/>
      <w:start w:val="1"/>
    </w:lvl>
  </w:abstractNum>
  <w:abstractNum w:abstractNumId="115">
    <w:nsid w:val="56438D15"/>
    <w:multiLevelType w:val="hybridMultilevel"/>
    <w:lvl w:ilvl="0">
      <w:lvlJc w:val="left"/>
      <w:lvlText w:val="(%1)"/>
      <w:numFmt w:val="lowerRoman"/>
      <w:start w:val="3"/>
    </w:lvl>
  </w:abstractNum>
  <w:abstractNum w:abstractNumId="116">
    <w:nsid w:val="519E3149"/>
    <w:multiLevelType w:val="hybridMultilevel"/>
    <w:lvl w:ilvl="0">
      <w:lvlJc w:val="left"/>
      <w:lvlText w:val="(%1)"/>
      <w:numFmt w:val="lowerLetter"/>
      <w:start w:val="3"/>
    </w:lvl>
  </w:abstractNum>
  <w:abstractNum w:abstractNumId="117">
    <w:nsid w:val="2C6E4AFD"/>
    <w:multiLevelType w:val="hybridMultilevel"/>
    <w:lvl w:ilvl="0">
      <w:lvlJc w:val="left"/>
      <w:lvlText w:val="(%1)"/>
      <w:numFmt w:val="lowerRoman"/>
      <w:start w:val="3"/>
    </w:lvl>
  </w:abstractNum>
  <w:abstractNum w:abstractNumId="118">
    <w:nsid w:val="17A1B582"/>
    <w:multiLevelType w:val="hybridMultilevel"/>
    <w:lvl w:ilvl="0">
      <w:lvlJc w:val="left"/>
      <w:lvlText w:val="(%1)"/>
      <w:numFmt w:val="lowerLetter"/>
      <w:start w:val="2"/>
    </w:lvl>
  </w:abstractNum>
  <w:abstractNum w:abstractNumId="119">
    <w:nsid w:val="4DF72E4E"/>
    <w:multiLevelType w:val="hybridMultilevel"/>
    <w:lvl w:ilvl="0">
      <w:lvlJc w:val="left"/>
      <w:lvlText w:val="(%1)"/>
      <w:numFmt w:val="lowerLetter"/>
      <w:start w:val="6"/>
    </w:lvl>
  </w:abstractNum>
  <w:abstractNum w:abstractNumId="120">
    <w:nsid w:val="5046B5A9"/>
    <w:multiLevelType w:val="hybridMultilevel"/>
    <w:lvl w:ilvl="0">
      <w:lvlJc w:val="left"/>
      <w:lvlText w:val="%1."/>
      <w:numFmt w:val="decimal"/>
      <w:start w:val="1"/>
    </w:lvl>
    <w:lvl w:ilvl="1">
      <w:lvlJc w:val="left"/>
      <w:lvlText w:val="(%2)"/>
      <w:numFmt w:val="lowerLetter"/>
      <w:start w:val="1"/>
    </w:lvl>
  </w:abstractNum>
  <w:abstractNum w:abstractNumId="121">
    <w:nsid w:val="5D888A08"/>
    <w:multiLevelType w:val="hybridMultilevel"/>
    <w:lvl w:ilvl="0">
      <w:lvlJc w:val="left"/>
      <w:lvlText w:val="%1"/>
      <w:numFmt w:val="decimal"/>
      <w:start w:val="1"/>
    </w:lvl>
    <w:lvl w:ilvl="1">
      <w:lvlJc w:val="left"/>
      <w:lvlText w:val="(%2)"/>
      <w:numFmt w:val="lowerLetter"/>
      <w:start w:val="3"/>
    </w:lvl>
  </w:abstractNum>
  <w:abstractNum w:abstractNumId="122">
    <w:nsid w:val="2A082C70"/>
    <w:multiLevelType w:val="hybridMultilevel"/>
    <w:lvl w:ilvl="0">
      <w:lvlJc w:val="left"/>
      <w:lvlText w:val="%1."/>
      <w:numFmt w:val="decimal"/>
      <w:start w:val="6"/>
    </w:lvl>
    <w:lvl w:ilvl="1">
      <w:lvlJc w:val="left"/>
      <w:lvlText w:val="(%2)"/>
      <w:numFmt w:val="lowerLetter"/>
      <w:start w:val="1"/>
    </w:lvl>
  </w:abstractNum>
  <w:abstractNum w:abstractNumId="123">
    <w:nsid w:val="5EC6AFD4"/>
    <w:multiLevelType w:val="hybridMultilevel"/>
    <w:lvl w:ilvl="0">
      <w:lvlJc w:val="left"/>
      <w:lvlText w:val="(%1)"/>
      <w:numFmt w:val="lowerRoman"/>
      <w:start w:val="1"/>
    </w:lvl>
  </w:abstractNum>
  <w:abstractNum w:abstractNumId="124">
    <w:nsid w:val="19E21BB2"/>
    <w:multiLevelType w:val="hybridMultilevel"/>
    <w:lvl w:ilvl="0">
      <w:lvlJc w:val="left"/>
      <w:lvlText w:val="%1."/>
      <w:numFmt w:val="decimal"/>
      <w:start w:val="10"/>
    </w:lvl>
  </w:abstractNum>
  <w:abstractNum w:abstractNumId="125">
    <w:nsid w:val="75E0858A"/>
    <w:multiLevelType w:val="hybridMultilevel"/>
    <w:lvl w:ilvl="0">
      <w:lvlJc w:val="left"/>
      <w:lvlText w:val="%1."/>
      <w:numFmt w:val="decimal"/>
      <w:start w:val="12"/>
    </w:lvl>
  </w:abstractNum>
  <w:abstractNum w:abstractNumId="126">
    <w:nsid w:val="57A61A29"/>
    <w:multiLevelType w:val="hybridMultilevel"/>
    <w:lvl w:ilvl="0">
      <w:lvlJc w:val="left"/>
      <w:lvlText w:val="%1."/>
      <w:numFmt w:val="decimal"/>
      <w:start w:val="1"/>
    </w:lvl>
  </w:abstractNum>
  <w:abstractNum w:abstractNumId="127">
    <w:nsid w:val="5399C654"/>
    <w:multiLevelType w:val="hybridMultilevel"/>
    <w:lvl w:ilvl="0">
      <w:lvlJc w:val="left"/>
      <w:lvlText w:val="%1."/>
      <w:numFmt w:val="decimal"/>
      <w:start w:val="2"/>
    </w:lvl>
  </w:abstractNum>
  <w:abstractNum w:abstractNumId="128">
    <w:nsid w:val="20EE1348"/>
    <w:multiLevelType w:val="hybridMultilevel"/>
    <w:lvl w:ilvl="0">
      <w:lvlJc w:val="left"/>
      <w:lvlText w:val="(%1)"/>
      <w:numFmt w:val="decimal"/>
      <w:start w:val="3"/>
    </w:lvl>
  </w:abstractNum>
  <w:abstractNum w:abstractNumId="129">
    <w:nsid w:val="4427069A"/>
    <w:multiLevelType w:val="hybridMultilevel"/>
    <w:lvl w:ilvl="0">
      <w:lvlJc w:val="left"/>
      <w:lvlText w:val="(%1)"/>
      <w:numFmt w:val="lowerRoman"/>
      <w:start w:val="1"/>
    </w:lvl>
  </w:abstractNum>
  <w:abstractNum w:abstractNumId="130">
    <w:nsid w:val="B37E80A"/>
    <w:multiLevelType w:val="hybridMultilevel"/>
    <w:lvl w:ilvl="0">
      <w:lvlJc w:val="left"/>
      <w:lvlText w:val="%1."/>
      <w:numFmt w:val="decimal"/>
      <w:start w:val="3"/>
    </w:lvl>
  </w:abstractNum>
  <w:abstractNum w:abstractNumId="131">
    <w:nsid w:val="2157F6BC"/>
    <w:multiLevelType w:val="hybridMultilevel"/>
    <w:lvl w:ilvl="0">
      <w:lvlJc w:val="left"/>
      <w:lvlText w:val="%1."/>
      <w:numFmt w:val="decimal"/>
      <w:start w:val="4"/>
    </w:lvl>
  </w:abstractNum>
  <w:abstractNum w:abstractNumId="132">
    <w:nsid w:val="704E1DD5"/>
    <w:multiLevelType w:val="hybridMultilevel"/>
    <w:lvl w:ilvl="0">
      <w:lvlJc w:val="left"/>
      <w:lvlText w:val="%1."/>
      <w:numFmt w:val="decimal"/>
      <w:start w:val="5"/>
    </w:lvl>
  </w:abstractNum>
  <w:abstractNum w:abstractNumId="133">
    <w:nsid w:val="57D2F10E"/>
    <w:multiLevelType w:val="hybridMultilevel"/>
    <w:lvl w:ilvl="0">
      <w:lvlJc w:val="left"/>
      <w:lvlText w:val="%1."/>
      <w:numFmt w:val="decimal"/>
      <w:start w:val="6"/>
    </w:lvl>
  </w:abstractNum>
  <w:abstractNum w:abstractNumId="134">
    <w:nsid w:val="BFFAE18"/>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2021-10-13T16:21:03Z</dcterms:created>
  <dcterms:modified xsi:type="dcterms:W3CDTF">2021-10-13T16:21:03Z</dcterms:modified>
</cp:coreProperties>
</file>