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As filed with the Securities and Exchange Commission on December 2, 2021.</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333-258914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3 TO FORM S-1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BurTech Acquisition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ind w:left="1420"/>
              <w:spacing w:after="0"/>
              <w:rPr>
                <w:sz w:val="20"/>
                <w:szCs w:val="20"/>
                <w:color w:val="auto"/>
              </w:rPr>
            </w:pPr>
            <w:r>
              <w:rPr>
                <w:rFonts w:ascii="Arial" w:cs="Arial" w:eastAsia="Arial" w:hAnsi="Arial"/>
                <w:sz w:val="18"/>
                <w:szCs w:val="18"/>
                <w:b w:val="1"/>
                <w:bCs w:val="1"/>
                <w:color w:val="auto"/>
              </w:rPr>
              <w:t>Delaware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85-2708752</w:t>
            </w:r>
          </w:p>
        </w:tc>
      </w:tr>
      <w:tr>
        <w:trPr>
          <w:trHeight w:val="195"/>
        </w:trPr>
        <w:tc>
          <w:tcPr>
            <w:tcW w:w="3620" w:type="dxa"/>
            <w:vAlign w:val="bottom"/>
            <w:tcBorders>
              <w:top w:val="single" w:sz="8" w:color="auto"/>
            </w:tcBorders>
          </w:tcPr>
          <w:p>
            <w:pPr>
              <w:ind w:left="740"/>
              <w:spacing w:after="0" w:line="195" w:lineRule="exact"/>
              <w:rPr>
                <w:sz w:val="20"/>
                <w:szCs w:val="20"/>
                <w:color w:val="auto"/>
              </w:rPr>
            </w:pPr>
            <w:r>
              <w:rPr>
                <w:rFonts w:ascii="Arial" w:cs="Arial" w:eastAsia="Arial" w:hAnsi="Arial"/>
                <w:sz w:val="18"/>
                <w:szCs w:val="18"/>
                <w:color w:val="auto"/>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ind w:left="720"/>
              <w:spacing w:after="0"/>
              <w:rPr>
                <w:sz w:val="20"/>
                <w:szCs w:val="20"/>
                <w:color w:val="auto"/>
              </w:rPr>
            </w:pPr>
            <w:r>
              <w:rPr>
                <w:rFonts w:ascii="Arial" w:cs="Arial" w:eastAsia="Arial" w:hAnsi="Arial"/>
                <w:sz w:val="18"/>
                <w:szCs w:val="18"/>
                <w:color w:val="auto"/>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1300 Pennsylvania Ave NW, Suite 700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w:t>
      </w:r>
      <w:r>
        <w:rPr>
          <w:rFonts w:ascii="Arial" w:cs="Arial" w:eastAsia="Arial" w:hAnsi="Arial"/>
          <w:sz w:val="18"/>
          <w:szCs w:val="18"/>
          <w:color w:val="auto"/>
        </w:rPr>
        <w:t>202) 600-5757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Shahal Khan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1300 Pennsylvania Ave NW, Suite 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20004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(202) 600-5757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tbl>
      <w:tblPr>
        <w:tblLayout w:type="fixed"/>
        <w:tblInd w:w="1760" w:type="dxa"/>
        <w:tblCellMar>
          <w:top w:w="0" w:type="dxa"/>
          <w:left w:w="0" w:type="dxa"/>
          <w:bottom w:w="0" w:type="dxa"/>
          <w:right w:w="0" w:type="dxa"/>
        </w:tblCellMar>
      </w:tblPr>
      <w:tr>
        <w:trPr>
          <w:trHeight w:val="230"/>
        </w:trPr>
        <w:tc>
          <w:tcPr>
            <w:tcW w:w="2760" w:type="dxa"/>
            <w:vAlign w:val="bottom"/>
          </w:tcPr>
          <w:p>
            <w:pPr>
              <w:spacing w:after="0"/>
              <w:rPr>
                <w:sz w:val="20"/>
                <w:szCs w:val="20"/>
                <w:color w:val="auto"/>
              </w:rPr>
            </w:pPr>
          </w:p>
        </w:tc>
        <w:tc>
          <w:tcPr>
            <w:tcW w:w="5320" w:type="dxa"/>
            <w:vAlign w:val="bottom"/>
          </w:tcPr>
          <w:p>
            <w:pPr>
              <w:ind w:left="740"/>
              <w:spacing w:after="0"/>
              <w:rPr>
                <w:sz w:val="20"/>
                <w:szCs w:val="20"/>
                <w:color w:val="auto"/>
              </w:rPr>
            </w:pPr>
            <w:r>
              <w:rPr>
                <w:rFonts w:ascii="Arial" w:cs="Arial" w:eastAsia="Arial" w:hAnsi="Arial"/>
                <w:sz w:val="18"/>
                <w:szCs w:val="18"/>
                <w:b w:val="1"/>
                <w:bCs w:val="1"/>
                <w:i w:val="1"/>
                <w:iCs w:val="1"/>
                <w:color w:val="auto"/>
              </w:rPr>
              <w:t>Copies to:</w:t>
            </w:r>
          </w:p>
        </w:tc>
      </w:tr>
      <w:tr>
        <w:trPr>
          <w:trHeight w:val="414"/>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0"/>
              </w:rPr>
              <w:t>Mitchell S. Nussbaum</w:t>
            </w:r>
          </w:p>
        </w:tc>
        <w:tc>
          <w:tcPr>
            <w:tcW w:w="5320" w:type="dxa"/>
            <w:vAlign w:val="bottom"/>
          </w:tcPr>
          <w:p>
            <w:pPr>
              <w:spacing w:after="0"/>
              <w:rPr>
                <w:sz w:val="24"/>
                <w:szCs w:val="24"/>
                <w:color w:val="auto"/>
              </w:rPr>
            </w:pPr>
          </w:p>
        </w:tc>
      </w:tr>
      <w:tr>
        <w:trPr>
          <w:trHeight w:val="216"/>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3"/>
              </w:rPr>
              <w:t>G. Alex Weniger-Araujo</w:t>
            </w:r>
          </w:p>
        </w:tc>
        <w:tc>
          <w:tcPr>
            <w:tcW w:w="5320" w:type="dxa"/>
            <w:vAlign w:val="bottom"/>
          </w:tcPr>
          <w:p>
            <w:pPr>
              <w:jc w:val="center"/>
              <w:ind w:left="2530"/>
              <w:spacing w:after="0"/>
              <w:rPr>
                <w:sz w:val="20"/>
                <w:szCs w:val="20"/>
                <w:color w:val="auto"/>
              </w:rPr>
            </w:pPr>
            <w:r>
              <w:rPr>
                <w:rFonts w:ascii="Arial" w:cs="Arial" w:eastAsia="Arial" w:hAnsi="Arial"/>
                <w:sz w:val="18"/>
                <w:szCs w:val="18"/>
                <w:b w:val="1"/>
                <w:bCs w:val="1"/>
                <w:color w:val="auto"/>
                <w:w w:val="88"/>
              </w:rPr>
              <w:t>Joseph M. Lucosky, Esq.</w:t>
            </w:r>
          </w:p>
        </w:tc>
      </w:tr>
      <w:tr>
        <w:trPr>
          <w:trHeight w:val="216"/>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4"/>
              </w:rPr>
              <w:t>Loeb &amp; Loeb LLP</w:t>
            </w:r>
          </w:p>
        </w:tc>
        <w:tc>
          <w:tcPr>
            <w:tcW w:w="5320" w:type="dxa"/>
            <w:vAlign w:val="bottom"/>
          </w:tcPr>
          <w:p>
            <w:pPr>
              <w:jc w:val="center"/>
              <w:ind w:left="2530"/>
              <w:spacing w:after="0"/>
              <w:rPr>
                <w:sz w:val="20"/>
                <w:szCs w:val="20"/>
                <w:color w:val="auto"/>
              </w:rPr>
            </w:pPr>
            <w:r>
              <w:rPr>
                <w:rFonts w:ascii="Arial" w:cs="Arial" w:eastAsia="Arial" w:hAnsi="Arial"/>
                <w:sz w:val="18"/>
                <w:szCs w:val="18"/>
                <w:b w:val="1"/>
                <w:bCs w:val="1"/>
                <w:color w:val="auto"/>
                <w:w w:val="92"/>
              </w:rPr>
              <w:t>Lucosky Brookman LLP</w:t>
            </w:r>
          </w:p>
        </w:tc>
      </w:tr>
      <w:tr>
        <w:trPr>
          <w:trHeight w:val="216"/>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345 Park Avenue</w:t>
            </w:r>
          </w:p>
        </w:tc>
        <w:tc>
          <w:tcPr>
            <w:tcW w:w="5320" w:type="dxa"/>
            <w:vAlign w:val="bottom"/>
          </w:tcPr>
          <w:p>
            <w:pPr>
              <w:jc w:val="center"/>
              <w:ind w:left="2550"/>
              <w:spacing w:after="0"/>
              <w:rPr>
                <w:sz w:val="20"/>
                <w:szCs w:val="20"/>
                <w:color w:val="auto"/>
              </w:rPr>
            </w:pPr>
            <w:r>
              <w:rPr>
                <w:rFonts w:ascii="Arial" w:cs="Arial" w:eastAsia="Arial" w:hAnsi="Arial"/>
                <w:sz w:val="18"/>
                <w:szCs w:val="18"/>
                <w:b w:val="1"/>
                <w:bCs w:val="1"/>
                <w:color w:val="auto"/>
                <w:w w:val="89"/>
              </w:rPr>
              <w:t>101 Wood Avenue South, 5th Floor</w:t>
            </w:r>
          </w:p>
        </w:tc>
      </w:tr>
      <w:tr>
        <w:trPr>
          <w:trHeight w:val="216"/>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92"/>
              </w:rPr>
              <w:t>New York, NY 10154</w:t>
            </w:r>
          </w:p>
        </w:tc>
        <w:tc>
          <w:tcPr>
            <w:tcW w:w="5320" w:type="dxa"/>
            <w:vAlign w:val="bottom"/>
          </w:tcPr>
          <w:p>
            <w:pPr>
              <w:jc w:val="center"/>
              <w:ind w:left="2530"/>
              <w:spacing w:after="0"/>
              <w:rPr>
                <w:sz w:val="20"/>
                <w:szCs w:val="20"/>
                <w:color w:val="auto"/>
              </w:rPr>
            </w:pPr>
            <w:r>
              <w:rPr>
                <w:rFonts w:ascii="Arial" w:cs="Arial" w:eastAsia="Arial" w:hAnsi="Arial"/>
                <w:sz w:val="18"/>
                <w:szCs w:val="18"/>
                <w:b w:val="1"/>
                <w:bCs w:val="1"/>
                <w:color w:val="auto"/>
                <w:w w:val="89"/>
              </w:rPr>
              <w:t>Woodbridge, New Jersey 08830</w:t>
            </w:r>
          </w:p>
        </w:tc>
      </w:tr>
      <w:tr>
        <w:trPr>
          <w:trHeight w:val="234"/>
        </w:trPr>
        <w:tc>
          <w:tcPr>
            <w:tcW w:w="276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Telephone: (212) 407-4000</w:t>
            </w:r>
          </w:p>
        </w:tc>
        <w:tc>
          <w:tcPr>
            <w:tcW w:w="5320" w:type="dxa"/>
            <w:vAlign w:val="bottom"/>
          </w:tcPr>
          <w:p>
            <w:pPr>
              <w:jc w:val="center"/>
              <w:ind w:left="2570"/>
              <w:spacing w:after="0"/>
              <w:rPr>
                <w:sz w:val="20"/>
                <w:szCs w:val="20"/>
                <w:color w:val="auto"/>
              </w:rPr>
            </w:pPr>
            <w:r>
              <w:rPr>
                <w:rFonts w:ascii="Arial" w:cs="Arial" w:eastAsia="Arial" w:hAnsi="Arial"/>
                <w:sz w:val="18"/>
                <w:szCs w:val="18"/>
                <w:b w:val="1"/>
                <w:bCs w:val="1"/>
                <w:color w:val="auto"/>
                <w:w w:val="90"/>
              </w:rPr>
              <w:t>Telephone: (732) 395-4402</w:t>
            </w:r>
          </w:p>
        </w:tc>
      </w:tr>
    </w:tbl>
    <w:p>
      <w:pPr>
        <w:spacing w:after="0" w:line="200" w:lineRule="exact"/>
        <w:rPr>
          <w:sz w:val="24"/>
          <w:szCs w:val="24"/>
          <w:color w:val="auto"/>
        </w:rPr>
      </w:pPr>
    </w:p>
    <w:p>
      <w:pPr>
        <w:spacing w:after="0" w:line="214" w:lineRule="exact"/>
        <w:rPr>
          <w:sz w:val="24"/>
          <w:szCs w:val="24"/>
          <w:color w:val="auto"/>
        </w:rPr>
      </w:pPr>
    </w:p>
    <w:p>
      <w:pPr>
        <w:ind w:left="34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of this registration statement.</w:t>
      </w:r>
    </w:p>
    <w:p>
      <w:pPr>
        <w:spacing w:after="0" w:line="252"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300" w:firstLine="324"/>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82" w:lineRule="exact"/>
        <w:rPr>
          <w:sz w:val="24"/>
          <w:szCs w:val="24"/>
          <w:color w:val="auto"/>
        </w:rPr>
      </w:pPr>
    </w:p>
    <w:p>
      <w:pPr>
        <w:ind w:right="2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0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00"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2"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21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8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160" w:type="dxa"/>
            <w:vAlign w:val="bottom"/>
          </w:tcPr>
          <w:p>
            <w:pPr>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138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1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138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880" w:type="dxa"/>
            <w:vAlign w:val="bottom"/>
            <w:gridSpan w:val="2"/>
          </w:tcPr>
          <w:p>
            <w:pPr>
              <w:ind w:left="120"/>
              <w:spacing w:after="0"/>
              <w:rPr>
                <w:sz w:val="20"/>
                <w:szCs w:val="20"/>
                <w:color w:val="auto"/>
              </w:rPr>
            </w:pPr>
            <w:r>
              <w:rPr>
                <w:rFonts w:ascii="Arial" w:cs="Arial" w:eastAsia="Arial" w:hAnsi="Arial"/>
                <w:sz w:val="18"/>
                <w:szCs w:val="18"/>
                <w:b w:val="1"/>
                <w:bCs w:val="1"/>
                <w:color w:val="auto"/>
              </w:rPr>
              <w:t>CALCULATION OF REGISTRATION FEE</w:t>
            </w:r>
          </w:p>
        </w:tc>
        <w:tc>
          <w:tcPr>
            <w:tcW w:w="15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4"/>
        </w:trPr>
        <w:tc>
          <w:tcPr>
            <w:tcW w:w="3780" w:type="dxa"/>
            <w:vAlign w:val="bottom"/>
          </w:tcPr>
          <w:p>
            <w:pPr>
              <w:spacing w:after="0"/>
              <w:rPr>
                <w:sz w:val="20"/>
                <w:szCs w:val="20"/>
                <w:color w:val="auto"/>
              </w:rPr>
            </w:pPr>
            <w:r>
              <w:rPr>
                <w:rFonts w:ascii="Arial" w:cs="Arial" w:eastAsia="Arial" w:hAnsi="Arial"/>
                <w:sz w:val="18"/>
                <w:szCs w:val="18"/>
                <w:b w:val="1"/>
                <w:bCs w:val="1"/>
                <w:color w:val="auto"/>
                <w:w w:val="91"/>
              </w:rPr>
              <w:t>Title of Each Class of Security Being Registered</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202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Proposed</w:t>
            </w: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4"/>
              </w:rPr>
              <w:t>Proposed</w:t>
            </w:r>
          </w:p>
        </w:tc>
        <w:tc>
          <w:tcPr>
            <w:tcW w:w="1420" w:type="dxa"/>
            <w:vAlign w:val="bottom"/>
          </w:tcPr>
          <w:p>
            <w:pPr>
              <w:jc w:val="center"/>
              <w:ind w:left="39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37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7"/>
              </w:rPr>
              <w:t>Being</w:t>
            </w:r>
          </w:p>
        </w:tc>
        <w:tc>
          <w:tcPr>
            <w:tcW w:w="202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Maximum</w:t>
            </w: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6"/>
              </w:rPr>
              <w:t>Maximum</w:t>
            </w:r>
          </w:p>
        </w:tc>
        <w:tc>
          <w:tcPr>
            <w:tcW w:w="142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Registration</w:t>
            </w:r>
          </w:p>
        </w:tc>
      </w:tr>
      <w:tr>
        <w:trPr>
          <w:trHeight w:val="234"/>
        </w:trPr>
        <w:tc>
          <w:tcPr>
            <w:tcW w:w="3780" w:type="dxa"/>
            <w:vAlign w:val="bottom"/>
          </w:tcPr>
          <w:p>
            <w:pPr>
              <w:spacing w:after="0"/>
              <w:rPr>
                <w:sz w:val="20"/>
                <w:szCs w:val="20"/>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202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Offering</w:t>
            </w: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Aggregate</w:t>
            </w:r>
          </w:p>
        </w:tc>
        <w:tc>
          <w:tcPr>
            <w:tcW w:w="1420" w:type="dxa"/>
            <w:vAlign w:val="bottom"/>
          </w:tcPr>
          <w:p>
            <w:pPr>
              <w:jc w:val="center"/>
              <w:ind w:left="430"/>
              <w:spacing w:after="0"/>
              <w:rPr>
                <w:sz w:val="20"/>
                <w:szCs w:val="20"/>
                <w:color w:val="auto"/>
              </w:rPr>
            </w:pPr>
            <w:r>
              <w:rPr>
                <w:rFonts w:ascii="Arial" w:cs="Arial" w:eastAsia="Arial" w:hAnsi="Arial"/>
                <w:sz w:val="18"/>
                <w:szCs w:val="18"/>
                <w:b w:val="1"/>
                <w:bCs w:val="1"/>
                <w:color w:val="auto"/>
                <w:w w:val="83"/>
              </w:rPr>
              <w:t>Fee</w:t>
            </w:r>
          </w:p>
        </w:tc>
      </w:tr>
    </w:tbl>
    <w:p>
      <w:pPr>
        <w:sectPr>
          <w:pgSz w:w="11900" w:h="16838" w:orient="portrait"/>
          <w:cols w:equalWidth="0" w:num="1">
            <w:col w:w="11240"/>
          </w:cols>
          <w:pgMar w:left="320" w:top="476"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Price per</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Offering</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71"/>
        </w:trPr>
        <w:tc>
          <w:tcPr>
            <w:tcW w:w="3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gridSpan w:val="2"/>
          </w:tcPr>
          <w:p>
            <w:pPr>
              <w:jc w:val="right"/>
              <w:ind w:right="500"/>
              <w:spacing w:after="0" w:line="271" w:lineRule="exact"/>
              <w:rPr>
                <w:sz w:val="20"/>
                <w:szCs w:val="20"/>
                <w:color w:val="auto"/>
              </w:rPr>
            </w:pPr>
            <w:r>
              <w:rPr>
                <w:rFonts w:ascii="Arial" w:cs="Arial" w:eastAsia="Arial" w:hAnsi="Arial"/>
                <w:sz w:val="18"/>
                <w:szCs w:val="18"/>
                <w:b w:val="1"/>
                <w:bCs w:val="1"/>
                <w:color w:val="auto"/>
                <w:w w:val="97"/>
              </w:rPr>
              <w:t>Security</w:t>
            </w:r>
            <w:r>
              <w:rPr>
                <w:rFonts w:ascii="Arial" w:cs="Arial" w:eastAsia="Arial" w:hAnsi="Arial"/>
                <w:sz w:val="29"/>
                <w:szCs w:val="29"/>
                <w:b w:val="1"/>
                <w:bCs w:val="1"/>
                <w:color w:val="auto"/>
                <w:w w:val="97"/>
                <w:vertAlign w:val="superscript"/>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tcPr>
          <w:p>
            <w:pPr>
              <w:jc w:val="right"/>
              <w:ind w:right="760"/>
              <w:spacing w:after="0" w:line="271" w:lineRule="exact"/>
              <w:rPr>
                <w:sz w:val="20"/>
                <w:szCs w:val="20"/>
                <w:color w:val="auto"/>
              </w:rPr>
            </w:pPr>
            <w:r>
              <w:rPr>
                <w:rFonts w:ascii="Arial" w:cs="Arial" w:eastAsia="Arial" w:hAnsi="Arial"/>
                <w:sz w:val="18"/>
                <w:szCs w:val="18"/>
                <w:b w:val="1"/>
                <w:bCs w:val="1"/>
                <w:color w:val="auto"/>
              </w:rPr>
              <w:t>Price</w:t>
            </w:r>
            <w:r>
              <w:rPr>
                <w:rFonts w:ascii="Arial" w:cs="Arial" w:eastAsia="Arial" w:hAnsi="Arial"/>
                <w:sz w:val="29"/>
                <w:szCs w:val="29"/>
                <w:b w:val="1"/>
                <w:bCs w:val="1"/>
                <w:color w:val="auto"/>
                <w:vertAlign w:val="superscript"/>
              </w:rPr>
              <w:t>(1)</w:t>
            </w: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195"/>
        </w:trPr>
        <w:tc>
          <w:tcPr>
            <w:tcW w:w="36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Units, each consisting of one share of Class A</w:t>
            </w:r>
          </w:p>
        </w:tc>
        <w:tc>
          <w:tcPr>
            <w:tcW w:w="14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r>
      <w:tr>
        <w:trPr>
          <w:trHeight w:val="220"/>
        </w:trPr>
        <w:tc>
          <w:tcPr>
            <w:tcW w:w="3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$0.0001 par value, and one</w:t>
            </w:r>
          </w:p>
        </w:tc>
        <w:tc>
          <w:tcPr>
            <w:tcW w:w="1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r>
      <w:tr>
        <w:trPr>
          <w:trHeight w:val="267"/>
        </w:trPr>
        <w:tc>
          <w:tcPr>
            <w:tcW w:w="3820" w:type="dxa"/>
            <w:vAlign w:val="bottom"/>
            <w:gridSpan w:val="2"/>
            <w:shd w:val="clear" w:color="auto" w:fill="CCEEFF"/>
          </w:tcPr>
          <w:p>
            <w:pPr>
              <w:ind w:left="180"/>
              <w:spacing w:after="0" w:line="267" w:lineRule="exact"/>
              <w:rPr>
                <w:sz w:val="20"/>
                <w:szCs w:val="20"/>
                <w:color w:val="auto"/>
              </w:rPr>
            </w:pPr>
            <w:r>
              <w:rPr>
                <w:rFonts w:ascii="Arial" w:cs="Arial" w:eastAsia="Arial" w:hAnsi="Arial"/>
                <w:sz w:val="18"/>
                <w:szCs w:val="18"/>
                <w:color w:val="auto"/>
              </w:rPr>
              <w:t>redeemable warrant</w:t>
            </w:r>
            <w:r>
              <w:rPr>
                <w:rFonts w:ascii="Arial" w:cs="Arial" w:eastAsia="Arial" w:hAnsi="Arial"/>
                <w:sz w:val="29"/>
                <w:szCs w:val="29"/>
                <w:color w:val="auto"/>
                <w:vertAlign w:val="superscript"/>
              </w:rPr>
              <w:t>(2)</w:t>
            </w:r>
          </w:p>
        </w:tc>
        <w:tc>
          <w:tcPr>
            <w:tcW w:w="1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28,750,000 Units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287,500,000</w:t>
            </w:r>
          </w:p>
        </w:tc>
        <w:tc>
          <w:tcPr>
            <w:tcW w:w="600" w:type="dxa"/>
            <w:vAlign w:val="bottom"/>
            <w:gridSpan w:val="2"/>
            <w:shd w:val="clear" w:color="auto" w:fill="CCEEFF"/>
          </w:tcPr>
          <w:p>
            <w:pPr>
              <w:jc w:val="right"/>
              <w:ind w:right="469"/>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31,366</w:t>
            </w:r>
          </w:p>
        </w:tc>
        <w:tc>
          <w:tcPr>
            <w:tcW w:w="200" w:type="dxa"/>
            <w:vAlign w:val="bottom"/>
            <w:shd w:val="clear" w:color="auto" w:fill="CCEEFF"/>
          </w:tcPr>
          <w:p>
            <w:pPr>
              <w:spacing w:after="0"/>
              <w:rPr>
                <w:sz w:val="23"/>
                <w:szCs w:val="23"/>
                <w:color w:val="auto"/>
              </w:rPr>
            </w:pPr>
          </w:p>
        </w:tc>
      </w:tr>
      <w:tr>
        <w:trPr>
          <w:trHeight w:val="205"/>
        </w:trPr>
        <w:tc>
          <w:tcPr>
            <w:tcW w:w="3820" w:type="dxa"/>
            <w:vAlign w:val="bottom"/>
            <w:gridSpan w:val="2"/>
          </w:tcPr>
          <w:p>
            <w:pPr>
              <w:spacing w:after="0" w:line="206" w:lineRule="exact"/>
              <w:rPr>
                <w:sz w:val="20"/>
                <w:szCs w:val="20"/>
                <w:color w:val="auto"/>
              </w:rPr>
            </w:pPr>
            <w:r>
              <w:rPr>
                <w:rFonts w:ascii="Arial" w:cs="Arial" w:eastAsia="Arial" w:hAnsi="Arial"/>
                <w:sz w:val="18"/>
                <w:szCs w:val="18"/>
                <w:color w:val="auto"/>
                <w:w w:val="95"/>
              </w:rPr>
              <w:t>Shares of Class A common stock included as part</w:t>
            </w: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67"/>
        </w:trPr>
        <w:tc>
          <w:tcPr>
            <w:tcW w:w="3820" w:type="dxa"/>
            <w:vAlign w:val="bottom"/>
            <w:gridSpan w:val="2"/>
          </w:tcPr>
          <w:p>
            <w:pPr>
              <w:ind w:left="180"/>
              <w:spacing w:after="0" w:line="267" w:lineRule="exact"/>
              <w:rPr>
                <w:sz w:val="20"/>
                <w:szCs w:val="20"/>
                <w:color w:val="auto"/>
              </w:rPr>
            </w:pPr>
            <w:r>
              <w:rPr>
                <w:rFonts w:ascii="Arial" w:cs="Arial" w:eastAsia="Arial" w:hAnsi="Arial"/>
                <w:sz w:val="18"/>
                <w:szCs w:val="18"/>
                <w:color w:val="auto"/>
              </w:rPr>
              <w:t>of the units</w:t>
            </w:r>
            <w:r>
              <w:rPr>
                <w:rFonts w:ascii="Arial" w:cs="Arial" w:eastAsia="Arial" w:hAnsi="Arial"/>
                <w:sz w:val="29"/>
                <w:szCs w:val="29"/>
                <w:color w:val="auto"/>
                <w:vertAlign w:val="superscript"/>
              </w:rPr>
              <w:t>(3)</w:t>
            </w:r>
          </w:p>
        </w:tc>
        <w:tc>
          <w:tcPr>
            <w:tcW w:w="19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28,750,000 Shares</w:t>
            </w:r>
          </w:p>
        </w:tc>
        <w:tc>
          <w:tcPr>
            <w:tcW w:w="240" w:type="dxa"/>
            <w:vAlign w:val="bottom"/>
          </w:tcPr>
          <w:p>
            <w:pPr>
              <w:spacing w:after="0"/>
              <w:rPr>
                <w:sz w:val="23"/>
                <w:szCs w:val="2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20" w:type="dxa"/>
            <w:vAlign w:val="bottom"/>
            <w:gridSpan w:val="3"/>
          </w:tcPr>
          <w:p>
            <w:pPr>
              <w:ind w:left="820"/>
              <w:spacing w:after="0" w:line="266" w:lineRule="exact"/>
              <w:rPr>
                <w:sz w:val="20"/>
                <w:szCs w:val="20"/>
                <w:color w:val="auto"/>
              </w:rPr>
            </w:pPr>
            <w:r>
              <w:rPr>
                <w:rFonts w:ascii="Arial" w:cs="Arial" w:eastAsia="Arial" w:hAnsi="Arial"/>
                <w:sz w:val="30"/>
                <w:szCs w:val="30"/>
                <w:color w:val="auto"/>
                <w:w w:val="92"/>
                <w:vertAlign w:val="subscript"/>
              </w:rPr>
              <w:t>—</w:t>
            </w:r>
            <w:r>
              <w:rPr>
                <w:rFonts w:ascii="Arial" w:cs="Arial" w:eastAsia="Arial" w:hAnsi="Arial"/>
                <w:sz w:val="14"/>
                <w:szCs w:val="14"/>
                <w:color w:val="auto"/>
                <w:w w:val="92"/>
              </w:rPr>
              <w:t xml:space="preserve"> (4)</w:t>
            </w:r>
          </w:p>
        </w:tc>
      </w:tr>
      <w:tr>
        <w:trPr>
          <w:trHeight w:val="205"/>
        </w:trPr>
        <w:tc>
          <w:tcPr>
            <w:tcW w:w="382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Redeemable warrants included as part of the</w:t>
            </w:r>
          </w:p>
        </w:tc>
        <w:tc>
          <w:tcPr>
            <w:tcW w:w="1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81"/>
        </w:trPr>
        <w:tc>
          <w:tcPr>
            <w:tcW w:w="3820" w:type="dxa"/>
            <w:vAlign w:val="bottom"/>
            <w:gridSpan w:val="2"/>
            <w:shd w:val="clear" w:color="auto" w:fill="CCEEFF"/>
          </w:tcPr>
          <w:p>
            <w:pPr>
              <w:ind w:left="180"/>
              <w:spacing w:after="0" w:line="280" w:lineRule="exact"/>
              <w:rPr>
                <w:sz w:val="20"/>
                <w:szCs w:val="20"/>
                <w:color w:val="auto"/>
              </w:rPr>
            </w:pPr>
            <w:r>
              <w:rPr>
                <w:rFonts w:ascii="Arial" w:cs="Arial" w:eastAsia="Arial" w:hAnsi="Arial"/>
                <w:sz w:val="18"/>
                <w:szCs w:val="18"/>
                <w:color w:val="auto"/>
              </w:rPr>
              <w:t>units</w:t>
            </w:r>
            <w:r>
              <w:rPr>
                <w:rFonts w:ascii="Arial" w:cs="Arial" w:eastAsia="Arial" w:hAnsi="Arial"/>
                <w:sz w:val="29"/>
                <w:szCs w:val="29"/>
                <w:color w:val="auto"/>
                <w:vertAlign w:val="superscript"/>
              </w:rPr>
              <w:t>(3)</w:t>
            </w:r>
          </w:p>
        </w:tc>
        <w:tc>
          <w:tcPr>
            <w:tcW w:w="19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28,750,000 Warrants</w:t>
            </w:r>
          </w:p>
        </w:tc>
        <w:tc>
          <w:tcPr>
            <w:tcW w:w="2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20" w:type="dxa"/>
            <w:vAlign w:val="bottom"/>
            <w:gridSpan w:val="3"/>
            <w:shd w:val="clear" w:color="auto" w:fill="CCEEFF"/>
          </w:tcPr>
          <w:p>
            <w:pPr>
              <w:ind w:left="820"/>
              <w:spacing w:after="0" w:line="281" w:lineRule="exact"/>
              <w:rPr>
                <w:sz w:val="20"/>
                <w:szCs w:val="20"/>
                <w:color w:val="auto"/>
              </w:rPr>
            </w:pPr>
            <w:r>
              <w:rPr>
                <w:rFonts w:ascii="Arial" w:cs="Arial" w:eastAsia="Arial" w:hAnsi="Arial"/>
                <w:sz w:val="32"/>
                <w:szCs w:val="32"/>
                <w:color w:val="auto"/>
                <w:w w:val="89"/>
                <w:vertAlign w:val="subscript"/>
              </w:rPr>
              <w:t>—</w:t>
            </w:r>
            <w:r>
              <w:rPr>
                <w:rFonts w:ascii="Arial" w:cs="Arial" w:eastAsia="Arial" w:hAnsi="Arial"/>
                <w:sz w:val="14"/>
                <w:szCs w:val="14"/>
                <w:color w:val="auto"/>
                <w:w w:val="89"/>
              </w:rPr>
              <w:t xml:space="preserve"> (4)</w:t>
            </w: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287,500,000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ind w:right="46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31,366</w:t>
            </w:r>
          </w:p>
        </w:tc>
        <w:tc>
          <w:tcPr>
            <w:tcW w:w="220" w:type="dxa"/>
            <w:vAlign w:val="bottom"/>
            <w:gridSpan w:val="2"/>
          </w:tcPr>
          <w:p>
            <w:pPr>
              <w:jc w:val="right"/>
              <w:ind w:right="60"/>
              <w:spacing w:after="0" w:line="170" w:lineRule="exact"/>
              <w:rPr>
                <w:sz w:val="20"/>
                <w:szCs w:val="20"/>
                <w:color w:val="auto"/>
              </w:rPr>
            </w:pPr>
            <w:r>
              <w:rPr>
                <w:rFonts w:ascii="Arial" w:cs="Arial" w:eastAsia="Arial" w:hAnsi="Arial"/>
                <w:sz w:val="15"/>
                <w:szCs w:val="15"/>
                <w:color w:val="auto"/>
                <w:w w:val="76"/>
              </w:rPr>
              <w:t>(5)</w:t>
            </w:r>
          </w:p>
        </w:tc>
      </w:tr>
      <w:tr>
        <w:trPr>
          <w:trHeight w:val="20"/>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520" w:hanging="572"/>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457(a) under the Securities Act of 1933, as amended (the “Securities Act”).</w:t>
      </w:r>
    </w:p>
    <w:p>
      <w:pPr>
        <w:spacing w:after="0" w:line="170" w:lineRule="exact"/>
        <w:rPr>
          <w:rFonts w:ascii="Arial" w:cs="Arial" w:eastAsia="Arial" w:hAnsi="Arial"/>
          <w:sz w:val="18"/>
          <w:szCs w:val="18"/>
          <w:color w:val="auto"/>
        </w:rPr>
      </w:pPr>
    </w:p>
    <w:p>
      <w:pPr>
        <w:ind w:left="580" w:right="120" w:hanging="572"/>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3,750,000 units, consisting of 3,750,000 shares of Class A common stock and 3,750,000 redeemable warrants, which may be issued upon exercise of a 45-day option granted to the underwriters to cover over-allotments, if any.</w:t>
      </w:r>
    </w:p>
    <w:p>
      <w:pPr>
        <w:spacing w:after="0" w:line="170" w:lineRule="exact"/>
        <w:rPr>
          <w:rFonts w:ascii="Arial" w:cs="Arial" w:eastAsia="Arial" w:hAnsi="Arial"/>
          <w:sz w:val="18"/>
          <w:szCs w:val="18"/>
          <w:color w:val="auto"/>
        </w:rPr>
      </w:pPr>
    </w:p>
    <w:p>
      <w:pPr>
        <w:ind w:left="580" w:right="660" w:hanging="572"/>
        <w:spacing w:after="0" w:line="277" w:lineRule="auto"/>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there are also being registered an indeterminable number of additional securities as may be issued to prevent dilution resulting from stock splits, stock dividends or similar transactions.</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21"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BurTech Acquisition Corp. is filing this Amendment No. 3 to its Registration Statement on Form S-1 (File No. 333- 258914) as an exhibits-only filing. Accordingly, this amendment consists only of the facing page, this explanatory note, Part II of the Registration Statement, the signature page to the Registration Statement and the filed exhibits. The remainder of the Registration Statement is unchanged and has therefore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904" w:right="6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estimated approximate expenses payable by us in connection with the offering described in this registration statement (other than the underwriting discount and commissions) will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Reimbursement to underwriters for expenses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w:t>
            </w:r>
          </w:p>
        </w:tc>
        <w:tc>
          <w:tcPr>
            <w:tcW w:w="8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Nasdaq listing and filing fees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75,000</w:t>
            </w:r>
          </w:p>
        </w:tc>
      </w:tr>
      <w:tr>
        <w:trPr>
          <w:trHeight w:val="229"/>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w:t>
            </w:r>
          </w:p>
        </w:tc>
        <w:tc>
          <w:tcPr>
            <w:tcW w:w="80" w:type="dxa"/>
            <w:vAlign w:val="bottom"/>
            <w:shd w:val="clear" w:color="auto" w:fill="CCEEFF"/>
          </w:tcPr>
          <w:p>
            <w:pPr>
              <w:spacing w:after="0"/>
              <w:rPr>
                <w:sz w:val="19"/>
                <w:szCs w:val="19"/>
                <w:color w:val="auto"/>
              </w:rPr>
            </w:pPr>
          </w:p>
        </w:tc>
      </w:tr>
      <w:tr>
        <w:trPr>
          <w:trHeight w:val="223"/>
        </w:trPr>
        <w:tc>
          <w:tcPr>
            <w:tcW w:w="9900" w:type="dxa"/>
            <w:vAlign w:val="bottom"/>
          </w:tcPr>
          <w:p>
            <w:pPr>
              <w:spacing w:after="0"/>
              <w:rPr>
                <w:sz w:val="20"/>
                <w:szCs w:val="20"/>
                <w:color w:val="auto"/>
              </w:rPr>
            </w:pPr>
            <w:r>
              <w:rPr>
                <w:rFonts w:ascii="Arial" w:cs="Arial" w:eastAsia="Arial" w:hAnsi="Arial"/>
                <w:sz w:val="18"/>
                <w:szCs w:val="18"/>
                <w:color w:val="auto"/>
              </w:rPr>
              <w:t>Total (1)</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460" w:hanging="332"/>
        <w:spacing w:after="0" w:line="194" w:lineRule="auto"/>
        <w:tabs>
          <w:tab w:leader="none" w:pos="34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This amount does not include $400,000 of annual director and officer liability insurance premiums the registrant anticipates paying following the completion of its initial public offering and until it completes an initial business combination.</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jc w:val="both"/>
        <w:ind w:right="540" w:firstLine="324"/>
        <w:spacing w:after="0" w:line="286" w:lineRule="auto"/>
        <w:rPr>
          <w:sz w:val="20"/>
          <w:szCs w:val="20"/>
          <w:color w:val="auto"/>
        </w:rPr>
      </w:pPr>
      <w:r>
        <w:rPr>
          <w:rFonts w:ascii="Arial" w:cs="Arial" w:eastAsia="Arial" w:hAnsi="Arial"/>
          <w:sz w:val="17"/>
          <w:szCs w:val="17"/>
          <w:color w:val="auto"/>
        </w:rPr>
        <w:t>Our amended and restated certificate of incorporation will provide that all of our directors, officers, employees and agents shall be entitled to be indemnified by us to the fullest extent permitted by Section 145 of the Delaware General Corporation Law (“DGCL”). Section 145 of the Delaware General Corporation Law concerning indemnification of officers, directors, employees and agents is set forth below.</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225" w:lineRule="exact"/>
        <w:rPr>
          <w:sz w:val="20"/>
          <w:szCs w:val="20"/>
          <w:color w:val="auto"/>
        </w:rPr>
      </w:pPr>
    </w:p>
    <w:p>
      <w:pPr>
        <w:ind w:left="800" w:right="20" w:hanging="333"/>
        <w:spacing w:after="0" w:line="287"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71" w:lineRule="exact"/>
        <w:rPr>
          <w:rFonts w:ascii="Arial" w:cs="Arial" w:eastAsia="Arial" w:hAnsi="Arial"/>
          <w:sz w:val="16"/>
          <w:szCs w:val="16"/>
          <w:color w:val="auto"/>
        </w:rPr>
      </w:pPr>
    </w:p>
    <w:p>
      <w:pPr>
        <w:ind w:left="800" w:right="40" w:hanging="333"/>
        <w:spacing w:after="0" w:line="288" w:lineRule="auto"/>
        <w:tabs>
          <w:tab w:leader="none" w:pos="8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ind w:left="340" w:right="80" w:hanging="333"/>
        <w:spacing w:after="0" w:line="31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48" w:lineRule="exact"/>
        <w:rPr>
          <w:rFonts w:ascii="Arial" w:cs="Arial" w:eastAsia="Arial" w:hAnsi="Arial"/>
          <w:sz w:val="16"/>
          <w:szCs w:val="16"/>
          <w:color w:val="auto"/>
        </w:rPr>
      </w:pPr>
    </w:p>
    <w:p>
      <w:pPr>
        <w:ind w:left="340" w:right="40" w:hanging="333"/>
        <w:spacing w:after="0" w:line="272"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77" w:lineRule="exact"/>
        <w:rPr>
          <w:rFonts w:ascii="Arial" w:cs="Arial" w:eastAsia="Arial" w:hAnsi="Arial"/>
          <w:sz w:val="17"/>
          <w:szCs w:val="17"/>
          <w:color w:val="auto"/>
        </w:rPr>
      </w:pPr>
    </w:p>
    <w:p>
      <w:pPr>
        <w:ind w:left="340" w:hanging="333"/>
        <w:spacing w:after="0" w:line="29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61" w:lineRule="exact"/>
        <w:rPr>
          <w:rFonts w:ascii="Arial" w:cs="Arial" w:eastAsia="Arial" w:hAnsi="Arial"/>
          <w:sz w:val="16"/>
          <w:szCs w:val="16"/>
          <w:color w:val="auto"/>
        </w:rPr>
      </w:pPr>
    </w:p>
    <w:p>
      <w:pPr>
        <w:ind w:left="340" w:right="100" w:hanging="333"/>
        <w:spacing w:after="0" w:line="271"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78" w:lineRule="exact"/>
        <w:rPr>
          <w:rFonts w:ascii="Arial" w:cs="Arial" w:eastAsia="Arial" w:hAnsi="Arial"/>
          <w:sz w:val="17"/>
          <w:szCs w:val="17"/>
          <w:color w:val="auto"/>
        </w:rPr>
      </w:pPr>
    </w:p>
    <w:p>
      <w:pPr>
        <w:ind w:left="340" w:right="120" w:hanging="333"/>
        <w:spacing w:after="0" w:line="25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87" w:lineRule="exact"/>
        <w:rPr>
          <w:rFonts w:ascii="Arial" w:cs="Arial" w:eastAsia="Arial" w:hAnsi="Arial"/>
          <w:sz w:val="18"/>
          <w:szCs w:val="18"/>
          <w:color w:val="auto"/>
        </w:rPr>
      </w:pPr>
    </w:p>
    <w:p>
      <w:pPr>
        <w:ind w:left="340" w:right="60" w:hanging="333"/>
        <w:spacing w:after="0" w:line="25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200" w:lineRule="exact"/>
        <w:rPr>
          <w:sz w:val="20"/>
          <w:szCs w:val="20"/>
          <w:color w:val="auto"/>
        </w:rPr>
      </w:pPr>
    </w:p>
    <w:p>
      <w:pPr>
        <w:spacing w:after="0" w:line="21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780" w:top="908" w:right="339" w:bottom="1440" w:gutter="0" w:footer="0" w:header="0"/>
        </w:sectPr>
      </w:pPr>
    </w:p>
    <w:bookmarkStart w:id="5" w:name="page6"/>
    <w:bookmarkEnd w:id="5"/>
    <w:p>
      <w:pPr>
        <w:ind w:left="800" w:right="20" w:hanging="333"/>
        <w:spacing w:after="0" w:line="293"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64" w:lineRule="exact"/>
        <w:rPr>
          <w:rFonts w:ascii="Arial" w:cs="Arial" w:eastAsia="Arial" w:hAnsi="Arial"/>
          <w:sz w:val="16"/>
          <w:szCs w:val="16"/>
          <w:color w:val="auto"/>
        </w:rPr>
      </w:pPr>
    </w:p>
    <w:p>
      <w:pPr>
        <w:ind w:left="800" w:right="340" w:hanging="333"/>
        <w:spacing w:after="0" w:line="263"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83" w:lineRule="exact"/>
        <w:rPr>
          <w:rFonts w:ascii="Arial" w:cs="Arial" w:eastAsia="Arial" w:hAnsi="Arial"/>
          <w:sz w:val="18"/>
          <w:szCs w:val="18"/>
          <w:color w:val="auto"/>
        </w:rPr>
      </w:pPr>
    </w:p>
    <w:p>
      <w:pPr>
        <w:ind w:left="800" w:right="340" w:hanging="333"/>
        <w:spacing w:after="0" w:line="311"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4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77"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77"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 w:name="page7"/>
    <w:bookmarkEnd w:id="6"/>
    <w:p>
      <w:pPr>
        <w:ind w:right="40" w:firstLine="324"/>
        <w:spacing w:after="0" w:line="273" w:lineRule="auto"/>
        <w:rPr>
          <w:sz w:val="20"/>
          <w:szCs w:val="20"/>
          <w:color w:val="auto"/>
        </w:rPr>
      </w:pPr>
      <w:r>
        <w:rPr>
          <w:rFonts w:ascii="Arial" w:cs="Arial" w:eastAsia="Arial" w:hAnsi="Arial"/>
          <w:sz w:val="17"/>
          <w:szCs w:val="17"/>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78"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18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right to indemnification which will be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192" w:lineRule="exact"/>
        <w:rPr>
          <w:sz w:val="20"/>
          <w:szCs w:val="20"/>
          <w:color w:val="auto"/>
        </w:rPr>
      </w:pPr>
    </w:p>
    <w:p>
      <w:pPr>
        <w:ind w:right="500" w:firstLine="324"/>
        <w:spacing w:after="0" w:line="26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18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Any repeal or amendment of provisions of our amended and restated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17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which will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9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88"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 w:name="page8"/>
    <w:bookmarkEnd w:id="7"/>
    <w:p>
      <w:pPr>
        <w:ind w:firstLine="324"/>
        <w:spacing w:after="0" w:line="263" w:lineRule="auto"/>
        <w:rPr>
          <w:sz w:val="20"/>
          <w:szCs w:val="20"/>
          <w:color w:val="auto"/>
        </w:rPr>
      </w:pPr>
      <w:r>
        <w:rPr>
          <w:rFonts w:ascii="Arial" w:cs="Arial" w:eastAsia="Arial" w:hAnsi="Arial"/>
          <w:sz w:val="18"/>
          <w:szCs w:val="18"/>
          <w:color w:val="auto"/>
        </w:rPr>
        <w:t>Pursuant to the Underwriting Agreement to be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2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May 21, 2021, our sponsor purchased 8,625,000 founder shares for an aggregate purchase price of $25,000. On September 24, 2021, the Company issued 862,500 shares of Class B common stock in connection with a 1.1 stock split, resulting in an aggregate of 9,487,500 shares of Class B common stock outstanding, or approximately $0.003 per share. The number of founder shares issued was determined based on the expectation that the founder shares would represent 24.81% of the outstanding shares of common stock upon completion of this (excluding the shares of Class A common stock to be issued to the representative or its designees upon consummation of this offering, the placement units and securities underlying the placement units and assuming the initial stockholders do not purchase units in this offering). All such securities were issued in connection with our organization pursuant to the exemption from registration contained in Section 4(a)(2) of the Securities Act. Our sponsor is an accredited investor for purposes of Rule 501 of Regulation D.</w:t>
      </w:r>
    </w:p>
    <w:p>
      <w:pPr>
        <w:spacing w:after="0" w:line="192"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In May 2021, we agreed to issue 375,000 Class A common stock to the representative and its designees for nominal consideration as part of the compensation for the representative’s services provided to us in connection with this offering (or 431,250 in the event the underwriters exercise their over-allotment option). Such shares were issued pursuant to the exemption from registration contained in Section 4(a)(2) of the Securities Act.</w:t>
      </w:r>
    </w:p>
    <w:p>
      <w:pPr>
        <w:spacing w:after="0" w:line="165"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On or before the date of the prospectus accompanying this registration statement, our sponsor has agreed to purchase an aggregate of 804,500 placement units (or 898,250 placement units if the over-allotment option is exercised in full), at a price of $10.00 per unit, for an aggregate purchase price of $8,045,000 ($8,982,500 if the over-allotment option is exercised in full). These placement units will be issued pursuant to the exemption from registration contained in Section 4(a)(2) of the Securities Act as they will be sold to “accredited investors” as defined in Rule 501(a) of the Securities Act. No underwriting discounts or commissions will be paid with respect to such sales. Subscription agreements will be entered into with our sponsor in connection with these placement units and copies of such agreements will be attached as exhibits to this registration statement.</w:t>
      </w:r>
    </w:p>
    <w:p>
      <w:pPr>
        <w:spacing w:after="0" w:line="16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list of exhibits following the signature page of this registration statement is incorporated herein by reference.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page F-1 for an index to the financial statements and schedules included in the registration statement.</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ind w:left="660" w:right="60" w:hanging="328"/>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328" w:right="60" w:hanging="328"/>
        <w:spacing w:after="0" w:line="271" w:lineRule="auto"/>
        <w:tabs>
          <w:tab w:leader="none" w:pos="328" w:val="left"/>
        </w:tabs>
        <w:numPr>
          <w:ilvl w:val="0"/>
          <w:numId w:val="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ind w:left="648" w:right="40" w:hanging="324"/>
        <w:spacing w:after="0" w:line="291" w:lineRule="auto"/>
        <w:tabs>
          <w:tab w:leader="none" w:pos="648" w:val="left"/>
        </w:tabs>
        <w:numPr>
          <w:ilvl w:val="1"/>
          <w:numId w:val="8"/>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w:t>
      </w:r>
    </w:p>
    <w:p>
      <w:pPr>
        <w:ind w:left="648"/>
        <w:spacing w:after="0"/>
        <w:rPr>
          <w:rFonts w:ascii="Arial" w:cs="Arial" w:eastAsia="Arial" w:hAnsi="Arial"/>
          <w:sz w:val="16"/>
          <w:szCs w:val="16"/>
          <w:color w:val="auto"/>
        </w:rPr>
      </w:pPr>
      <w:r>
        <w:rPr>
          <w:rFonts w:ascii="Arial" w:cs="Arial" w:eastAsia="Arial" w:hAnsi="Arial"/>
          <w:sz w:val="16"/>
          <w:szCs w:val="16"/>
          <w:color w:val="auto"/>
        </w:rPr>
        <w:t>(1) or (4) or 497(h) under the Securities Act shall be deemed to be part of this registration statement as of the time it was declared effective.</w:t>
      </w:r>
    </w:p>
    <w:p>
      <w:pPr>
        <w:spacing w:after="0" w:line="233" w:lineRule="exact"/>
        <w:rPr>
          <w:rFonts w:ascii="Arial" w:cs="Arial" w:eastAsia="Arial" w:hAnsi="Arial"/>
          <w:sz w:val="16"/>
          <w:szCs w:val="16"/>
          <w:color w:val="auto"/>
        </w:rPr>
      </w:pPr>
    </w:p>
    <w:p>
      <w:pPr>
        <w:ind w:left="648" w:right="220" w:hanging="324"/>
        <w:spacing w:after="0" w:line="263" w:lineRule="auto"/>
        <w:tabs>
          <w:tab w:leader="none" w:pos="648"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648" w:hanging="324"/>
        <w:spacing w:after="0" w:line="271" w:lineRule="auto"/>
        <w:tabs>
          <w:tab w:leader="none" w:pos="648" w:val="left"/>
        </w:tabs>
        <w:numPr>
          <w:ilvl w:val="1"/>
          <w:numId w:val="8"/>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8" w:lineRule="exact"/>
        <w:rPr>
          <w:rFonts w:ascii="Arial" w:cs="Arial" w:eastAsia="Arial" w:hAnsi="Arial"/>
          <w:sz w:val="17"/>
          <w:szCs w:val="17"/>
          <w:color w:val="auto"/>
        </w:rPr>
      </w:pPr>
    </w:p>
    <w:p>
      <w:pPr>
        <w:ind w:left="648" w:right="80" w:hanging="324"/>
        <w:spacing w:after="0" w:line="257" w:lineRule="auto"/>
        <w:tabs>
          <w:tab w:leader="none" w:pos="648" w:val="left"/>
        </w:tabs>
        <w:numPr>
          <w:ilvl w:val="1"/>
          <w:numId w:val="8"/>
        </w:numPr>
        <w:rPr>
          <w:rFonts w:ascii="Arial" w:cs="Arial" w:eastAsia="Arial" w:hAnsi="Arial"/>
          <w:sz w:val="18"/>
          <w:szCs w:val="18"/>
          <w:color w:val="auto"/>
        </w:rPr>
      </w:pPr>
      <w:r>
        <w:rPr>
          <w:rFonts w:ascii="Arial" w:cs="Arial" w:eastAsia="Arial" w:hAnsi="Arial"/>
          <w:sz w:val="18"/>
          <w:szCs w:val="18"/>
          <w:color w:val="auto"/>
        </w:rPr>
        <w:t>For the purpose of determining liability of a registrant under the Securities Act of 1933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ind w:left="968" w:hanging="320"/>
        <w:spacing w:after="0"/>
        <w:tabs>
          <w:tab w:leader="none" w:pos="968"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968" w:right="320" w:hanging="320"/>
        <w:spacing w:after="0" w:line="277" w:lineRule="auto"/>
        <w:tabs>
          <w:tab w:leader="none" w:pos="96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170" w:lineRule="exact"/>
        <w:rPr>
          <w:rFonts w:ascii="Arial" w:cs="Arial" w:eastAsia="Arial" w:hAnsi="Arial"/>
          <w:sz w:val="18"/>
          <w:szCs w:val="18"/>
          <w:color w:val="auto"/>
        </w:rPr>
      </w:pPr>
    </w:p>
    <w:p>
      <w:pPr>
        <w:ind w:left="968" w:right="100" w:hanging="320"/>
        <w:spacing w:after="0" w:line="277" w:lineRule="auto"/>
        <w:tabs>
          <w:tab w:leader="none" w:pos="96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968" w:hanging="320"/>
        <w:spacing w:after="0"/>
        <w:tabs>
          <w:tab w:leader="none" w:pos="968"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41"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35"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0" w:type="dxa"/>
            <w:vAlign w:val="bottom"/>
            <w:gridSpan w:val="10"/>
          </w:tcPr>
          <w:p>
            <w:pPr>
              <w:ind w:left="280"/>
              <w:spacing w:after="0"/>
              <w:rPr>
                <w:sz w:val="20"/>
                <w:szCs w:val="20"/>
                <w:color w:val="auto"/>
              </w:rPr>
            </w:pPr>
            <w:r>
              <w:rPr>
                <w:rFonts w:ascii="Arial" w:cs="Arial" w:eastAsia="Arial" w:hAnsi="Arial"/>
                <w:sz w:val="18"/>
                <w:szCs w:val="18"/>
                <w:b w:val="1"/>
                <w:bCs w:val="1"/>
                <w:color w:val="auto"/>
              </w:rPr>
              <w:t>EXHIBIT INDEX</w:t>
            </w:r>
          </w:p>
        </w:tc>
      </w:tr>
      <w:tr>
        <w:trPr>
          <w:trHeight w:val="445"/>
        </w:trPr>
        <w:tc>
          <w:tcPr>
            <w:tcW w:w="136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20" w:type="dxa"/>
            <w:vAlign w:val="bottom"/>
            <w:gridSpan w:val="7"/>
          </w:tcPr>
          <w:p>
            <w:pPr>
              <w:ind w:left="2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420" w:type="dxa"/>
            <w:vAlign w:val="bottom"/>
            <w:tcBorders>
              <w:top w:val="single" w:sz="8" w:color="auto"/>
            </w:tcBorders>
            <w:gridSpan w:val="3"/>
            <w:shd w:val="clear" w:color="auto" w:fill="CCEEFF"/>
          </w:tcPr>
          <w:p>
            <w:pPr>
              <w:spacing w:after="0" w:line="169" w:lineRule="exact"/>
              <w:rPr>
                <w:rFonts w:ascii="Arial" w:cs="Arial" w:eastAsia="Arial" w:hAnsi="Arial"/>
                <w:sz w:val="18"/>
                <w:szCs w:val="18"/>
                <w:color w:val="0000EE"/>
              </w:rPr>
            </w:pPr>
            <w:hyperlink r:id="rId20">
              <w:r>
                <w:rPr>
                  <w:rFonts w:ascii="Arial" w:cs="Arial" w:eastAsia="Arial" w:hAnsi="Arial"/>
                  <w:sz w:val="18"/>
                  <w:szCs w:val="18"/>
                  <w:color w:val="0000EE"/>
                </w:rPr>
                <w:t>1.</w:t>
              </w:r>
              <w:r>
                <w:rPr>
                  <w:rFonts w:ascii="Arial" w:cs="Arial" w:eastAsia="Arial" w:hAnsi="Arial"/>
                  <w:sz w:val="18"/>
                  <w:szCs w:val="18"/>
                  <w:u w:val="single" w:color="auto"/>
                  <w:color w:val="0000EE"/>
                </w:rPr>
                <w:t>1*</w:t>
              </w:r>
            </w:hyperlink>
          </w:p>
        </w:tc>
        <w:tc>
          <w:tcPr>
            <w:tcW w:w="7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auto"/>
            </w:tcBorders>
            <w:gridSpan w:val="24"/>
            <w:shd w:val="clear" w:color="auto" w:fill="CCEEFF"/>
          </w:tcPr>
          <w:p>
            <w:pPr>
              <w:spacing w:after="0" w:line="169" w:lineRule="exact"/>
              <w:rPr>
                <w:rFonts w:ascii="Arial" w:cs="Arial" w:eastAsia="Arial" w:hAnsi="Arial"/>
                <w:sz w:val="18"/>
                <w:szCs w:val="18"/>
                <w:color w:val="0000EE"/>
              </w:rPr>
            </w:pPr>
            <w:hyperlink r:id="rId20">
              <w:r>
                <w:rPr>
                  <w:rFonts w:ascii="Arial" w:cs="Arial" w:eastAsia="Arial" w:hAnsi="Arial"/>
                  <w:sz w:val="18"/>
                  <w:szCs w:val="18"/>
                  <w:color w:val="0000EE"/>
                </w:rPr>
                <w:t>Form of Underwriting Agreement</w:t>
              </w:r>
            </w:hyperlink>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0" w:type="dxa"/>
            <w:vAlign w:val="bottom"/>
            <w:gridSpan w:val="3"/>
          </w:tcPr>
          <w:p>
            <w:pPr>
              <w:spacing w:after="0" w:line="176" w:lineRule="exact"/>
              <w:rPr>
                <w:rFonts w:ascii="Arial" w:cs="Arial" w:eastAsia="Arial" w:hAnsi="Arial"/>
                <w:sz w:val="18"/>
                <w:szCs w:val="18"/>
                <w:color w:val="0000EE"/>
              </w:rPr>
            </w:pPr>
            <w:hyperlink r:id="rId21">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24"/>
          </w:tcPr>
          <w:p>
            <w:pPr>
              <w:spacing w:after="0" w:line="176" w:lineRule="exact"/>
              <w:rPr>
                <w:rFonts w:ascii="Arial" w:cs="Arial" w:eastAsia="Arial" w:hAnsi="Arial"/>
                <w:sz w:val="18"/>
                <w:szCs w:val="18"/>
                <w:color w:val="0000EE"/>
              </w:rPr>
            </w:pPr>
            <w:hyperlink r:id="rId21">
              <w:r>
                <w:rPr>
                  <w:rFonts w:ascii="Arial" w:cs="Arial" w:eastAsia="Arial" w:hAnsi="Arial"/>
                  <w:sz w:val="18"/>
                  <w:szCs w:val="18"/>
                  <w:color w:val="0000EE"/>
                </w:rPr>
                <w:t>Certificate of Incorporation</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22">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gridSpan w:val="24"/>
            <w:shd w:val="clear" w:color="auto" w:fill="CCEEFF"/>
          </w:tcPr>
          <w:p>
            <w:pPr>
              <w:spacing w:after="0" w:line="176" w:lineRule="exact"/>
              <w:rPr>
                <w:rFonts w:ascii="Arial" w:cs="Arial" w:eastAsia="Arial" w:hAnsi="Arial"/>
                <w:sz w:val="18"/>
                <w:szCs w:val="18"/>
                <w:color w:val="0000EE"/>
              </w:rPr>
            </w:pPr>
            <w:hyperlink r:id="rId22">
              <w:r>
                <w:rPr>
                  <w:rFonts w:ascii="Arial" w:cs="Arial" w:eastAsia="Arial" w:hAnsi="Arial"/>
                  <w:sz w:val="18"/>
                  <w:szCs w:val="18"/>
                  <w:color w:val="0000EE"/>
                </w:rPr>
                <w:t>Amended and Restated Certificate of Incorporation</w:t>
              </w:r>
            </w:hyperlink>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3.</w:t>
              </w:r>
              <w:r>
                <w:rPr>
                  <w:rFonts w:ascii="Arial" w:cs="Arial" w:eastAsia="Arial" w:hAnsi="Arial"/>
                  <w:sz w:val="18"/>
                  <w:szCs w:val="18"/>
                  <w:u w:val="single" w:color="auto"/>
                  <w:color w:val="0000EE"/>
                </w:rPr>
                <w:t>3**</w:t>
              </w:r>
            </w:hyperlink>
          </w:p>
        </w:tc>
        <w:tc>
          <w:tcPr>
            <w:tcW w:w="220" w:type="dxa"/>
            <w:vAlign w:val="bottom"/>
          </w:tcPr>
          <w:p>
            <w:pPr>
              <w:spacing w:after="0"/>
              <w:rPr>
                <w:sz w:val="15"/>
                <w:szCs w:val="15"/>
                <w:color w:val="auto"/>
              </w:rPr>
            </w:pPr>
          </w:p>
        </w:tc>
        <w:tc>
          <w:tcPr>
            <w:tcW w:w="9880" w:type="dxa"/>
            <w:vAlign w:val="bottom"/>
            <w:gridSpan w:val="24"/>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Second Amended and Restated Certificate of Incorporation</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23">
              <w:r>
                <w:rPr>
                  <w:rFonts w:ascii="Arial" w:cs="Arial" w:eastAsia="Arial" w:hAnsi="Arial"/>
                  <w:sz w:val="18"/>
                  <w:szCs w:val="18"/>
                  <w:color w:val="0000EE"/>
                </w:rPr>
                <w:t>3.</w:t>
              </w:r>
              <w:r>
                <w:rPr>
                  <w:rFonts w:ascii="Arial" w:cs="Arial" w:eastAsia="Arial" w:hAnsi="Arial"/>
                  <w:sz w:val="18"/>
                  <w:szCs w:val="18"/>
                  <w:u w:val="single" w:color="auto"/>
                  <w:color w:val="0000EE"/>
                </w:rPr>
                <w:t>4*</w:t>
              </w:r>
            </w:hyperlink>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gridSpan w:val="24"/>
            <w:shd w:val="clear" w:color="auto" w:fill="CCEEFF"/>
          </w:tcPr>
          <w:p>
            <w:pPr>
              <w:spacing w:after="0" w:line="176" w:lineRule="exact"/>
              <w:rPr>
                <w:rFonts w:ascii="Arial" w:cs="Arial" w:eastAsia="Arial" w:hAnsi="Arial"/>
                <w:sz w:val="18"/>
                <w:szCs w:val="18"/>
                <w:color w:val="0000EE"/>
              </w:rPr>
            </w:pPr>
            <w:hyperlink r:id="rId23">
              <w:r>
                <w:rPr>
                  <w:rFonts w:ascii="Arial" w:cs="Arial" w:eastAsia="Arial" w:hAnsi="Arial"/>
                  <w:sz w:val="18"/>
                  <w:szCs w:val="18"/>
                  <w:color w:val="0000EE"/>
                </w:rPr>
                <w:t>By Laws</w:t>
              </w:r>
            </w:hyperlink>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0" w:type="dxa"/>
            <w:vAlign w:val="bottom"/>
            <w:gridSpan w:val="3"/>
          </w:tcPr>
          <w:p>
            <w:pPr>
              <w:spacing w:after="0" w:line="176" w:lineRule="exact"/>
              <w:rPr>
                <w:rFonts w:ascii="Arial" w:cs="Arial" w:eastAsia="Arial" w:hAnsi="Arial"/>
                <w:sz w:val="18"/>
                <w:szCs w:val="18"/>
                <w:color w:val="0000EE"/>
              </w:rPr>
            </w:pPr>
            <w:hyperlink r:id="rId24">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24"/>
          </w:tcPr>
          <w:p>
            <w:pPr>
              <w:spacing w:after="0" w:line="176" w:lineRule="exact"/>
              <w:rPr>
                <w:rFonts w:ascii="Arial" w:cs="Arial" w:eastAsia="Arial" w:hAnsi="Arial"/>
                <w:sz w:val="18"/>
                <w:szCs w:val="18"/>
                <w:color w:val="0000EE"/>
              </w:rPr>
            </w:pPr>
            <w:hyperlink r:id="rId24">
              <w:r>
                <w:rPr>
                  <w:rFonts w:ascii="Arial" w:cs="Arial" w:eastAsia="Arial" w:hAnsi="Arial"/>
                  <w:sz w:val="18"/>
                  <w:szCs w:val="18"/>
                  <w:color w:val="0000EE"/>
                </w:rPr>
                <w:t>Specimen Unit Certificate</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25">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gridSpan w:val="24"/>
            <w:shd w:val="clear" w:color="auto" w:fill="CCEEFF"/>
          </w:tcPr>
          <w:p>
            <w:pPr>
              <w:spacing w:after="0" w:line="176" w:lineRule="exact"/>
              <w:rPr>
                <w:rFonts w:ascii="Arial" w:cs="Arial" w:eastAsia="Arial" w:hAnsi="Arial"/>
                <w:sz w:val="18"/>
                <w:szCs w:val="18"/>
                <w:color w:val="0000EE"/>
              </w:rPr>
            </w:pPr>
            <w:hyperlink r:id="rId25">
              <w:r>
                <w:rPr>
                  <w:rFonts w:ascii="Arial" w:cs="Arial" w:eastAsia="Arial" w:hAnsi="Arial"/>
                  <w:sz w:val="18"/>
                  <w:szCs w:val="18"/>
                  <w:color w:val="0000EE"/>
                </w:rPr>
                <w:t>Specimen Class A Common Stock Certificate</w:t>
              </w:r>
            </w:hyperlink>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0" w:type="dxa"/>
            <w:vAlign w:val="bottom"/>
            <w:gridSpan w:val="3"/>
          </w:tcPr>
          <w:p>
            <w:pPr>
              <w:spacing w:after="0" w:line="176" w:lineRule="exact"/>
              <w:rPr>
                <w:rFonts w:ascii="Arial" w:cs="Arial" w:eastAsia="Arial" w:hAnsi="Arial"/>
                <w:sz w:val="18"/>
                <w:szCs w:val="18"/>
                <w:color w:val="0000EE"/>
              </w:rPr>
            </w:pPr>
            <w:hyperlink r:id="rId26">
              <w:r>
                <w:rPr>
                  <w:rFonts w:ascii="Arial" w:cs="Arial" w:eastAsia="Arial" w:hAnsi="Arial"/>
                  <w:sz w:val="18"/>
                  <w:szCs w:val="18"/>
                  <w:color w:val="0000EE"/>
                </w:rPr>
                <w:t>4.</w:t>
              </w:r>
              <w:r>
                <w:rPr>
                  <w:rFonts w:ascii="Arial" w:cs="Arial" w:eastAsia="Arial" w:hAnsi="Arial"/>
                  <w:sz w:val="18"/>
                  <w:szCs w:val="18"/>
                  <w:u w:val="single" w:color="auto"/>
                  <w:color w:val="0000EE"/>
                </w:rPr>
                <w:t>3*</w:t>
              </w:r>
            </w:hyperlink>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24"/>
          </w:tcPr>
          <w:p>
            <w:pPr>
              <w:spacing w:after="0" w:line="176" w:lineRule="exact"/>
              <w:rPr>
                <w:rFonts w:ascii="Arial" w:cs="Arial" w:eastAsia="Arial" w:hAnsi="Arial"/>
                <w:sz w:val="18"/>
                <w:szCs w:val="18"/>
                <w:color w:val="0000EE"/>
              </w:rPr>
            </w:pPr>
            <w:hyperlink r:id="rId26">
              <w:r>
                <w:rPr>
                  <w:rFonts w:ascii="Arial" w:cs="Arial" w:eastAsia="Arial" w:hAnsi="Arial"/>
                  <w:sz w:val="18"/>
                  <w:szCs w:val="18"/>
                  <w:color w:val="0000EE"/>
                </w:rPr>
                <w:t>Specimen Warrant Certificate</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27">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gridSpan w:val="24"/>
            <w:shd w:val="clear" w:color="auto" w:fill="CCEEFF"/>
          </w:tcPr>
          <w:p>
            <w:pPr>
              <w:spacing w:after="0" w:line="176" w:lineRule="exact"/>
              <w:rPr>
                <w:rFonts w:ascii="Arial" w:cs="Arial" w:eastAsia="Arial" w:hAnsi="Arial"/>
                <w:sz w:val="18"/>
                <w:szCs w:val="18"/>
                <w:color w:val="0000EE"/>
              </w:rPr>
            </w:pPr>
            <w:hyperlink r:id="rId27">
              <w:r>
                <w:rPr>
                  <w:rFonts w:ascii="Arial" w:cs="Arial" w:eastAsia="Arial" w:hAnsi="Arial"/>
                  <w:sz w:val="18"/>
                  <w:szCs w:val="18"/>
                  <w:color w:val="0000EE"/>
                </w:rPr>
                <w:t>Form of Warrant Agreement between Continental Stock Transfer &amp; Trust Company and the Registrant</w:t>
              </w:r>
            </w:hyperlink>
          </w:p>
        </w:tc>
      </w:tr>
      <w:tr>
        <w:trPr>
          <w:trHeight w:val="21"/>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20" w:type="dxa"/>
            <w:vAlign w:val="bottom"/>
            <w:gridSpan w:val="3"/>
          </w:tcPr>
          <w:p>
            <w:pPr>
              <w:spacing w:after="0" w:line="176" w:lineRule="exact"/>
              <w:rPr>
                <w:rFonts w:ascii="Arial" w:cs="Arial" w:eastAsia="Arial" w:hAnsi="Arial"/>
                <w:sz w:val="18"/>
                <w:szCs w:val="18"/>
                <w:color w:val="0000EE"/>
              </w:rPr>
            </w:pPr>
            <w:hyperlink r:id="rId28">
              <w:r>
                <w:rPr>
                  <w:rFonts w:ascii="Arial" w:cs="Arial" w:eastAsia="Arial" w:hAnsi="Arial"/>
                  <w:sz w:val="18"/>
                  <w:szCs w:val="18"/>
                  <w:color w:val="0000EE"/>
                </w:rPr>
                <w:t>5.</w:t>
              </w:r>
              <w:r>
                <w:rPr>
                  <w:rFonts w:ascii="Arial" w:cs="Arial" w:eastAsia="Arial" w:hAnsi="Arial"/>
                  <w:sz w:val="18"/>
                  <w:szCs w:val="18"/>
                  <w:u w:val="single" w:color="auto"/>
                  <w:color w:val="0000EE"/>
                </w:rPr>
                <w:t>1*</w:t>
              </w:r>
            </w:hyperlink>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24"/>
          </w:tcPr>
          <w:p>
            <w:pPr>
              <w:spacing w:after="0" w:line="176" w:lineRule="exact"/>
              <w:rPr>
                <w:rFonts w:ascii="Arial" w:cs="Arial" w:eastAsia="Arial" w:hAnsi="Arial"/>
                <w:sz w:val="18"/>
                <w:szCs w:val="18"/>
                <w:color w:val="0000EE"/>
              </w:rPr>
            </w:pPr>
            <w:hyperlink r:id="rId28">
              <w:r>
                <w:rPr>
                  <w:rFonts w:ascii="Arial" w:cs="Arial" w:eastAsia="Arial" w:hAnsi="Arial"/>
                  <w:sz w:val="18"/>
                  <w:szCs w:val="18"/>
                  <w:color w:val="0000EE"/>
                </w:rPr>
                <w:t>Opinion of Loeb &amp; Loeb LLP</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5"/>
              </w:rPr>
            </w:pPr>
            <w:hyperlink r:id="rId29">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1*</w:t>
              </w:r>
            </w:hyperlink>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00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1"/>
              </w:rPr>
            </w:pPr>
            <w:hyperlink r:id="rId29">
              <w:r>
                <w:rPr>
                  <w:rFonts w:ascii="Arial" w:cs="Arial" w:eastAsia="Arial" w:hAnsi="Arial"/>
                  <w:sz w:val="18"/>
                  <w:szCs w:val="18"/>
                  <w:color w:val="0000EE"/>
                  <w:w w:val="91"/>
                </w:rPr>
                <w:t>Form of Letter Agreement among the Registrant and our officers, directors and BurTech LP LLC</w:t>
              </w:r>
            </w:hyperlink>
          </w:p>
        </w:tc>
        <w:tc>
          <w:tcPr>
            <w:tcW w:w="2880" w:type="dxa"/>
            <w:vAlign w:val="bottom"/>
            <w:tcBorders>
              <w:bottom w:val="single" w:sz="8" w:color="CCEEFF"/>
            </w:tcBorders>
            <w:gridSpan w:val="3"/>
            <w:shd w:val="clear" w:color="auto" w:fill="CCEEFF"/>
          </w:tcPr>
          <w:p>
            <w:pPr>
              <w:spacing w:after="0"/>
              <w:rPr>
                <w:sz w:val="17"/>
                <w:szCs w:val="17"/>
                <w:color w:val="auto"/>
              </w:rPr>
            </w:pPr>
          </w:p>
        </w:tc>
      </w:tr>
      <w:tr>
        <w:trPr>
          <w:trHeight w:val="176"/>
        </w:trPr>
        <w:tc>
          <w:tcPr>
            <w:tcW w:w="1140" w:type="dxa"/>
            <w:vAlign w:val="bottom"/>
            <w:gridSpan w:val="4"/>
          </w:tcPr>
          <w:p>
            <w:pPr>
              <w:spacing w:after="0" w:line="176" w:lineRule="exact"/>
              <w:rPr>
                <w:rFonts w:ascii="Arial" w:cs="Arial" w:eastAsia="Arial" w:hAnsi="Arial"/>
                <w:sz w:val="18"/>
                <w:szCs w:val="18"/>
                <w:color w:val="0000EE"/>
              </w:rPr>
            </w:pPr>
            <w:hyperlink r:id="rId30">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20" w:type="dxa"/>
            <w:vAlign w:val="bottom"/>
          </w:tcPr>
          <w:p>
            <w:pPr>
              <w:spacing w:after="0"/>
              <w:rPr>
                <w:sz w:val="15"/>
                <w:szCs w:val="15"/>
                <w:color w:val="auto"/>
              </w:rPr>
            </w:pPr>
          </w:p>
        </w:tc>
        <w:tc>
          <w:tcPr>
            <w:tcW w:w="9880" w:type="dxa"/>
            <w:vAlign w:val="bottom"/>
            <w:gridSpan w:val="24"/>
          </w:tcPr>
          <w:p>
            <w:pPr>
              <w:spacing w:after="0" w:line="176" w:lineRule="exact"/>
              <w:rPr>
                <w:rFonts w:ascii="Arial" w:cs="Arial" w:eastAsia="Arial" w:hAnsi="Arial"/>
                <w:sz w:val="18"/>
                <w:szCs w:val="18"/>
                <w:color w:val="0000EE"/>
              </w:rPr>
            </w:pPr>
            <w:hyperlink r:id="rId30">
              <w:r>
                <w:rPr>
                  <w:rFonts w:ascii="Arial" w:cs="Arial" w:eastAsia="Arial" w:hAnsi="Arial"/>
                  <w:sz w:val="18"/>
                  <w:szCs w:val="18"/>
                  <w:color w:val="0000EE"/>
                </w:rPr>
                <w:t>Promissory Note, dated May 21, 2021, issued to BurTech LP LLC</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420" w:type="dxa"/>
            <w:vAlign w:val="bottom"/>
            <w:gridSpan w:val="3"/>
            <w:shd w:val="clear" w:color="auto" w:fill="CCEEFF"/>
          </w:tcPr>
          <w:p>
            <w:pPr>
              <w:spacing w:after="0" w:line="176" w:lineRule="exact"/>
              <w:rPr>
                <w:rFonts w:ascii="Arial" w:cs="Arial" w:eastAsia="Arial" w:hAnsi="Arial"/>
                <w:sz w:val="18"/>
                <w:szCs w:val="18"/>
                <w:color w:val="0000EE"/>
                <w:w w:val="95"/>
              </w:rPr>
            </w:pPr>
            <w:hyperlink r:id="rId31">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3*</w:t>
              </w:r>
            </w:hyperlink>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80" w:type="dxa"/>
            <w:vAlign w:val="bottom"/>
            <w:gridSpan w:val="24"/>
            <w:shd w:val="clear" w:color="auto" w:fill="CCEEFF"/>
          </w:tcPr>
          <w:p>
            <w:pPr>
              <w:spacing w:after="0" w:line="176" w:lineRule="exact"/>
              <w:rPr>
                <w:rFonts w:ascii="Arial" w:cs="Arial" w:eastAsia="Arial" w:hAnsi="Arial"/>
                <w:sz w:val="18"/>
                <w:szCs w:val="18"/>
                <w:color w:val="0000EE"/>
                <w:w w:val="99"/>
              </w:rPr>
            </w:pPr>
            <w:hyperlink r:id="rId31">
              <w:r>
                <w:rPr>
                  <w:rFonts w:ascii="Arial" w:cs="Arial" w:eastAsia="Arial" w:hAnsi="Arial"/>
                  <w:sz w:val="18"/>
                  <w:szCs w:val="18"/>
                  <w:color w:val="0000EE"/>
                  <w:w w:val="99"/>
                </w:rPr>
                <w:t>Form of Investment Management Trust Agreement between Continental Stock Transfer &amp; Trust Company and the Registrant</w:t>
              </w:r>
            </w:hyperlink>
          </w:p>
        </w:tc>
      </w:tr>
      <w:tr>
        <w:trPr>
          <w:trHeight w:val="176"/>
        </w:trPr>
        <w:tc>
          <w:tcPr>
            <w:tcW w:w="420" w:type="dxa"/>
            <w:vAlign w:val="bottom"/>
            <w:tcBorders>
              <w:top w:val="single" w:sz="8" w:color="0000EE"/>
            </w:tcBorders>
            <w:gridSpan w:val="3"/>
          </w:tcPr>
          <w:p>
            <w:pPr>
              <w:spacing w:after="0" w:line="176" w:lineRule="exact"/>
              <w:rPr>
                <w:rFonts w:ascii="Arial" w:cs="Arial" w:eastAsia="Arial" w:hAnsi="Arial"/>
                <w:sz w:val="18"/>
                <w:szCs w:val="18"/>
                <w:color w:val="0000EE"/>
                <w:w w:val="95"/>
              </w:rPr>
            </w:pPr>
            <w:hyperlink r:id="rId32">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4*</w:t>
              </w:r>
            </w:hyperlink>
          </w:p>
        </w:tc>
        <w:tc>
          <w:tcPr>
            <w:tcW w:w="7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900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r:id="rId32">
              <w:r>
                <w:rPr>
                  <w:rFonts w:ascii="Arial" w:cs="Arial" w:eastAsia="Arial" w:hAnsi="Arial"/>
                  <w:sz w:val="18"/>
                  <w:szCs w:val="18"/>
                  <w:color w:val="0000EE"/>
                </w:rPr>
                <w:t>Form of Registration Rights Agreement between the Registrant and certain security holders</w:t>
              </w:r>
            </w:hyperlink>
          </w:p>
        </w:tc>
        <w:tc>
          <w:tcPr>
            <w:tcW w:w="880" w:type="dxa"/>
            <w:vAlign w:val="bottom"/>
            <w:tcBorders>
              <w:top w:val="single" w:sz="8" w:color="CCEEFF"/>
            </w:tcBorders>
          </w:tcPr>
          <w:p>
            <w:pPr>
              <w:spacing w:after="0"/>
              <w:rPr>
                <w:sz w:val="15"/>
                <w:szCs w:val="15"/>
                <w:color w:val="auto"/>
              </w:rPr>
            </w:pPr>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420" w:type="dxa"/>
            <w:vAlign w:val="bottom"/>
            <w:gridSpan w:val="3"/>
            <w:shd w:val="clear" w:color="auto" w:fill="CCEEFF"/>
          </w:tcPr>
          <w:p>
            <w:pPr>
              <w:spacing w:after="0" w:line="176" w:lineRule="exact"/>
              <w:rPr>
                <w:rFonts w:ascii="Arial" w:cs="Arial" w:eastAsia="Arial" w:hAnsi="Arial"/>
                <w:sz w:val="18"/>
                <w:szCs w:val="18"/>
                <w:color w:val="0000EE"/>
                <w:w w:val="95"/>
              </w:rPr>
            </w:pPr>
            <w:hyperlink r:id="rId33">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5*</w:t>
              </w:r>
            </w:hyperlink>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80" w:type="dxa"/>
            <w:vAlign w:val="bottom"/>
            <w:gridSpan w:val="24"/>
            <w:shd w:val="clear" w:color="auto" w:fill="CCEEFF"/>
          </w:tcPr>
          <w:p>
            <w:pPr>
              <w:spacing w:after="0" w:line="176" w:lineRule="exact"/>
              <w:rPr>
                <w:rFonts w:ascii="Arial" w:cs="Arial" w:eastAsia="Arial" w:hAnsi="Arial"/>
                <w:sz w:val="18"/>
                <w:szCs w:val="18"/>
                <w:color w:val="0000EE"/>
              </w:rPr>
            </w:pPr>
            <w:hyperlink r:id="rId33">
              <w:r>
                <w:rPr>
                  <w:rFonts w:ascii="Arial" w:cs="Arial" w:eastAsia="Arial" w:hAnsi="Arial"/>
                  <w:sz w:val="18"/>
                  <w:szCs w:val="18"/>
                  <w:color w:val="0000EE"/>
                </w:rPr>
                <w:t>Securities Subscription Agreement, dated May 21, 2021, between the Registrant and BurTech LP LLC</w:t>
              </w:r>
            </w:hyperlink>
          </w:p>
        </w:tc>
      </w:tr>
      <w:tr>
        <w:trPr>
          <w:trHeight w:val="175"/>
        </w:trPr>
        <w:tc>
          <w:tcPr>
            <w:tcW w:w="420" w:type="dxa"/>
            <w:vAlign w:val="bottom"/>
            <w:tcBorders>
              <w:top w:val="single" w:sz="8" w:color="0000EE"/>
            </w:tcBorders>
            <w:gridSpan w:val="3"/>
          </w:tcPr>
          <w:p>
            <w:pPr>
              <w:spacing w:after="0" w:line="176" w:lineRule="exact"/>
              <w:rPr>
                <w:rFonts w:ascii="Arial" w:cs="Arial" w:eastAsia="Arial" w:hAnsi="Arial"/>
                <w:sz w:val="18"/>
                <w:szCs w:val="18"/>
                <w:color w:val="0000EE"/>
                <w:w w:val="95"/>
              </w:rPr>
            </w:pPr>
            <w:hyperlink r:id="rId34">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6*</w:t>
              </w:r>
            </w:hyperlink>
          </w:p>
        </w:tc>
        <w:tc>
          <w:tcPr>
            <w:tcW w:w="7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380" w:type="dxa"/>
            <w:vAlign w:val="bottom"/>
            <w:tcBorders>
              <w:top w:val="single" w:sz="8" w:color="0000EE"/>
            </w:tcBorders>
            <w:gridSpan w:val="22"/>
          </w:tcPr>
          <w:p>
            <w:pPr>
              <w:spacing w:after="0" w:line="176" w:lineRule="exact"/>
              <w:rPr>
                <w:rFonts w:ascii="Arial" w:cs="Arial" w:eastAsia="Arial" w:hAnsi="Arial"/>
                <w:sz w:val="18"/>
                <w:szCs w:val="18"/>
                <w:color w:val="0000EE"/>
              </w:rPr>
            </w:pPr>
            <w:hyperlink r:id="rId34">
              <w:r>
                <w:rPr>
                  <w:rFonts w:ascii="Arial" w:cs="Arial" w:eastAsia="Arial" w:hAnsi="Arial"/>
                  <w:sz w:val="18"/>
                  <w:szCs w:val="18"/>
                  <w:color w:val="0000EE"/>
                </w:rPr>
                <w:t>Form of Placement Unit Purchase Agreement between the Registrant and BurTech LP LLC</w:t>
              </w:r>
            </w:hyperlink>
          </w:p>
        </w:tc>
        <w:tc>
          <w:tcPr>
            <w:tcW w:w="2500" w:type="dxa"/>
            <w:vAlign w:val="bottom"/>
            <w:tcBorders>
              <w:top w:val="single" w:sz="8" w:color="CCEEFF"/>
            </w:tcBorders>
            <w:gridSpan w:val="2"/>
          </w:tcPr>
          <w:p>
            <w:pPr>
              <w:spacing w:after="0"/>
              <w:rPr>
                <w:sz w:val="15"/>
                <w:szCs w:val="15"/>
                <w:color w:val="auto"/>
              </w:rPr>
            </w:pPr>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5"/>
              </w:rPr>
            </w:pPr>
            <w:hyperlink r:id="rId35">
              <w:r>
                <w:rPr>
                  <w:rFonts w:ascii="Arial" w:cs="Arial" w:eastAsia="Arial" w:hAnsi="Arial"/>
                  <w:sz w:val="18"/>
                  <w:szCs w:val="18"/>
                  <w:color w:val="0000EE"/>
                  <w:w w:val="95"/>
                </w:rPr>
                <w:t>10.</w:t>
              </w:r>
              <w:r>
                <w:rPr>
                  <w:rFonts w:ascii="Arial" w:cs="Arial" w:eastAsia="Arial" w:hAnsi="Arial"/>
                  <w:sz w:val="18"/>
                  <w:szCs w:val="18"/>
                  <w:u w:val="single" w:color="auto"/>
                  <w:color w:val="0000EE"/>
                  <w:w w:val="95"/>
                </w:rPr>
                <w:t>7*</w:t>
              </w:r>
            </w:hyperlink>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2"/>
              </w:rPr>
            </w:pPr>
            <w:hyperlink r:id="rId35">
              <w:r>
                <w:rPr>
                  <w:rFonts w:ascii="Arial" w:cs="Arial" w:eastAsia="Arial" w:hAnsi="Arial"/>
                  <w:sz w:val="18"/>
                  <w:szCs w:val="18"/>
                  <w:color w:val="0000EE"/>
                  <w:w w:val="92"/>
                </w:rPr>
                <w:t>Form of Indemnity Agreement</w:t>
              </w:r>
            </w:hyperlink>
          </w:p>
        </w:tc>
        <w:tc>
          <w:tcPr>
            <w:tcW w:w="7660" w:type="dxa"/>
            <w:vAlign w:val="bottom"/>
            <w:tcBorders>
              <w:bottom w:val="single" w:sz="8" w:color="CCEEFF"/>
            </w:tcBorders>
            <w:gridSpan w:val="14"/>
            <w:shd w:val="clear" w:color="auto" w:fill="CCEEFF"/>
          </w:tcPr>
          <w:p>
            <w:pPr>
              <w:spacing w:after="0"/>
              <w:rPr>
                <w:sz w:val="17"/>
                <w:szCs w:val="17"/>
                <w:color w:val="auto"/>
              </w:rPr>
            </w:pPr>
          </w:p>
        </w:tc>
      </w:tr>
      <w:tr>
        <w:trPr>
          <w:trHeight w:val="176"/>
        </w:trPr>
        <w:tc>
          <w:tcPr>
            <w:tcW w:w="1140" w:type="dxa"/>
            <w:vAlign w:val="bottom"/>
            <w:gridSpan w:val="4"/>
          </w:tcPr>
          <w:p>
            <w:pPr>
              <w:spacing w:after="0" w:line="176" w:lineRule="exact"/>
              <w:rPr>
                <w:rFonts w:ascii="Arial" w:cs="Arial" w:eastAsia="Arial" w:hAnsi="Arial"/>
                <w:sz w:val="18"/>
                <w:szCs w:val="18"/>
                <w:color w:val="0000EE"/>
              </w:rPr>
            </w:pPr>
            <w:hyperlink r:id="rId36">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220" w:type="dxa"/>
            <w:vAlign w:val="bottom"/>
          </w:tcPr>
          <w:p>
            <w:pPr>
              <w:spacing w:after="0"/>
              <w:rPr>
                <w:sz w:val="15"/>
                <w:szCs w:val="15"/>
                <w:color w:val="auto"/>
              </w:rPr>
            </w:pPr>
          </w:p>
        </w:tc>
        <w:tc>
          <w:tcPr>
            <w:tcW w:w="9880" w:type="dxa"/>
            <w:vAlign w:val="bottom"/>
            <w:gridSpan w:val="24"/>
          </w:tcPr>
          <w:p>
            <w:pPr>
              <w:spacing w:after="0" w:line="176" w:lineRule="exact"/>
              <w:rPr>
                <w:rFonts w:ascii="Arial" w:cs="Arial" w:eastAsia="Arial" w:hAnsi="Arial"/>
                <w:sz w:val="18"/>
                <w:szCs w:val="18"/>
                <w:color w:val="0000EE"/>
              </w:rPr>
            </w:pPr>
            <w:hyperlink r:id="rId36">
              <w:r>
                <w:rPr>
                  <w:rFonts w:ascii="Arial" w:cs="Arial" w:eastAsia="Arial" w:hAnsi="Arial"/>
                  <w:sz w:val="18"/>
                  <w:szCs w:val="18"/>
                  <w:color w:val="0000EE"/>
                </w:rPr>
                <w:t>Form of Administrative Support Agreement by and between the Registrant and BurTech LP LLC</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2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6"/>
              </w:rPr>
            </w:pPr>
            <w:hyperlink r:id="rId37">
              <w:r>
                <w:rPr>
                  <w:rFonts w:ascii="Arial" w:cs="Arial" w:eastAsia="Arial" w:hAnsi="Arial"/>
                  <w:sz w:val="18"/>
                  <w:szCs w:val="18"/>
                  <w:color w:val="0000EE"/>
                  <w:w w:val="96"/>
                </w:rPr>
                <w:t>14*</w:t>
              </w:r>
            </w:hyperlink>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1"/>
              </w:rPr>
            </w:pPr>
            <w:hyperlink r:id="rId37">
              <w:r>
                <w:rPr>
                  <w:rFonts w:ascii="Arial" w:cs="Arial" w:eastAsia="Arial" w:hAnsi="Arial"/>
                  <w:sz w:val="18"/>
                  <w:szCs w:val="18"/>
                  <w:color w:val="0000EE"/>
                  <w:w w:val="91"/>
                </w:rPr>
                <w:t>Form of Code of Ethics</w:t>
              </w:r>
            </w:hyperlink>
          </w:p>
        </w:tc>
        <w:tc>
          <w:tcPr>
            <w:tcW w:w="8180" w:type="dxa"/>
            <w:vAlign w:val="bottom"/>
            <w:tcBorders>
              <w:bottom w:val="single" w:sz="8" w:color="CCEEFF"/>
            </w:tcBorders>
            <w:gridSpan w:val="22"/>
            <w:shd w:val="clear" w:color="auto" w:fill="CCEEFF"/>
          </w:tcPr>
          <w:p>
            <w:pPr>
              <w:spacing w:after="0"/>
              <w:rPr>
                <w:sz w:val="17"/>
                <w:szCs w:val="17"/>
                <w:color w:val="auto"/>
              </w:rPr>
            </w:pPr>
          </w:p>
        </w:tc>
      </w:tr>
      <w:tr>
        <w:trPr>
          <w:trHeight w:val="176"/>
        </w:trPr>
        <w:tc>
          <w:tcPr>
            <w:tcW w:w="1140" w:type="dxa"/>
            <w:vAlign w:val="bottom"/>
            <w:gridSpan w:val="4"/>
          </w:tcPr>
          <w:p>
            <w:pPr>
              <w:spacing w:after="0" w:line="176" w:lineRule="exact"/>
              <w:rPr>
                <w:rFonts w:ascii="Arial" w:cs="Arial" w:eastAsia="Arial" w:hAnsi="Arial"/>
                <w:sz w:val="18"/>
                <w:szCs w:val="18"/>
                <w:color w:val="0000EE"/>
              </w:rPr>
            </w:pPr>
            <w:hyperlink r:id="rId38">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220" w:type="dxa"/>
            <w:vAlign w:val="bottom"/>
          </w:tcPr>
          <w:p>
            <w:pPr>
              <w:spacing w:after="0"/>
              <w:rPr>
                <w:sz w:val="15"/>
                <w:szCs w:val="15"/>
                <w:color w:val="auto"/>
              </w:rPr>
            </w:pPr>
          </w:p>
        </w:tc>
        <w:tc>
          <w:tcPr>
            <w:tcW w:w="9880" w:type="dxa"/>
            <w:vAlign w:val="bottom"/>
            <w:gridSpan w:val="24"/>
          </w:tcPr>
          <w:p>
            <w:pPr>
              <w:spacing w:after="0" w:line="176" w:lineRule="exact"/>
              <w:rPr>
                <w:rFonts w:ascii="Arial" w:cs="Arial" w:eastAsia="Arial" w:hAnsi="Arial"/>
                <w:sz w:val="18"/>
                <w:szCs w:val="18"/>
                <w:color w:val="0000EE"/>
              </w:rPr>
            </w:pPr>
            <w:hyperlink r:id="rId38">
              <w:r>
                <w:rPr>
                  <w:rFonts w:ascii="Arial" w:cs="Arial" w:eastAsia="Arial" w:hAnsi="Arial"/>
                  <w:sz w:val="18"/>
                  <w:szCs w:val="18"/>
                  <w:color w:val="0000EE"/>
                </w:rPr>
                <w:t>Consent of Marcum LLP</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5"/>
              </w:rPr>
            </w:pPr>
            <w:hyperlink r:id="rId28">
              <w:r>
                <w:rPr>
                  <w:rFonts w:ascii="Arial" w:cs="Arial" w:eastAsia="Arial" w:hAnsi="Arial"/>
                  <w:sz w:val="18"/>
                  <w:szCs w:val="18"/>
                  <w:color w:val="0000EE"/>
                  <w:w w:val="95"/>
                </w:rPr>
                <w:t>23.</w:t>
              </w:r>
              <w:r>
                <w:rPr>
                  <w:rFonts w:ascii="Arial" w:cs="Arial" w:eastAsia="Arial" w:hAnsi="Arial"/>
                  <w:sz w:val="18"/>
                  <w:szCs w:val="18"/>
                  <w:u w:val="single" w:color="auto"/>
                  <w:color w:val="0000EE"/>
                  <w:w w:val="95"/>
                </w:rPr>
                <w:t>2*</w:t>
              </w:r>
            </w:hyperlink>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98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3"/>
              </w:rPr>
            </w:pPr>
            <w:hyperlink r:id="rId28">
              <w:r>
                <w:rPr>
                  <w:rFonts w:ascii="Arial" w:cs="Arial" w:eastAsia="Arial" w:hAnsi="Arial"/>
                  <w:sz w:val="18"/>
                  <w:szCs w:val="18"/>
                  <w:color w:val="0000EE"/>
                  <w:w w:val="93"/>
                </w:rPr>
                <w:t>Consent of Loeb &amp; Loeb LLP (included in Exhibit 5.1)</w:t>
              </w:r>
            </w:hyperlink>
          </w:p>
        </w:tc>
        <w:tc>
          <w:tcPr>
            <w:tcW w:w="5900" w:type="dxa"/>
            <w:vAlign w:val="bottom"/>
            <w:tcBorders>
              <w:bottom w:val="single" w:sz="8" w:color="CCEEFF"/>
            </w:tcBorders>
            <w:gridSpan w:val="8"/>
            <w:shd w:val="clear" w:color="auto" w:fill="CCEEFF"/>
          </w:tcPr>
          <w:p>
            <w:pPr>
              <w:spacing w:after="0"/>
              <w:rPr>
                <w:sz w:val="17"/>
                <w:szCs w:val="17"/>
                <w:color w:val="auto"/>
              </w:rPr>
            </w:pP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39">
              <w:r>
                <w:rPr>
                  <w:rFonts w:ascii="Arial" w:cs="Arial" w:eastAsia="Arial" w:hAnsi="Arial"/>
                  <w:sz w:val="18"/>
                  <w:szCs w:val="18"/>
                  <w:color w:val="0000EE"/>
                </w:rPr>
                <w:t>24*</w:t>
              </w:r>
            </w:hyperlink>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24"/>
          </w:tcPr>
          <w:p>
            <w:pPr>
              <w:spacing w:after="0" w:line="176" w:lineRule="exact"/>
              <w:rPr>
                <w:rFonts w:ascii="Arial" w:cs="Arial" w:eastAsia="Arial" w:hAnsi="Arial"/>
                <w:sz w:val="18"/>
                <w:szCs w:val="18"/>
                <w:color w:val="0000EE"/>
              </w:rPr>
            </w:pPr>
            <w:hyperlink r:id="rId39">
              <w:r>
                <w:rPr>
                  <w:rFonts w:ascii="Arial" w:cs="Arial" w:eastAsia="Arial" w:hAnsi="Arial"/>
                  <w:sz w:val="18"/>
                  <w:szCs w:val="18"/>
                  <w:color w:val="0000EE"/>
                </w:rPr>
                <w:t>Power of Attorney (included on the signature page to this Registration Statement)</w:t>
              </w:r>
            </w:hyperlink>
          </w:p>
        </w:tc>
      </w:tr>
      <w:tr>
        <w:trPr>
          <w:trHeight w:val="21"/>
        </w:trPr>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w w:val="95"/>
              </w:rPr>
            </w:pPr>
            <w:hyperlink r:id="rId40">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1*</w:t>
              </w:r>
            </w:hyperlink>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gridSpan w:val="24"/>
            <w:shd w:val="clear" w:color="auto" w:fill="CCEEFF"/>
          </w:tcPr>
          <w:p>
            <w:pPr>
              <w:spacing w:after="0" w:line="176" w:lineRule="exact"/>
              <w:rPr>
                <w:rFonts w:ascii="Arial" w:cs="Arial" w:eastAsia="Arial" w:hAnsi="Arial"/>
                <w:sz w:val="18"/>
                <w:szCs w:val="18"/>
                <w:color w:val="0000EE"/>
              </w:rPr>
            </w:pPr>
            <w:hyperlink r:id="rId40">
              <w:r>
                <w:rPr>
                  <w:rFonts w:ascii="Arial" w:cs="Arial" w:eastAsia="Arial" w:hAnsi="Arial"/>
                  <w:sz w:val="18"/>
                  <w:szCs w:val="18"/>
                  <w:color w:val="0000EE"/>
                </w:rPr>
                <w:t>Form of Audit Committee Charter</w:t>
              </w:r>
            </w:hyperlink>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0" w:type="dxa"/>
            <w:vAlign w:val="bottom"/>
            <w:gridSpan w:val="3"/>
          </w:tcPr>
          <w:p>
            <w:pPr>
              <w:spacing w:after="0" w:line="176" w:lineRule="exact"/>
              <w:rPr>
                <w:rFonts w:ascii="Arial" w:cs="Arial" w:eastAsia="Arial" w:hAnsi="Arial"/>
                <w:sz w:val="18"/>
                <w:szCs w:val="18"/>
                <w:color w:val="0000EE"/>
                <w:w w:val="95"/>
              </w:rPr>
            </w:pPr>
            <w:hyperlink r:id="rId41">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2*</w:t>
              </w:r>
            </w:hyperlink>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80" w:type="dxa"/>
            <w:vAlign w:val="bottom"/>
            <w:gridSpan w:val="24"/>
          </w:tcPr>
          <w:p>
            <w:pPr>
              <w:spacing w:after="0" w:line="176" w:lineRule="exact"/>
              <w:rPr>
                <w:rFonts w:ascii="Arial" w:cs="Arial" w:eastAsia="Arial" w:hAnsi="Arial"/>
                <w:sz w:val="18"/>
                <w:szCs w:val="18"/>
                <w:color w:val="0000EE"/>
              </w:rPr>
            </w:pPr>
            <w:hyperlink r:id="rId41">
              <w:r>
                <w:rPr>
                  <w:rFonts w:ascii="Arial" w:cs="Arial" w:eastAsia="Arial" w:hAnsi="Arial"/>
                  <w:sz w:val="18"/>
                  <w:szCs w:val="18"/>
                  <w:color w:val="0000EE"/>
                </w:rPr>
                <w:t>Form of Compensation Committee Charter</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4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5"/>
              </w:rPr>
            </w:pPr>
            <w:hyperlink r:id="rId42">
              <w:r>
                <w:rPr>
                  <w:rFonts w:ascii="Arial" w:cs="Arial" w:eastAsia="Arial" w:hAnsi="Arial"/>
                  <w:sz w:val="18"/>
                  <w:szCs w:val="18"/>
                  <w:color w:val="0000EE"/>
                  <w:w w:val="95"/>
                </w:rPr>
                <w:t>99.</w:t>
              </w:r>
              <w:r>
                <w:rPr>
                  <w:rFonts w:ascii="Arial" w:cs="Arial" w:eastAsia="Arial" w:hAnsi="Arial"/>
                  <w:sz w:val="18"/>
                  <w:szCs w:val="18"/>
                  <w:u w:val="single" w:color="auto"/>
                  <w:color w:val="0000EE"/>
                  <w:w w:val="95"/>
                </w:rPr>
                <w:t>3*</w:t>
              </w:r>
            </w:hyperlink>
          </w:p>
        </w:tc>
        <w:tc>
          <w:tcPr>
            <w:tcW w:w="7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0"/>
              </w:rPr>
            </w:pPr>
            <w:hyperlink r:id="rId42">
              <w:r>
                <w:rPr>
                  <w:rFonts w:ascii="Arial" w:cs="Arial" w:eastAsia="Arial" w:hAnsi="Arial"/>
                  <w:sz w:val="18"/>
                  <w:szCs w:val="18"/>
                  <w:color w:val="0000EE"/>
                  <w:w w:val="90"/>
                </w:rPr>
                <w:t>Consent of Leon Golden</w:t>
              </w:r>
            </w:hyperlink>
          </w:p>
        </w:tc>
        <w:tc>
          <w:tcPr>
            <w:tcW w:w="8100" w:type="dxa"/>
            <w:vAlign w:val="bottom"/>
            <w:tcBorders>
              <w:bottom w:val="single" w:sz="8" w:color="CCEEFF"/>
            </w:tcBorders>
            <w:gridSpan w:val="20"/>
            <w:shd w:val="clear" w:color="auto" w:fill="CCEEFF"/>
          </w:tcPr>
          <w:p>
            <w:pPr>
              <w:spacing w:after="0"/>
              <w:rPr>
                <w:sz w:val="17"/>
                <w:szCs w:val="17"/>
                <w:color w:val="auto"/>
              </w:rPr>
            </w:pP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r:id="rId43">
              <w:r>
                <w:rPr>
                  <w:rFonts w:ascii="Arial" w:cs="Arial" w:eastAsia="Arial" w:hAnsi="Arial"/>
                  <w:sz w:val="18"/>
                  <w:szCs w:val="18"/>
                  <w:color w:val="0000EE"/>
                </w:rPr>
                <w:t>99.</w:t>
              </w:r>
              <w:r>
                <w:rPr>
                  <w:rFonts w:ascii="Arial" w:cs="Arial" w:eastAsia="Arial" w:hAnsi="Arial"/>
                  <w:sz w:val="18"/>
                  <w:szCs w:val="18"/>
                  <w:u w:val="single" w:color="auto"/>
                  <w:color w:val="0000EE"/>
                </w:rPr>
                <w:t>4*</w:t>
              </w:r>
            </w:hyperlink>
          </w:p>
        </w:tc>
        <w:tc>
          <w:tcPr>
            <w:tcW w:w="220" w:type="dxa"/>
            <w:vAlign w:val="bottom"/>
          </w:tcPr>
          <w:p>
            <w:pPr>
              <w:spacing w:after="0"/>
              <w:rPr>
                <w:sz w:val="15"/>
                <w:szCs w:val="15"/>
                <w:color w:val="auto"/>
              </w:rPr>
            </w:pPr>
          </w:p>
        </w:tc>
        <w:tc>
          <w:tcPr>
            <w:tcW w:w="9880" w:type="dxa"/>
            <w:vAlign w:val="bottom"/>
            <w:gridSpan w:val="24"/>
          </w:tcPr>
          <w:p>
            <w:pPr>
              <w:spacing w:after="0" w:line="176" w:lineRule="exact"/>
              <w:rPr>
                <w:rFonts w:ascii="Arial" w:cs="Arial" w:eastAsia="Arial" w:hAnsi="Arial"/>
                <w:sz w:val="18"/>
                <w:szCs w:val="18"/>
                <w:color w:val="0000EE"/>
              </w:rPr>
            </w:pPr>
            <w:hyperlink r:id="rId43">
              <w:r>
                <w:rPr>
                  <w:rFonts w:ascii="Arial" w:cs="Arial" w:eastAsia="Arial" w:hAnsi="Arial"/>
                  <w:sz w:val="18"/>
                  <w:szCs w:val="18"/>
                  <w:color w:val="0000EE"/>
                </w:rPr>
                <w:t>Consent of Scott Young</w:t>
              </w:r>
            </w:hyperlink>
          </w:p>
        </w:tc>
      </w:tr>
      <w:tr>
        <w:trPr>
          <w:trHeight w:val="20"/>
        </w:trPr>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r:id="rId44">
              <w:r>
                <w:rPr>
                  <w:rFonts w:ascii="Arial" w:cs="Arial" w:eastAsia="Arial" w:hAnsi="Arial"/>
                  <w:sz w:val="18"/>
                  <w:szCs w:val="18"/>
                  <w:color w:val="0000EE"/>
                </w:rPr>
                <w:t>99.</w:t>
              </w:r>
              <w:r>
                <w:rPr>
                  <w:rFonts w:ascii="Arial" w:cs="Arial" w:eastAsia="Arial" w:hAnsi="Arial"/>
                  <w:sz w:val="18"/>
                  <w:szCs w:val="18"/>
                  <w:u w:val="single" w:color="auto"/>
                  <w:color w:val="0000EE"/>
                </w:rPr>
                <w:t>5*</w:t>
              </w:r>
            </w:hyperlink>
          </w:p>
        </w:tc>
        <w:tc>
          <w:tcPr>
            <w:tcW w:w="220" w:type="dxa"/>
            <w:vAlign w:val="bottom"/>
            <w:shd w:val="clear" w:color="auto" w:fill="CCEEFF"/>
          </w:tcPr>
          <w:p>
            <w:pPr>
              <w:spacing w:after="0"/>
              <w:rPr>
                <w:sz w:val="15"/>
                <w:szCs w:val="15"/>
                <w:color w:val="auto"/>
              </w:rPr>
            </w:pPr>
          </w:p>
        </w:tc>
        <w:tc>
          <w:tcPr>
            <w:tcW w:w="9880" w:type="dxa"/>
            <w:vAlign w:val="bottom"/>
            <w:gridSpan w:val="24"/>
            <w:shd w:val="clear" w:color="auto" w:fill="CCEEFF"/>
          </w:tcPr>
          <w:p>
            <w:pPr>
              <w:spacing w:after="0" w:line="176" w:lineRule="exact"/>
              <w:rPr>
                <w:rFonts w:ascii="Arial" w:cs="Arial" w:eastAsia="Arial" w:hAnsi="Arial"/>
                <w:sz w:val="18"/>
                <w:szCs w:val="18"/>
                <w:color w:val="0000EE"/>
              </w:rPr>
            </w:pPr>
            <w:hyperlink r:id="rId44">
              <w:r>
                <w:rPr>
                  <w:rFonts w:ascii="Arial" w:cs="Arial" w:eastAsia="Arial" w:hAnsi="Arial"/>
                  <w:sz w:val="18"/>
                  <w:szCs w:val="18"/>
                  <w:color w:val="0000EE"/>
                </w:rPr>
                <w:t>Consent of Joseph A. Porrello</w:t>
              </w:r>
            </w:hyperlink>
          </w:p>
        </w:tc>
      </w:tr>
      <w:tr>
        <w:trPr>
          <w:trHeight w:val="20"/>
        </w:trPr>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jc w:val="both"/>
        <w:ind w:right="9920" w:firstLine="8"/>
        <w:spacing w:after="0" w:line="342" w:lineRule="auto"/>
        <w:tabs>
          <w:tab w:leader="none" w:pos="135"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Washington DC, on the 2nd day of December, 2021.</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486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360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r>
      <w:tr>
        <w:trPr>
          <w:trHeight w:val="425"/>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Shahal Khan</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Chief Executive 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December 2, 2021</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Shahal Khan</w:t>
            </w:r>
          </w:p>
        </w:tc>
        <w:tc>
          <w:tcPr>
            <w:tcW w:w="120" w:type="dxa"/>
            <w:vAlign w:val="bottom"/>
          </w:tcPr>
          <w:p>
            <w:pPr>
              <w:spacing w:after="0"/>
              <w:rPr>
                <w:sz w:val="19"/>
                <w:szCs w:val="19"/>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19"/>
                <w:szCs w:val="19"/>
                <w:color w:val="auto"/>
              </w:rPr>
            </w:pPr>
          </w:p>
        </w:tc>
      </w:tr>
      <w:tr>
        <w:trPr>
          <w:trHeight w:val="418"/>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Roman Livson</w:t>
            </w:r>
          </w:p>
        </w:tc>
        <w:tc>
          <w:tcPr>
            <w:tcW w:w="120" w:type="dxa"/>
            <w:vAlign w:val="bottom"/>
          </w:tcPr>
          <w:p>
            <w:pPr>
              <w:spacing w:after="0"/>
              <w:rPr>
                <w:sz w:val="24"/>
                <w:szCs w:val="24"/>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December 2, 2021</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Roman Livson</w:t>
            </w:r>
          </w:p>
        </w:tc>
        <w:tc>
          <w:tcPr>
            <w:tcW w:w="120" w:type="dxa"/>
            <w:vAlign w:val="bottom"/>
          </w:tcPr>
          <w:p>
            <w:pPr>
              <w:spacing w:after="0"/>
              <w:rPr>
                <w:sz w:val="19"/>
                <w:szCs w:val="19"/>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3600" w:type="dxa"/>
            <w:vAlign w:val="bottom"/>
          </w:tcPr>
          <w:p>
            <w:pPr>
              <w:spacing w:after="0"/>
              <w:rPr>
                <w:sz w:val="19"/>
                <w:szCs w:val="19"/>
                <w:color w:val="auto"/>
              </w:rPr>
            </w:pPr>
          </w:p>
        </w:tc>
      </w:tr>
      <w:tr>
        <w:trPr>
          <w:trHeight w:val="661"/>
        </w:trPr>
        <w:tc>
          <w:tcPr>
            <w:tcW w:w="3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ind w:left="10360"/>
        <w:spacing w:after="0"/>
        <w:rPr>
          <w:sz w:val="20"/>
          <w:szCs w:val="20"/>
          <w:color w:val="auto"/>
        </w:rPr>
      </w:pPr>
      <w:r>
        <w:rPr>
          <w:rFonts w:ascii="Arial" w:cs="Arial" w:eastAsia="Arial" w:hAnsi="Arial"/>
          <w:sz w:val="17"/>
          <w:szCs w:val="17"/>
          <w:b w:val="1"/>
          <w:bCs w:val="1"/>
          <w:color w:val="auto"/>
        </w:rPr>
        <w:t>Exhibit 3.3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BURTECH ACQUISITION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BurTech Acquisition Corp., a corporation organized and existing under the laws of the State of Delaware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DOES HEREBY CERTIFY AS FOLLOWS:</w:t>
      </w:r>
    </w:p>
    <w:p>
      <w:pPr>
        <w:spacing w:after="0" w:line="170" w:lineRule="exact"/>
        <w:rPr>
          <w:sz w:val="20"/>
          <w:szCs w:val="20"/>
          <w:color w:val="auto"/>
        </w:rPr>
      </w:pPr>
    </w:p>
    <w:p>
      <w:pPr>
        <w:jc w:val="both"/>
        <w:ind w:firstLine="656"/>
        <w:spacing w:after="0" w:line="263" w:lineRule="auto"/>
        <w:tabs>
          <w:tab w:leader="none" w:pos="8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name of the Corporation is “</w:t>
      </w:r>
      <w:r>
        <w:rPr>
          <w:rFonts w:ascii="Arial" w:cs="Arial" w:eastAsia="Arial" w:hAnsi="Arial"/>
          <w:sz w:val="18"/>
          <w:szCs w:val="18"/>
          <w:b w:val="1"/>
          <w:bCs w:val="1"/>
          <w:i w:val="1"/>
          <w:iCs w:val="1"/>
          <w:color w:val="auto"/>
        </w:rPr>
        <w:t>BurTech Acquisition Corp</w:t>
      </w:r>
      <w:r>
        <w:rPr>
          <w:rFonts w:ascii="Arial" w:cs="Arial" w:eastAsia="Arial" w:hAnsi="Arial"/>
          <w:sz w:val="18"/>
          <w:szCs w:val="18"/>
          <w:color w:val="auto"/>
        </w:rPr>
        <w:t>”. The original certificate of incorporation of the Corporation was filed with the Secretary of State of the State of Delaware March 2, 2021, as amended by the amended and restated certificate of incorporation of the Corporation filed with the Secretary of State of the State of Delaware on May 19, 2021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43"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(the “</w:t>
      </w:r>
      <w:r>
        <w:rPr>
          <w:rFonts w:ascii="Arial" w:cs="Arial" w:eastAsia="Arial" w:hAnsi="Arial"/>
          <w:sz w:val="18"/>
          <w:szCs w:val="18"/>
          <w:b w:val="1"/>
          <w:bCs w:val="1"/>
          <w:i w:val="1"/>
          <w:iCs w:val="1"/>
          <w:color w:val="auto"/>
        </w:rPr>
        <w:t>Second Amended and Restated Certificate</w:t>
      </w:r>
      <w:r>
        <w:rPr>
          <w:rFonts w:ascii="Arial" w:cs="Arial" w:eastAsia="Arial" w:hAnsi="Arial"/>
          <w:sz w:val="18"/>
          <w:szCs w:val="18"/>
          <w:color w:val="auto"/>
        </w:rPr>
        <w:t>”), which both restates and amends the provisions of the Certificate, was duly adopted in accordance with Sections 228, 242 and 245 of the General Corporation Law of the State of Delaware, as amended from time to time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Second Amended and Restated Certificate shall become effective on the date of filing with Secretary of State of Delaware.</w:t>
      </w:r>
    </w:p>
    <w:p>
      <w:pPr>
        <w:spacing w:after="0" w:line="225" w:lineRule="exact"/>
        <w:rPr>
          <w:rFonts w:ascii="Arial" w:cs="Arial" w:eastAsia="Arial" w:hAnsi="Arial"/>
          <w:sz w:val="18"/>
          <w:szCs w:val="18"/>
          <w:color w:val="auto"/>
        </w:rPr>
      </w:pPr>
    </w:p>
    <w:p>
      <w:pPr>
        <w:ind w:left="840" w:hanging="184"/>
        <w:spacing w:after="0"/>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text of the Certificate is hereby restated and amended in its entirety to read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BurTech Acquisition Corp.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 In addition to the powers and privileges conferred upon the Corporation by law and those incidental thereto, the Corporation shall possess and may exercise all the powers and privileges that are necessary or convenient to the conduct, promotion or attainment of the business or purposes of the Corporation, including, but not limited to, effecting a merger, capital stock exchange, asset acquisition, stock purchase, reorganization or similar business combination, involving the Corporation and one or more businesses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Wilmington, New Castle County, Delaware 19801, and the name of the Corporation’s registered agent at such address is The Corporation Trust Company.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Authorized Capital Stock</w:t>
      </w:r>
      <w:r>
        <w:rPr>
          <w:rFonts w:ascii="Arial" w:cs="Arial" w:eastAsia="Arial" w:hAnsi="Arial"/>
          <w:sz w:val="18"/>
          <w:szCs w:val="18"/>
          <w:color w:val="auto"/>
        </w:rPr>
        <w:t>. The total number of shares of all classes of capital stock, each with a par value of $0.0001 per share, which the Corporation is authorized to issue is 301,000,000 shares, consisting of (a) 300,000,000 shares of common stock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including (i) 280,000,000 shares of Class A common stock (the “</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and (ii) 20,000,000 shares of Class B common stock (the “</w:t>
      </w:r>
      <w:r>
        <w:rPr>
          <w:rFonts w:ascii="Arial" w:cs="Arial" w:eastAsia="Arial" w:hAnsi="Arial"/>
          <w:sz w:val="18"/>
          <w:szCs w:val="18"/>
          <w:b w:val="1"/>
          <w:bCs w:val="1"/>
          <w:i w:val="1"/>
          <w:iCs w:val="1"/>
          <w:color w:val="auto"/>
        </w:rPr>
        <w:t>Class B Common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w:t>
      </w:r>
      <w:r>
        <w:rPr>
          <w:rFonts w:ascii="Arial" w:cs="Arial" w:eastAsia="Arial" w:hAnsi="Arial"/>
          <w:sz w:val="18"/>
          <w:szCs w:val="18"/>
          <w:color w:val="auto"/>
        </w:rPr>
        <w:t>”), and (b) 1,000,000 shares of preferred stock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ind w:firstLine="648"/>
        <w:spacing w:after="0" w:line="272" w:lineRule="auto"/>
        <w:rPr>
          <w:sz w:val="20"/>
          <w:szCs w:val="20"/>
          <w:color w:val="auto"/>
        </w:rPr>
      </w:pPr>
      <w:r>
        <w:rPr>
          <w:rFonts w:ascii="Arial" w:cs="Arial" w:eastAsia="Arial" w:hAnsi="Arial"/>
          <w:sz w:val="17"/>
          <w:szCs w:val="17"/>
          <w:color w:val="auto"/>
        </w:rPr>
        <w:t xml:space="preserve">Section 4.2 </w:t>
      </w: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Subject to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of this Second Amended and Restated Certificate, 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hereby expressly authorized to provide out of the unissued shares of the Preferred Stock for one or more series of Preferred Stock and to establish from time to time the number of shares to be included in each such series and to fix the voting rights, if any, designations, powers, preferences and relative, participating, optional, special and other rights, if any, of each such series and any qualifications, limitations and restrictions thereof, as shall be stated in the resolution or resolutions adopted by the Board providing for the issuance of such series and included in a certificate of designation (a “</w:t>
      </w:r>
      <w:r>
        <w:rPr>
          <w:rFonts w:ascii="Arial" w:cs="Arial" w:eastAsia="Arial" w:hAnsi="Arial"/>
          <w:sz w:val="17"/>
          <w:szCs w:val="17"/>
          <w:b w:val="1"/>
          <w:bCs w:val="1"/>
          <w:i w:val="1"/>
          <w:iCs w:val="1"/>
          <w:color w:val="auto"/>
        </w:rPr>
        <w:t>Preferred Stock Designation</w:t>
      </w:r>
      <w:r>
        <w:rPr>
          <w:rFonts w:ascii="Arial" w:cs="Arial" w:eastAsia="Arial" w:hAnsi="Arial"/>
          <w:sz w:val="17"/>
          <w:szCs w:val="17"/>
          <w:color w:val="auto"/>
        </w:rPr>
        <w:t>”) filed pursuant to the DGCL, and the Board is hereby expressly vested with the authority to the full extent provided by law, now or hereafter, to adopt any such resolution or resolutions.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p>
    <w:p>
      <w:pPr>
        <w:spacing w:after="0" w:line="225" w:lineRule="exact"/>
        <w:rPr>
          <w:sz w:val="20"/>
          <w:szCs w:val="20"/>
          <w:color w:val="auto"/>
        </w:rPr>
      </w:pPr>
    </w:p>
    <w:p>
      <w:pPr>
        <w:ind w:left="900" w:hanging="244"/>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Voting.</w:t>
      </w:r>
    </w:p>
    <w:p>
      <w:pPr>
        <w:spacing w:after="0" w:line="225" w:lineRule="exact"/>
        <w:rPr>
          <w:sz w:val="20"/>
          <w:szCs w:val="20"/>
          <w:color w:val="auto"/>
        </w:rPr>
      </w:pPr>
    </w:p>
    <w:p>
      <w:pPr>
        <w:ind w:firstLine="656"/>
        <w:spacing w:after="0" w:line="277" w:lineRule="auto"/>
        <w:tabs>
          <w:tab w:leader="none" w:pos="865"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otherwise required by law or this Second Amended and Restated Certificate (including any Preferred Stock Designation), the holders of the Common Stock shall exclusively possess all voting power with respect to the Corporation.</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43"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otherwise required by law or this Second Amended and Restated Certificate (including any Preferred Stock Designation), the holders of shares of Common Stock shall be entitled to one vote for each such share on each matter properly submitted to the stockholders of the Corporation on which the holders of the Common Stock are entitled to vote.</w:t>
      </w:r>
    </w:p>
    <w:p>
      <w:pPr>
        <w:spacing w:after="0" w:line="183" w:lineRule="exact"/>
        <w:rPr>
          <w:rFonts w:ascii="Arial" w:cs="Arial" w:eastAsia="Arial" w:hAnsi="Arial"/>
          <w:sz w:val="18"/>
          <w:szCs w:val="18"/>
          <w:color w:val="auto"/>
        </w:rPr>
      </w:pPr>
    </w:p>
    <w:p>
      <w:pPr>
        <w:jc w:val="both"/>
        <w:ind w:firstLine="656"/>
        <w:spacing w:after="0" w:line="270" w:lineRule="auto"/>
        <w:tabs>
          <w:tab w:leader="none" w:pos="978" w:val="left"/>
        </w:tabs>
        <w:numPr>
          <w:ilvl w:val="0"/>
          <w:numId w:val="13"/>
        </w:numPr>
        <w:rPr>
          <w:rFonts w:ascii="Arial" w:cs="Arial" w:eastAsia="Arial" w:hAnsi="Arial"/>
          <w:sz w:val="17"/>
          <w:szCs w:val="17"/>
          <w:color w:val="auto"/>
        </w:rPr>
      </w:pPr>
      <w:r>
        <w:rPr>
          <w:rFonts w:ascii="Arial" w:cs="Arial" w:eastAsia="Arial" w:hAnsi="Arial"/>
          <w:sz w:val="17"/>
          <w:szCs w:val="17"/>
          <w:color w:val="auto"/>
        </w:rPr>
        <w:t>Except as otherwise required by law or this Second Amended and Restated Certificate (including any Preferred Stock Designation), at any annual or special meeting of the stockholders of the Corporation, holders of the Class A Common Stock and holders of the Class B Common Stock, voting together as a single class, shall have the exclusive right to vote for the election of directors and on all other matters properly submitted to a vote of the stockholders. Notwithstanding the foregoing, except as otherwise required by law or this Second Amended and Restated Certificate (including any Preferred Stock Designation), holders of shares of any series of Common Stock shall not be entitled to vote on any amendment to this Second Amended and Restated Certificate (including any amendment to any Preferred Stock Designation) that relates solely to the terms of one or more outstanding series of Preferred Stock or other series of Common Stock if the holders of such affected series of Preferred Stock or Common Stock, as applicable, are entitled exclusively, either separately or together with the holders of one or more other such series, to vote thereon pursuant to this Second Amended and Restated Certificate (including any Preferred Stock Designation) or the DGCL.</w:t>
      </w:r>
    </w:p>
    <w:p>
      <w:pPr>
        <w:spacing w:after="0" w:line="181" w:lineRule="exact"/>
        <w:rPr>
          <w:sz w:val="20"/>
          <w:szCs w:val="20"/>
          <w:color w:val="auto"/>
        </w:rPr>
      </w:pPr>
    </w:p>
    <w:p>
      <w:pPr>
        <w:ind w:left="920" w:hanging="264"/>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Class B Common Stock.</w:t>
      </w:r>
    </w:p>
    <w:p>
      <w:pPr>
        <w:spacing w:after="0" w:line="225" w:lineRule="exact"/>
        <w:rPr>
          <w:sz w:val="20"/>
          <w:szCs w:val="20"/>
          <w:color w:val="auto"/>
        </w:rPr>
      </w:pPr>
    </w:p>
    <w:p>
      <w:pPr>
        <w:ind w:right="20" w:firstLine="656"/>
        <w:spacing w:after="0" w:line="277" w:lineRule="auto"/>
        <w:tabs>
          <w:tab w:leader="none" w:pos="8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of Class B Common Stock shall be convertible into shares of Class A Common Stock on a one-for-one basis (the “</w:t>
      </w:r>
      <w:r>
        <w:rPr>
          <w:rFonts w:ascii="Arial" w:cs="Arial" w:eastAsia="Arial" w:hAnsi="Arial"/>
          <w:sz w:val="18"/>
          <w:szCs w:val="18"/>
          <w:b w:val="1"/>
          <w:bCs w:val="1"/>
          <w:i w:val="1"/>
          <w:iCs w:val="1"/>
          <w:color w:val="auto"/>
        </w:rPr>
        <w:t>Initial Conversion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Ratio</w:t>
      </w:r>
      <w:r>
        <w:rPr>
          <w:rFonts w:ascii="Arial" w:cs="Arial" w:eastAsia="Arial" w:hAnsi="Arial"/>
          <w:sz w:val="18"/>
          <w:szCs w:val="18"/>
          <w:color w:val="auto"/>
        </w:rPr>
        <w:t>”) automatically on the closing of the Business Combination.</w:t>
      </w:r>
    </w:p>
    <w:p>
      <w:pPr>
        <w:spacing w:after="0" w:line="170" w:lineRule="exact"/>
        <w:rPr>
          <w:rFonts w:ascii="Arial" w:cs="Arial" w:eastAsia="Arial" w:hAnsi="Arial"/>
          <w:sz w:val="18"/>
          <w:szCs w:val="18"/>
          <w:color w:val="auto"/>
        </w:rPr>
      </w:pPr>
    </w:p>
    <w:p>
      <w:pPr>
        <w:jc w:val="both"/>
        <w:ind w:firstLine="656"/>
        <w:spacing w:after="0" w:line="279" w:lineRule="auto"/>
        <w:tabs>
          <w:tab w:leader="none" w:pos="932"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Notwithstanding the Initial Conversion Ratio, in the case that additional shares of Class A Common Stock, or Equity-linked Securities (as defined below), are issued or deemed issued in excess of the amounts sold in the Corporation’s initial public offering of securities (the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and in connection with the closing of the Company’s initial Business Combination, all issued and outstanding shares of Class B Common Stock shall automatically convert into shares of Class A Common Stock at the time of the closing of the initial Business Combination at a ratio for which:</w:t>
      </w:r>
    </w:p>
    <w:p>
      <w:pPr>
        <w:spacing w:after="0" w:line="171" w:lineRule="exact"/>
        <w:rPr>
          <w:rFonts w:ascii="Arial" w:cs="Arial" w:eastAsia="Arial" w:hAnsi="Arial"/>
          <w:sz w:val="17"/>
          <w:szCs w:val="17"/>
          <w:color w:val="auto"/>
        </w:rPr>
      </w:pPr>
    </w:p>
    <w:p>
      <w:pPr>
        <w:jc w:val="both"/>
        <w:ind w:left="1300" w:hanging="320"/>
        <w:spacing w:after="0" w:line="255"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numerator shall be equal to the sum of (A) 25% of all shares of Class A Common Stock issued or issuable (upon the conversion or exercise of any Equity-linked Securities or otherwise) in each case by the Corporation related to or in connection with the consummation of the initial Business Combination (excluding any securities issued or issuable to any seller in the initial Business Combination and any private placement units (or underlying securities) issued to BurTech LP, LLC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or its affiliates upon conversion of loans made to the Corporation) plus (B) the number of shares of Class B Common Stock issued and outstanding prior to the closing of the initial Business Combination;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1300" w:right="20" w:hanging="320"/>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denominator shall be the number of shares of Class B Common Stock issued and outstanding prior to the closing of the initial Business Combination.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used herein, the term “Equity-linked Securities” means any debt or equity securities that are convertible, exercisable or exchangeable for shares of Class A common stock issued in a financing transaction in connection with the initial Business Combination, including but not limited to a private placement of equity or debt. Securities could be “deemed issued” for purposes of the conversion rate adjustment if such shares are issuable upon the conversion or exercise of convertible securities, warrants or similar securities.</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Notwithstanding anything to the contrary contained herein, (i) the foregoing adjustment to the Initial Conversion Ratio may be waived as to any particular issuance or deemed issuance of additional shares of Class A Common Stock or Equity-linked Securities by the written consent or agreement of holders of a majority of the shares of Class B Common Stock then outstanding consenting or agreeing separately as a single class in the manner provided in </w:t>
      </w:r>
      <w:r>
        <w:rPr>
          <w:rFonts w:ascii="Arial" w:cs="Arial" w:eastAsia="Arial" w:hAnsi="Arial"/>
          <w:sz w:val="16"/>
          <w:szCs w:val="16"/>
          <w:u w:val="single" w:color="auto"/>
          <w:color w:val="auto"/>
        </w:rPr>
        <w:t>Section 4.3(b)(iii)</w:t>
      </w:r>
      <w:r>
        <w:rPr>
          <w:rFonts w:ascii="Arial" w:cs="Arial" w:eastAsia="Arial" w:hAnsi="Arial"/>
          <w:sz w:val="16"/>
          <w:szCs w:val="16"/>
          <w:color w:val="auto"/>
        </w:rPr>
        <w:t>, and (ii) in no event shall the Class B Common Stock convert into Class A Common Stock at a ratio that is less than one-for-one.</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conversion ratio shall also be adjusted to account for any subdivision (by stock split, subdivision, exchange, stock dividend, reclassification, recapitalization or otherwise) or combination (by reverse stock split, exchange, reclassification, recapitalization or otherwise) or similar reclassification or recapitalization of the outstanding shares of Class A Common Stock into a greater or lesser number of shares occurring after the original filing of this Second Amended and Restated Certificate without a proportionate and corresponding subdivision, combination or similar reclassification or recapitalization of the outstanding shares of Class B Common Stock.</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Each share of Class B Common Stock shall convert into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number of shares of Class A Common Stock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for each holder of Class B Common Stock will be determined as follows: Each share of Class B Common Stock shall convert into such number of shares of Class A Common Stock as is equal to the product of one (1) multiplied by a fraction, the numerator of which shall be the total number of shares of Class A Common Stock into which all of the issued and outstanding shares of Class B Common Stock shall be converted pursuant to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and the denominator of which shall be the total number of issued and outstanding shares of Class B Common Stock at the time of conversion.</w:t>
      </w:r>
    </w:p>
    <w:p>
      <w:pPr>
        <w:spacing w:after="0" w:line="192" w:lineRule="exact"/>
        <w:rPr>
          <w:sz w:val="20"/>
          <w:szCs w:val="20"/>
          <w:color w:val="auto"/>
        </w:rPr>
      </w:pPr>
    </w:p>
    <w:p>
      <w:pPr>
        <w:jc w:val="both"/>
        <w:ind w:firstLine="656"/>
        <w:spacing w:after="0" w:line="268" w:lineRule="auto"/>
        <w:tabs>
          <w:tab w:leader="none" w:pos="963"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Voting. </w:t>
      </w:r>
      <w:r>
        <w:rPr>
          <w:rFonts w:ascii="Arial" w:cs="Arial" w:eastAsia="Arial" w:hAnsi="Arial"/>
          <w:sz w:val="17"/>
          <w:szCs w:val="17"/>
          <w:color w:val="auto"/>
        </w:rPr>
        <w:t>Except as otherwise required by law or this Second Amended and Restated Certificate (including any Preferred Stock Designation),</w:t>
      </w:r>
      <w:r>
        <w:rPr>
          <w:rFonts w:ascii="Arial" w:cs="Arial" w:eastAsia="Arial" w:hAnsi="Arial"/>
          <w:sz w:val="17"/>
          <w:szCs w:val="17"/>
          <w:i w:val="1"/>
          <w:iCs w:val="1"/>
          <w:color w:val="auto"/>
        </w:rPr>
        <w:t xml:space="preserve"> </w:t>
      </w:r>
      <w:r>
        <w:rPr>
          <w:rFonts w:ascii="Arial" w:cs="Arial" w:eastAsia="Arial" w:hAnsi="Arial"/>
          <w:sz w:val="17"/>
          <w:szCs w:val="17"/>
          <w:color w:val="auto"/>
        </w:rPr>
        <w:t>for so long as any shares of Class B Common Stock shall remain outstanding, the Corporation shall not, without the prior vote or written consent of the holders of a majority of the shares of Class B Common Stock then outstanding, voting separately as a single class, amend, alter or repeal any provision of this Second Amended and Restated Certificate,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 and shall be delivered to the Corporation by delivery to its registered office in the State of Delaware, its principal place of business, or an officer or agent of the Corporation having custody of the book in which minutes of proceedings of stockholders are recorded. Delivery made to the Corporation’s registered office shall be by hand or by certified or registered mail, return receipt requested. Prompt written notice of the taking of corporate action without a meeting by less than unanimous written consent of the holders of Class B Common Stock shall, to the extent required by law, be given to those holders of Class B Common Stock who have not consented in writing and who, if the action had been taken at a meeting, would have been entitled to notice of the meeting if the record date for notice of such meeting had been the date that written consents signed by a sufficient number of holders of Class B Common Stock to take the action were delivered to the Corporation.</w:t>
      </w:r>
    </w:p>
    <w:p>
      <w:pPr>
        <w:spacing w:after="0" w:line="182" w:lineRule="exact"/>
        <w:rPr>
          <w:sz w:val="20"/>
          <w:szCs w:val="20"/>
          <w:color w:val="auto"/>
        </w:rPr>
      </w:pPr>
    </w:p>
    <w:p>
      <w:pPr>
        <w:jc w:val="both"/>
        <w:ind w:firstLine="656"/>
        <w:spacing w:after="0" w:line="259" w:lineRule="auto"/>
        <w:tabs>
          <w:tab w:leader="none" w:pos="90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Subject to applicable law, the rights, if any, of the holders of any outstanding series of the Preferred Stock and the provisions of</w:t>
      </w:r>
      <w:r>
        <w:rPr>
          <w:rFonts w:ascii="Arial" w:cs="Arial" w:eastAsia="Arial" w:hAnsi="Arial"/>
          <w:sz w:val="18"/>
          <w:szCs w:val="18"/>
          <w:i w:val="1"/>
          <w:iCs w:val="1"/>
          <w:color w:val="auto"/>
        </w:rPr>
        <w:t xml:space="preserve"> Article IX </w:t>
      </w:r>
      <w:r>
        <w:rPr>
          <w:rFonts w:ascii="Arial" w:cs="Arial" w:eastAsia="Arial" w:hAnsi="Arial"/>
          <w:sz w:val="18"/>
          <w:szCs w:val="18"/>
          <w:color w:val="auto"/>
        </w:rPr>
        <w:t>hereof, the holders of shares of Common Stock shall be entitled to receive such dividends and other distributions (payable in cash, property 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stock of the Corporation) when, as and if declared thereon by the Board from time to time out of any assets or funds of the Corporation legally available therefor and shall share equally on a per share basis in such dividends and distributions.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both"/>
        <w:ind w:firstLine="656"/>
        <w:spacing w:after="0" w:line="275" w:lineRule="auto"/>
        <w:tabs>
          <w:tab w:leader="none" w:pos="916"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Liquidation, Dissolution or Winding Up of the Corporation. </w:t>
      </w:r>
      <w:r>
        <w:rPr>
          <w:rFonts w:ascii="Arial" w:cs="Arial" w:eastAsia="Arial" w:hAnsi="Arial"/>
          <w:sz w:val="17"/>
          <w:szCs w:val="17"/>
          <w:color w:val="auto"/>
        </w:rPr>
        <w:t>Subject to applicable law, the rights, if any, of the holders of any outstanding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series of the Preferred Stock and the provisions of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hereof, in the event of any voluntary or involuntary liquidation, dissolution or winding up of the Corporation, after payment or provision for payment of the debts and other liabilities of the Corporation, the holders of shares of Common Stock shall be entitled to receive all the remaining assets of the Corporation available for distribution to its stockholders, ratably in proportion to the number of shares of Class A Common Stock (on an as converted basis with respect to the Class B Common Stock) held by them.</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provided, however, that the consideration to be received for any shares of capital stock issuable upon exercise thereof may not be less than the par value thereof.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Board Powers</w:t>
      </w:r>
      <w:r>
        <w:rPr>
          <w:rFonts w:ascii="Arial" w:cs="Arial" w:eastAsia="Arial" w:hAnsi="Arial"/>
          <w:sz w:val="18"/>
          <w:szCs w:val="18"/>
          <w:color w:val="auto"/>
        </w:rPr>
        <w:t>. The business and affairs of the Corporation shall be managed by, or under the direction of, the Board. In addition to the powers and authority expressly conferred upon the Board by statute, this Second Amended and Restated Certificate or the By-Laws of the Corporation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the Board is hereby empowered to exercise all such powers and do all such acts and things as may be exercised or done by the Corporation, subject, nevertheless, to the provisions of the DGCL, this Second Amended and Restated Certificate, and any By-Laws adopted by the stockholders of the Corporation; provided, however, that no By-Laws hereafter adopted by the stockholders of the Corporation shall invalidate any prior act of the Board that would have been valid if such By-Laws had not been adopted.</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Number, Election and Term</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342" w:lineRule="auto"/>
        <w:tabs>
          <w:tab w:leader="none" w:pos="90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number of directors of the Corporation, other than those who may be elected by the holders of one or more series of the Preferred Stock voting separately by class or series, shall be fixed from time to time exclusively by the Board pursuant to a resolution adopted by a majority of the Board.</w:t>
      </w:r>
    </w:p>
    <w:p>
      <w:pPr>
        <w:spacing w:after="0" w:line="123" w:lineRule="exact"/>
        <w:rPr>
          <w:rFonts w:ascii="Arial" w:cs="Arial" w:eastAsia="Arial" w:hAnsi="Arial"/>
          <w:sz w:val="16"/>
          <w:szCs w:val="16"/>
          <w:color w:val="auto"/>
        </w:rPr>
      </w:pPr>
    </w:p>
    <w:p>
      <w:pPr>
        <w:jc w:val="both"/>
        <w:ind w:firstLine="656"/>
        <w:spacing w:after="0" w:line="286" w:lineRule="auto"/>
        <w:tabs>
          <w:tab w:leader="none" w:pos="912"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hereof, the Board shall be divided into three classes, as nearly equal in number as possible and designated Class I and Class II. The Board is authorized to assign members of the Board already in office to Class I or Class II. The term of the initial Class I Directors shall expire at the first annual meeting of the stockholders of the Corporation following the effectiveness of this Second Amended and Restated Certificate and the term of the initial Class II Directors shall expire at the second annual meeting of the stockholders of the Corporation following the effectiveness of this Second Amended and Restated Certificate. At each succeeding annual meeting of the stockholders of the Corporation, beginning with the first annual meeting of the stockholders of the Corporation following the effectiveness of this Second Amended and Restated Certificate, each of the successors elected to replace the class of directors whose term expires at that annual meeting shall be elected for a three-year term or until the election and qualification of their respective successors in office, subject to their earlier death, resignation or removal. 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hereof, if the number of directors that constitute the Board is changed, any increase or decrease shall be apportioned by the Board among the classes so as to maintain the number of directors in each class as nearly equal as possible, but in no case shall a decrease in the number of directors constituting the Board shorten the term of any incumbent director. Subject to the rights of the holders of one or more series of Preferred Stock, voting separately by class or series, to elect directors pursuant to the terms of one or more series of Preferred Stock, the election of directors shall be determined by a plurality of the votes cast by the stockholders present in person or represented by proxy at the meeting and entitled to vote thereon. The Board is hereby expressly authorized, by resolution or resolutions thereof, to assign members of the Board already in office to the aforesaid classes at the time this Second Amended and Restated Certificate (and therefore such classification) becomes effective in accordance with the DGCL.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ind w:firstLine="656"/>
        <w:spacing w:after="0" w:line="342" w:lineRule="auto"/>
        <w:tabs>
          <w:tab w:leader="none" w:pos="897"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hereof, 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123" w:lineRule="exact"/>
        <w:rPr>
          <w:rFonts w:ascii="Arial" w:cs="Arial" w:eastAsia="Arial" w:hAnsi="Arial"/>
          <w:sz w:val="16"/>
          <w:szCs w:val="16"/>
          <w:color w:val="auto"/>
        </w:rPr>
      </w:pPr>
    </w:p>
    <w:p>
      <w:pPr>
        <w:ind w:right="20" w:firstLine="656"/>
        <w:spacing w:after="0" w:line="277" w:lineRule="auto"/>
        <w:tabs>
          <w:tab w:leader="none" w:pos="9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Unless and except to the extent that the By-Laws shall so require, the election of directors need not be by written ballot. The holders of shares of Common Stock shall not have cumulative voting rights with regard to election of directors.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Newly Created Directorships and Vacancies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newly created directorships resulting from an increase in the number of directors and any vacancies on the Board resulting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hereof, any or all of the directors may be removed from office at any time, but only for cause and only by the affirmative vote of holders of a majority of the voting power of all then outstanding shares of capital stock of the Corporation entitled to vote generally in the election of directors, voting together as a single class.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Preferred Stock - Directors</w:t>
      </w:r>
      <w:r>
        <w:rPr>
          <w:rFonts w:ascii="Arial" w:cs="Arial" w:eastAsia="Arial" w:hAnsi="Arial"/>
          <w:sz w:val="17"/>
          <w:szCs w:val="17"/>
          <w:color w:val="auto"/>
        </w:rPr>
        <w:t xml:space="preserve">. Notwithstanding any other provision of this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and except as otherwise required by law, whenever the holders of one or more series of the Preferred Stock shall have the right, voting separately by class or series, to elect one or more directors, the term of office, the filling of vacancies, the removal from office and other features of such directorships shall be governed by the terms of such series of the Preferred Stock as set forth in this Second Amended and Restated Certificate (including any Preferred Stock Designation) and such directors shall not be included in any of the classes created pursuant to this </w:t>
      </w:r>
      <w:r>
        <w:rPr>
          <w:rFonts w:ascii="Arial" w:cs="Arial" w:eastAsia="Arial" w:hAnsi="Arial"/>
          <w:sz w:val="17"/>
          <w:szCs w:val="17"/>
          <w:i w:val="1"/>
          <w:iCs w:val="1"/>
          <w:color w:val="auto"/>
        </w:rPr>
        <w:t>Article V</w:t>
      </w:r>
      <w:r>
        <w:rPr>
          <w:rFonts w:ascii="Arial" w:cs="Arial" w:eastAsia="Arial" w:hAnsi="Arial"/>
          <w:sz w:val="17"/>
          <w:szCs w:val="17"/>
          <w:color w:val="auto"/>
        </w:rPr>
        <w:t xml:space="preserve"> unless expressly provided by such terms.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1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furtherance and not in limitation of the powers conferred upon it by law, the Board shall have the power and is expressly authorized to adopt, amend, alter or repeal the By-Laws. The affirmative vote of a majority of the Board shall be required to adopt, amend, alter or repeal the By-Laws. The By-Laws also may be adopted, amended, altered or repealed by the stockholders; provided, however, that in addition to any vote of the holders of any class or series of capital stock of the Corporation required by law or by this Second Amended and Restated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to adopt, amend, alter or repeal the By-Laws; and provided further, however, that no By-Laws hereafter adopted by the stockholders shall invalidate any prior act of the Board that would have been valid if such By-Laws had not been adopted.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MEETINGS OF STOCKHOLDERS; ACTION BY WRITTEN CONSENT</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Special Meetings</w:t>
      </w:r>
      <w:r>
        <w:rPr>
          <w:rFonts w:ascii="Arial" w:cs="Arial" w:eastAsia="Arial" w:hAnsi="Arial"/>
          <w:sz w:val="18"/>
          <w:szCs w:val="18"/>
          <w:color w:val="auto"/>
        </w:rPr>
        <w:t>. Subject to the rights, if any, of the holders of any outstanding series of the Preferred Stock, and to the requirements of applicable law, special meetings of stockholders of the Corporation may be called only by the Chairman of the Board, the Chief Executive Officer of the Corporation, or the Board pursuant to a resolution adopted by a majority of the Board, and the ability of the stockholders of the Corporation to call a special meeting is hereby specifically denied. Except as provided in the foregoing sentence, special meetings of stockholders of the Corporation may not be called by another person or persons.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jc w:val="both"/>
        <w:ind w:firstLine="648"/>
        <w:spacing w:after="0" w:line="27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Advance Notice</w:t>
      </w:r>
      <w:r>
        <w:rPr>
          <w:rFonts w:ascii="Arial" w:cs="Arial" w:eastAsia="Arial" w:hAnsi="Arial"/>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Action by Written Consent</w:t>
      </w:r>
      <w:r>
        <w:rPr>
          <w:rFonts w:ascii="Arial" w:cs="Arial" w:eastAsia="Arial" w:hAnsi="Arial"/>
          <w:sz w:val="18"/>
          <w:szCs w:val="18"/>
          <w:color w:val="auto"/>
        </w:rPr>
        <w:t>. Except as may be otherwise provided for or fixed pursuant to this Second Amended and Restated Certificate (including any Preferred Stock Designation) relating to the rights of the holders of any outstanding series of Preferred Stock, subsequent to the consummation of the Offering, any action required or permitted to be taken by the stockholders of the Corporation must be effected by a duly called annual or special meeting of such stockholders and may not be effected by written consent of the stockholders other than with respect to our Class B Common Stock with respect to which action may be taken by written consent.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INDEMNIFICATION</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A director of the Corporation shall not be personally liable to the Corporation or its stockholders for monetary damages for breach of fiduciary duty as a director, except to the extent such exemption from liability or limitation thereof is not permitted under the DGCL as the same exists or may hereafter be amended unless they violated their duty of loyalty to the Corporation or its stockholders, acted in bad faith, knowingly or intentionally violated the law, authorized unlawful payments of dividends, unlawful stock purchases or unlawful redemptions, or derived improper personal benefit from their actions as directors. Any amendment, modification or repeal of the foregoing sentence shall not adversely affect any right or protection of a director of the Corporation hereunder in respect of any act or omission occurring prior to the time of such amendment, modification or repeal.</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 and Advancement of Expenses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5" w:lineRule="auto"/>
        <w:tabs>
          <w:tab w:leader="none" w:pos="90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ERISA excise taxes and penalties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otherwise. The rights to indemnification and advancement of expenses conferred by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w:t>
      </w:r>
      <w:r>
        <w:rPr>
          <w:rFonts w:ascii="Arial" w:cs="Arial" w:eastAsia="Arial" w:hAnsi="Arial"/>
          <w:sz w:val="16"/>
          <w:szCs w:val="16"/>
          <w:u w:val="single" w:color="auto"/>
          <w:color w:val="auto"/>
        </w:rPr>
        <w:t>Section 8.2(a)</w:t>
      </w:r>
      <w:r>
        <w:rPr>
          <w:rFonts w:ascii="Arial" w:cs="Arial" w:eastAsia="Arial" w:hAnsi="Arial"/>
          <w:sz w:val="16"/>
          <w:szCs w:val="16"/>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73" w:lineRule="exact"/>
        <w:rPr>
          <w:rFonts w:ascii="Arial" w:cs="Arial" w:eastAsia="Arial" w:hAnsi="Arial"/>
          <w:sz w:val="16"/>
          <w:szCs w:val="16"/>
          <w:color w:val="auto"/>
        </w:rPr>
      </w:pPr>
    </w:p>
    <w:p>
      <w:pPr>
        <w:jc w:val="both"/>
        <w:ind w:firstLine="656"/>
        <w:spacing w:after="0" w:line="263" w:lineRule="auto"/>
        <w:tabs>
          <w:tab w:leader="none" w:pos="9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rights to indemnification and advancement of expenses conferred on any indemnitee by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be exclusive of any other rights that any indemnitee may have or hereafter acquire under law, this Second Amended and Restated Certificate, the By-Laws, an agreement, vote of stockholders or disinterested directors, or otherwise.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656"/>
        <w:spacing w:after="0" w:line="293" w:lineRule="auto"/>
        <w:tabs>
          <w:tab w:leader="none" w:pos="9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Any repeal or amendment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by the stockholders of the Corporation or by changes in law, or the adoption of any other provision of this Second Amended and Restated Certificate inconsistent with this </w:t>
      </w:r>
      <w:r>
        <w:rPr>
          <w:rFonts w:ascii="Arial" w:cs="Arial" w:eastAsia="Arial" w:hAnsi="Arial"/>
          <w:sz w:val="16"/>
          <w:szCs w:val="16"/>
          <w:u w:val="single" w:color="auto"/>
          <w:color w:val="auto"/>
        </w:rPr>
        <w:t>Section 8.2</w:t>
      </w:r>
      <w:r>
        <w:rPr>
          <w:rFonts w:ascii="Arial" w:cs="Arial" w:eastAsia="Arial" w:hAnsi="Arial"/>
          <w:sz w:val="16"/>
          <w:szCs w:val="16"/>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64" w:lineRule="exact"/>
        <w:rPr>
          <w:rFonts w:ascii="Arial" w:cs="Arial" w:eastAsia="Arial" w:hAnsi="Arial"/>
          <w:sz w:val="16"/>
          <w:szCs w:val="16"/>
          <w:color w:val="auto"/>
        </w:rPr>
      </w:pPr>
    </w:p>
    <w:p>
      <w:pPr>
        <w:ind w:right="20" w:firstLine="656"/>
        <w:spacing w:after="0" w:line="277" w:lineRule="auto"/>
        <w:tabs>
          <w:tab w:leader="none" w:pos="903"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 REQUIREMENTS; EXISTENCE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9" w:lineRule="auto"/>
        <w:tabs>
          <w:tab w:leader="none" w:pos="9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shall apply during the period commencing upon the effectiveness of this Second Amended and Restated Certificate and terminating upon the consummation of the Corporation’s initial Business Combination and no amendment to this </w:t>
      </w:r>
      <w:r>
        <w:rPr>
          <w:rFonts w:ascii="Arial" w:cs="Arial" w:eastAsia="Arial" w:hAnsi="Arial"/>
          <w:sz w:val="18"/>
          <w:szCs w:val="18"/>
          <w:i w:val="1"/>
          <w:iCs w:val="1"/>
          <w:color w:val="auto"/>
        </w:rPr>
        <w:t>Article IX</w:t>
      </w:r>
      <w:r>
        <w:rPr>
          <w:rFonts w:ascii="Arial" w:cs="Arial" w:eastAsia="Arial" w:hAnsi="Arial"/>
          <w:sz w:val="18"/>
          <w:szCs w:val="18"/>
          <w:color w:val="auto"/>
        </w:rPr>
        <w:t xml:space="preserve"> shall be effective prior to the consummation of the initial Business Combination unless approved by the affirmative vote of the holders of at least sixty-five percent (65%) of all then outstanding shares of the Common Stock.</w:t>
      </w:r>
    </w:p>
    <w:p>
      <w:pPr>
        <w:spacing w:after="0" w:line="186" w:lineRule="exact"/>
        <w:rPr>
          <w:rFonts w:ascii="Arial" w:cs="Arial" w:eastAsia="Arial" w:hAnsi="Arial"/>
          <w:sz w:val="18"/>
          <w:szCs w:val="18"/>
          <w:color w:val="auto"/>
        </w:rPr>
      </w:pPr>
    </w:p>
    <w:p>
      <w:pPr>
        <w:jc w:val="both"/>
        <w:ind w:firstLine="656"/>
        <w:spacing w:after="0" w:line="285" w:lineRule="auto"/>
        <w:tabs>
          <w:tab w:leader="none" w:pos="93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on August 19, 2021, as amended (the “</w:t>
      </w:r>
      <w:r>
        <w:rPr>
          <w:rFonts w:ascii="Arial" w:cs="Arial" w:eastAsia="Arial" w:hAnsi="Arial"/>
          <w:sz w:val="16"/>
          <w:szCs w:val="16"/>
          <w:b w:val="1"/>
          <w:bCs w:val="1"/>
          <w:i w:val="1"/>
          <w:iCs w:val="1"/>
          <w:color w:val="auto"/>
        </w:rPr>
        <w:t>Registration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w:t>
      </w:r>
      <w:r>
        <w:rPr>
          <w:rFonts w:ascii="Arial" w:cs="Arial" w:eastAsia="Arial" w:hAnsi="Arial"/>
          <w:sz w:val="16"/>
          <w:szCs w:val="16"/>
          <w:color w:val="auto"/>
        </w:rPr>
        <w:t>”), shall be deposited in a trust account (the “</w:t>
      </w:r>
      <w:r>
        <w:rPr>
          <w:rFonts w:ascii="Arial" w:cs="Arial" w:eastAsia="Arial" w:hAnsi="Arial"/>
          <w:sz w:val="16"/>
          <w:szCs w:val="16"/>
          <w:b w:val="1"/>
          <w:bCs w:val="1"/>
          <w:i w:val="1"/>
          <w:iCs w:val="1"/>
          <w:color w:val="auto"/>
        </w:rPr>
        <w:t>Trust Account</w:t>
      </w:r>
      <w:r>
        <w:rPr>
          <w:rFonts w:ascii="Arial" w:cs="Arial" w:eastAsia="Arial" w:hAnsi="Arial"/>
          <w:sz w:val="16"/>
          <w:szCs w:val="16"/>
          <w:color w:val="auto"/>
        </w:rPr>
        <w:t>”), established for the benefit of the Public Stockholders (as defined below) pursuant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 trust agreement described in the Registration Statement (the “</w:t>
      </w:r>
      <w:r>
        <w:rPr>
          <w:rFonts w:ascii="Arial" w:cs="Arial" w:eastAsia="Arial" w:hAnsi="Arial"/>
          <w:sz w:val="16"/>
          <w:szCs w:val="16"/>
          <w:b w:val="1"/>
          <w:bCs w:val="1"/>
          <w:i w:val="1"/>
          <w:iCs w:val="1"/>
          <w:color w:val="auto"/>
        </w:rPr>
        <w:t>Trust Agreement</w:t>
      </w:r>
      <w:r>
        <w:rPr>
          <w:rFonts w:ascii="Arial" w:cs="Arial" w:eastAsia="Arial" w:hAnsi="Arial"/>
          <w:sz w:val="16"/>
          <w:szCs w:val="16"/>
          <w:color w:val="auto"/>
        </w:rPr>
        <w:t xml:space="preserve">”). Except for the withdrawal of interest to pay taxes (less up to $100,000 interest to pay dissolution expenses),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if the Corporation is unable to complete its initial Business Combination within 15 months from the closing of the Offering (or, if the Office of the Delaware Division of Corporations shall not be open for business (including filing of corporate documents) on such date the next date upon which the Office of the Delaware Division of Corporations shall be open (or such a later date pursuant to the extension set forth under </w:t>
      </w:r>
      <w:r>
        <w:rPr>
          <w:rFonts w:ascii="Arial" w:cs="Arial" w:eastAsia="Arial" w:hAnsi="Arial"/>
          <w:sz w:val="16"/>
          <w:szCs w:val="16"/>
          <w:u w:val="single" w:color="auto"/>
          <w:color w:val="auto"/>
        </w:rPr>
        <w:t>Section 9.1 (c)</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Deadline Date</w:t>
      </w:r>
      <w:r>
        <w:rPr>
          <w:rFonts w:ascii="Arial" w:cs="Arial" w:eastAsia="Arial" w:hAnsi="Arial"/>
          <w:sz w:val="16"/>
          <w:szCs w:val="16"/>
          <w:color w:val="auto"/>
        </w:rPr>
        <w:t xml:space="preserve">”) and (iii) the redemption of shares in connection with a stockholder vote to amend any provisions of this Second Amended and Restated Certificate (a) to modify the substance or timing of the Corporation’s obligation to provide for the redemption of the Offering Shares in connection with an initial Business Combination to redeem 100% of such shares if the Corporation has not consummated an initial Business Combination by the Deadline Date or (b) with respect to any other provision relating to stockholders’ rights or pre-initial Business Combination activity (as described in </w:t>
      </w:r>
      <w:r>
        <w:rPr>
          <w:rFonts w:ascii="Arial" w:cs="Arial" w:eastAsia="Arial" w:hAnsi="Arial"/>
          <w:sz w:val="16"/>
          <w:szCs w:val="16"/>
          <w:u w:val="single" w:color="auto"/>
          <w:color w:val="auto"/>
        </w:rPr>
        <w:t>Section 9.7</w:t>
      </w:r>
      <w:r>
        <w:rPr>
          <w:rFonts w:ascii="Arial" w:cs="Arial" w:eastAsia="Arial" w:hAnsi="Arial"/>
          <w:sz w:val="16"/>
          <w:szCs w:val="16"/>
          <w:color w:val="auto"/>
        </w:rPr>
        <w:t>). Holders of shares of Common Stock included as part of the units sold in the Offering (the “</w:t>
      </w:r>
      <w:r>
        <w:rPr>
          <w:rFonts w:ascii="Arial" w:cs="Arial" w:eastAsia="Arial" w:hAnsi="Arial"/>
          <w:sz w:val="16"/>
          <w:szCs w:val="16"/>
          <w:b w:val="1"/>
          <w:bCs w:val="1"/>
          <w:i w:val="1"/>
          <w:iCs w:val="1"/>
          <w:color w:val="auto"/>
        </w:rPr>
        <w:t>Offering Shares</w:t>
      </w:r>
      <w:r>
        <w:rPr>
          <w:rFonts w:ascii="Arial" w:cs="Arial" w:eastAsia="Arial" w:hAnsi="Arial"/>
          <w:sz w:val="16"/>
          <w:szCs w:val="16"/>
          <w:color w:val="auto"/>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Arial" w:cs="Arial" w:eastAsia="Arial" w:hAnsi="Arial"/>
          <w:sz w:val="16"/>
          <w:szCs w:val="16"/>
          <w:b w:val="1"/>
          <w:bCs w:val="1"/>
          <w:i w:val="1"/>
          <w:iCs w:val="1"/>
          <w:color w:val="auto"/>
        </w:rPr>
        <w:t>Public Stockholders.</w:t>
      </w:r>
      <w:r>
        <w:rPr>
          <w:rFonts w:ascii="Arial" w:cs="Arial" w:eastAsia="Arial" w:hAnsi="Arial"/>
          <w:sz w:val="16"/>
          <w:szCs w:val="16"/>
          <w:color w:val="auto"/>
        </w:rPr>
        <w: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Redemption Rights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9" w:lineRule="auto"/>
        <w:tabs>
          <w:tab w:leader="none" w:pos="933"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w:t>
      </w:r>
      <w:r>
        <w:rPr>
          <w:rFonts w:ascii="Arial" w:cs="Arial" w:eastAsia="Arial" w:hAnsi="Arial"/>
          <w:sz w:val="17"/>
          <w:szCs w:val="17"/>
          <w:u w:val="single" w:color="auto"/>
          <w:color w:val="auto"/>
        </w:rPr>
        <w:t>Sections 9.2(b)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9.2(c)</w:t>
      </w:r>
      <w:r>
        <w:rPr>
          <w:rFonts w:ascii="Arial" w:cs="Arial" w:eastAsia="Arial" w:hAnsi="Arial"/>
          <w:sz w:val="17"/>
          <w:szCs w:val="17"/>
          <w:color w:val="auto"/>
        </w:rPr>
        <w:t xml:space="preserve"> (such rights of such holders to have their Offering Shares redeemed pursuant to such Sections, the “</w:t>
      </w:r>
      <w:r>
        <w:rPr>
          <w:rFonts w:ascii="Arial" w:cs="Arial" w:eastAsia="Arial" w:hAnsi="Arial"/>
          <w:sz w:val="17"/>
          <w:szCs w:val="17"/>
          <w:b w:val="1"/>
          <w:bCs w:val="1"/>
          <w:i w:val="1"/>
          <w:iCs w:val="1"/>
          <w:color w:val="auto"/>
        </w:rPr>
        <w:t>Redemption Rights</w:t>
      </w:r>
      <w:r>
        <w:rPr>
          <w:rFonts w:ascii="Arial" w:cs="Arial" w:eastAsia="Arial" w:hAnsi="Arial"/>
          <w:sz w:val="17"/>
          <w:szCs w:val="17"/>
          <w:color w:val="auto"/>
        </w:rPr>
        <w:t xml:space="preserve">”) hereof for cash equal to the applicable redemption price per share determined in accordance with </w:t>
      </w:r>
      <w:r>
        <w:rPr>
          <w:rFonts w:ascii="Arial" w:cs="Arial" w:eastAsia="Arial" w:hAnsi="Arial"/>
          <w:sz w:val="17"/>
          <w:szCs w:val="17"/>
          <w:u w:val="single" w:color="auto"/>
          <w:color w:val="auto"/>
        </w:rPr>
        <w:t>Section 9.2(b)</w:t>
      </w:r>
      <w:r>
        <w:rPr>
          <w:rFonts w:ascii="Arial" w:cs="Arial" w:eastAsia="Arial" w:hAnsi="Arial"/>
          <w:sz w:val="17"/>
          <w:szCs w:val="17"/>
          <w:color w:val="auto"/>
        </w:rPr>
        <w:t xml:space="preserve"> hereof (the “</w:t>
      </w:r>
      <w:r>
        <w:rPr>
          <w:rFonts w:ascii="Arial" w:cs="Arial" w:eastAsia="Arial" w:hAnsi="Arial"/>
          <w:sz w:val="17"/>
          <w:szCs w:val="17"/>
          <w:b w:val="1"/>
          <w:bCs w:val="1"/>
          <w:i w:val="1"/>
          <w:iCs w:val="1"/>
          <w:color w:val="auto"/>
        </w:rPr>
        <w:t>Redemption Price</w:t>
      </w:r>
      <w:r>
        <w:rPr>
          <w:rFonts w:ascii="Arial" w:cs="Arial" w:eastAsia="Arial" w:hAnsi="Arial"/>
          <w:sz w:val="17"/>
          <w:szCs w:val="17"/>
          <w:color w:val="auto"/>
        </w:rPr>
        <w:t>”); provided, however, that the Corporation will only redeem Offering Shares so long as (after such redemption), the Corporation’s net tangible assets (as determined in accordance with Rule 3a51-1(g)(1) of the Securities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(or any successor rule)), or of any entity that succeeds the Corporation as a public company, will be at least $5,000,001 or any greater net tangible asset or cash requirement which may be contained in the agreement relating to the initial Business Combination either immediately prior to or upon consummation of the initial Business Combination and after payment of underwriters’ fees and commissions (such limitation hereinafter called the “</w:t>
      </w:r>
      <w:r>
        <w:rPr>
          <w:rFonts w:ascii="Arial" w:cs="Arial" w:eastAsia="Arial" w:hAnsi="Arial"/>
          <w:sz w:val="17"/>
          <w:szCs w:val="17"/>
          <w:b w:val="1"/>
          <w:bCs w:val="1"/>
          <w:i w:val="1"/>
          <w:iCs w:val="1"/>
          <w:color w:val="auto"/>
        </w:rPr>
        <w:t>Redemption Limitation</w:t>
      </w:r>
      <w:r>
        <w:rPr>
          <w:rFonts w:ascii="Arial" w:cs="Arial" w:eastAsia="Arial" w:hAnsi="Arial"/>
          <w:sz w:val="17"/>
          <w:szCs w:val="17"/>
          <w:color w:val="auto"/>
        </w:rPr>
        <w:t>”). Notwithstanding anything to the contrary contained in this Second Amended and Restated Certificate, there shall be no Redemption Rights or liquidating distributions with respect to any warrant issued pursuant to the Offering.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656"/>
        <w:spacing w:after="0" w:line="284" w:lineRule="auto"/>
        <w:tabs>
          <w:tab w:leader="none" w:pos="912"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If the Corporation offers to redeem the Offering Shares other than in conjunction with a stockholder vote on an initial Business Combination with a proxy solicitation pursuant to Regulation 14A of the Exchange Act (or any successor rules or regulations) and filing proxy materials with the SEC, the Corporation shall offer to redeem the Offering Shares upon the consummation of the initial Business Combination,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hereof pursuant to a tender offer in accordance with Rule 13e-4 and Regulation 14E of the Exchange Act (or any successor rule or regulation) (such rules and regulations hereinafter called the “</w:t>
      </w:r>
      <w:r>
        <w:rPr>
          <w:rFonts w:ascii="Arial" w:cs="Arial" w:eastAsia="Arial" w:hAnsi="Arial"/>
          <w:sz w:val="16"/>
          <w:szCs w:val="16"/>
          <w:b w:val="1"/>
          <w:bCs w:val="1"/>
          <w:i w:val="1"/>
          <w:iCs w:val="1"/>
          <w:color w:val="auto"/>
        </w:rPr>
        <w:t>Tender Offer Rules</w:t>
      </w:r>
      <w:r>
        <w:rPr>
          <w:rFonts w:ascii="Arial" w:cs="Arial" w:eastAsia="Arial" w:hAnsi="Arial"/>
          <w:sz w:val="16"/>
          <w:szCs w:val="16"/>
          <w:color w:val="auto"/>
        </w:rPr>
        <w:t>”) which it shall commence prior to the consummation of the initial Business Combination and shall file tender offer documents with the SEC prior to the consummation of the initial Business Combination that contain substantially the same financial and other information about the initial Business Combination and the Redemption Rights as is required under Regulation 14A of the Exchange Act (or any successor rule or regulation) (such rules and regulations hereinafter called the “</w:t>
      </w:r>
      <w:r>
        <w:rPr>
          <w:rFonts w:ascii="Arial" w:cs="Arial" w:eastAsia="Arial" w:hAnsi="Arial"/>
          <w:sz w:val="16"/>
          <w:szCs w:val="16"/>
          <w:b w:val="1"/>
          <w:bCs w:val="1"/>
          <w:i w:val="1"/>
          <w:iCs w:val="1"/>
          <w:color w:val="auto"/>
        </w:rPr>
        <w:t>Proxy Solicitation Rules</w:t>
      </w:r>
      <w:r>
        <w:rPr>
          <w:rFonts w:ascii="Arial" w:cs="Arial" w:eastAsia="Arial" w:hAnsi="Arial"/>
          <w:sz w:val="16"/>
          <w:szCs w:val="16"/>
          <w:color w:val="auto"/>
        </w:rPr>
        <w:t xml:space="preserve">”), even if such information is not required under the Tender Offer Rules; provided, however, that if a stockholder vote is required by law to approve the proposed initial Business Combination, or the Corporation decides to submit the proposed initial Business Combination to the stockholders for their approval for business or other legal reasons, the Corporation shall offer to redeem the Offering Shares, subject to lawfully available funds therefor, in accordance with the provisions of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hereof in conjunction with a proxy solicitation pursuant to the Proxy Solicitation Rules (and not the Tender Offer Rules) at a price per share equal to the Redemption Price calculated in accordance with the following provisions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9.2(b)</w:t>
      </w:r>
      <w:r>
        <w:rPr>
          <w:rFonts w:ascii="Arial" w:cs="Arial" w:eastAsia="Arial" w:hAnsi="Arial"/>
          <w:sz w:val="16"/>
          <w:szCs w:val="16"/>
          <w:color w:val="auto"/>
        </w:rPr>
        <w:t>. In the event that the Corporation offers to redeem the Offering Shares pursuant to a tender offer in accordance with the Tender Offer Rules, the Redemption Price per share of the Common Stock payable to holders of the Offering Shares tendering their Offering Shares pursuant to such tender offer shall be equal to the quotient obtained by dividing: (i) the aggregate amount on deposit in the Trust Account as of two business days prior to the consummation of the initial Business Combination, including interest not previously released to the Corporation to pay its taxes, by (ii) the total number of then outstanding Offering Shares. If the Corporation offers to redeem the Offering Shares in conjunction with a stockholder vote on the proposed initial Business Combination pursuant to a proxy solicitation, the Redemption Price per share of the Common Stock payable to holders of the Offering Shares exercising their Redemption Rights (irrespective of whether they voted in favor or against the Business Combination) shall be equal to the quotient obtained by dividing (a) the aggregate amount on deposit in the Trust Account as of two business days prior to the consummation of the initial Business Combination, including interest not previously released to the Corporation to pay its taxes, by (b) the total number of then outstanding Offering Shares.</w:t>
      </w:r>
    </w:p>
    <w:p>
      <w:pPr>
        <w:spacing w:after="0" w:line="178" w:lineRule="exact"/>
        <w:rPr>
          <w:rFonts w:ascii="Arial" w:cs="Arial" w:eastAsia="Arial" w:hAnsi="Arial"/>
          <w:sz w:val="16"/>
          <w:szCs w:val="16"/>
          <w:color w:val="auto"/>
        </w:rPr>
      </w:pPr>
    </w:p>
    <w:p>
      <w:pPr>
        <w:jc w:val="both"/>
        <w:ind w:firstLine="656"/>
        <w:spacing w:after="0" w:line="259" w:lineRule="auto"/>
        <w:tabs>
          <w:tab w:leader="none" w:pos="8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Corporation offers to redeem the Offering Shares in conjunction with a stockholder vote on an initial Business Combination pursuant to a proxy solicitation, a Public Stockholder, together with any affiliate of such stockholder or any other person with whom such stockholder is acting in concert or as a “</w:t>
      </w:r>
      <w:r>
        <w:rPr>
          <w:rFonts w:ascii="Arial" w:cs="Arial" w:eastAsia="Arial" w:hAnsi="Arial"/>
          <w:sz w:val="18"/>
          <w:szCs w:val="18"/>
          <w:b w:val="1"/>
          <w:bCs w:val="1"/>
          <w:i w:val="1"/>
          <w:iCs w:val="1"/>
          <w:color w:val="auto"/>
        </w:rPr>
        <w:t>group</w:t>
      </w:r>
      <w:r>
        <w:rPr>
          <w:rFonts w:ascii="Arial" w:cs="Arial" w:eastAsia="Arial" w:hAnsi="Arial"/>
          <w:sz w:val="18"/>
          <w:szCs w:val="18"/>
          <w:color w:val="auto"/>
        </w:rPr>
        <w:t>” (as defined under Section 13(d)(3) of the Exchange Act), shall be restricted from seeking Redemption Rights with respect to more than an aggregate of 15% of the Offering Shares without the prior consent of the Corporation.</w:t>
      </w:r>
    </w:p>
    <w:p>
      <w:pPr>
        <w:spacing w:after="0" w:line="186" w:lineRule="exact"/>
        <w:rPr>
          <w:rFonts w:ascii="Arial" w:cs="Arial" w:eastAsia="Arial" w:hAnsi="Arial"/>
          <w:sz w:val="18"/>
          <w:szCs w:val="18"/>
          <w:color w:val="auto"/>
        </w:rPr>
      </w:pPr>
    </w:p>
    <w:p>
      <w:pPr>
        <w:jc w:val="both"/>
        <w:ind w:firstLine="656"/>
        <w:spacing w:after="0" w:line="270" w:lineRule="auto"/>
        <w:tabs>
          <w:tab w:leader="none" w:pos="912"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the event that the Corporation has not consummated an initial Business Combination by the Deadline Date, the Corporation shall (i) cease all operations except for the purpose of winding up, (ii) as promptly as reasonably possible but not more than ten business days thereafter subject to lawfully available funds therefor, redeem 100% of the Offering Shares in consideration of a per-share price, payable in cash, equal to the quotient obtained by dividing (A) the aggregate amount then on deposit in the Trust Account, including interest not previously released to the Corporation to pay its taxes (less up to $100,000 of such net interest to pay dissolution expenses), by (B) the total number of then outstanding Offering Shares, which redemption will completely extinguish rights of the Public Stockholders (including the right to receive further liquidating distributions, if any), subject to applicable law, and (iii) as promptly as reasonably possible following such redemption, subject to the approval of the remaining stockholders and the Board in accordance with applicable law, dissolve and liquidate, subject in the case of clauses (ii) and (iii) to the Corporation’s obligations under the DGCL to provide for claims of creditors and other requirements of applicable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656"/>
        <w:spacing w:after="0" w:line="259" w:lineRule="auto"/>
        <w:tabs>
          <w:tab w:leader="none" w:pos="92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Corporation offers to redeem the Offering Shares in conjunction with a stockholder vote on an initial Business Combination, the Corporation shall consummate the proposed initial Business Combination only if (i) such initial Business Combination is approved by the affirmative vote of the holders of a majority of the shares of the Common Stock that are voted at a stockholder meeting held to consider such initial Business Combination and (ii) the Redemption Limitation is not exceeded.</w:t>
      </w:r>
    </w:p>
    <w:p>
      <w:pPr>
        <w:spacing w:after="0" w:line="186" w:lineRule="exact"/>
        <w:rPr>
          <w:rFonts w:ascii="Arial" w:cs="Arial" w:eastAsia="Arial" w:hAnsi="Arial"/>
          <w:sz w:val="18"/>
          <w:szCs w:val="18"/>
          <w:color w:val="auto"/>
        </w:rPr>
      </w:pPr>
    </w:p>
    <w:p>
      <w:pPr>
        <w:ind w:right="20" w:firstLine="656"/>
        <w:spacing w:after="0" w:line="277" w:lineRule="auto"/>
        <w:tabs>
          <w:tab w:leader="none" w:pos="913"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Corporation conducts a tender offer pursuant to Section 9.2(b), the Corporation shall consummate the proposed initial Business Combination only if the Redemption Limitation is not exceeded.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Distributions from the Trust Account</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63" w:lineRule="auto"/>
        <w:tabs>
          <w:tab w:leader="none" w:pos="8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A Public Stockholder shall be entitled to receive funds from the Trust Account only as provided in </w:t>
      </w:r>
      <w:r>
        <w:rPr>
          <w:rFonts w:ascii="Arial" w:cs="Arial" w:eastAsia="Arial" w:hAnsi="Arial"/>
          <w:sz w:val="18"/>
          <w:szCs w:val="18"/>
          <w:u w:val="single" w:color="auto"/>
          <w:color w:val="auto"/>
        </w:rPr>
        <w:t>Sections 9.2(a)</w:t>
      </w:r>
      <w:r>
        <w:rPr>
          <w:rFonts w:ascii="Arial" w:cs="Arial" w:eastAsia="Arial" w:hAnsi="Arial"/>
          <w:sz w:val="18"/>
          <w:szCs w:val="18"/>
          <w:color w:val="auto"/>
        </w:rPr>
        <w:t xml:space="preserve">, </w:t>
      </w:r>
      <w:r>
        <w:rPr>
          <w:rFonts w:ascii="Arial" w:cs="Arial" w:eastAsia="Arial" w:hAnsi="Arial"/>
          <w:sz w:val="18"/>
          <w:szCs w:val="18"/>
          <w:u w:val="single" w:color="auto"/>
          <w:color w:val="auto"/>
        </w:rPr>
        <w:t>9.2(b)</w:t>
      </w:r>
      <w:r>
        <w:rPr>
          <w:rFonts w:ascii="Arial" w:cs="Arial" w:eastAsia="Arial" w:hAnsi="Arial"/>
          <w:sz w:val="18"/>
          <w:szCs w:val="18"/>
          <w:color w:val="auto"/>
        </w:rPr>
        <w:t xml:space="preserve">, </w:t>
      </w:r>
      <w:r>
        <w:rPr>
          <w:rFonts w:ascii="Arial" w:cs="Arial" w:eastAsia="Arial" w:hAnsi="Arial"/>
          <w:sz w:val="18"/>
          <w:szCs w:val="18"/>
          <w:u w:val="single" w:color="auto"/>
          <w:color w:val="auto"/>
        </w:rPr>
        <w:t>9.2(d)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9.7</w:t>
      </w:r>
      <w:r>
        <w:rPr>
          <w:rFonts w:ascii="Arial" w:cs="Arial" w:eastAsia="Arial" w:hAnsi="Arial"/>
          <w:sz w:val="18"/>
          <w:szCs w:val="18"/>
          <w:color w:val="auto"/>
        </w:rPr>
        <w:t xml:space="preserve"> hereof. In no other circumstances shall a Public Stockholder have any right or interest of any kind in or to distributions from the Trust Account, and no stockholder other than a Public Stockholder shall have any interest in or to the Trust Account.</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2"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Public Stockholder that does not exercise its Redemption Rights shall retain its interest in the Corporation and shall be deemed to have given its consent to the release of the remaining funds in the Trust Account to the Corporation, and following payment to any Public Stockholders exercising their Redemption Rights, the remaining funds in the Trust Account shall be released to the Corporation.</w:t>
      </w:r>
    </w:p>
    <w:p>
      <w:pPr>
        <w:spacing w:after="0" w:line="183" w:lineRule="exact"/>
        <w:rPr>
          <w:rFonts w:ascii="Arial" w:cs="Arial" w:eastAsia="Arial" w:hAnsi="Arial"/>
          <w:sz w:val="18"/>
          <w:szCs w:val="18"/>
          <w:color w:val="auto"/>
        </w:rPr>
      </w:pPr>
    </w:p>
    <w:p>
      <w:pPr>
        <w:jc w:val="both"/>
        <w:ind w:firstLine="656"/>
        <w:spacing w:after="0" w:line="259" w:lineRule="auto"/>
        <w:tabs>
          <w:tab w:leader="none" w:pos="9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exercise by a Public Stockholder of the Redemption Rights shall be conditioned on such Public Stockholder following the specific procedures for redemptions set forth by the Corporation in any applicable tender offer or proxy materials sent to the Public Stockholders relating to the proposed initial Business Combination. Payment of the amounts necessary to satisfy the Redemption Rights properly exercised shall be made as promptly as practical after the consummation of the initial Business Combination.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Share Issuances</w:t>
      </w:r>
      <w:r>
        <w:rPr>
          <w:rFonts w:ascii="Arial" w:cs="Arial" w:eastAsia="Arial" w:hAnsi="Arial"/>
          <w:sz w:val="18"/>
          <w:szCs w:val="18"/>
          <w:color w:val="auto"/>
        </w:rPr>
        <w:t xml:space="preserve">. Prior to the consummation of the Corporation’s initial Business Combination, the Corporation shall not issue any additional shares of capital stock of the Corporation that would entitle the holders thereof to receive funds from the Trust Account or vote on any initial Business Combination, on any pre-Business Combination activity or on any amendment to this </w:t>
      </w:r>
      <w:r>
        <w:rPr>
          <w:rFonts w:ascii="Arial" w:cs="Arial" w:eastAsia="Arial" w:hAnsi="Arial"/>
          <w:sz w:val="18"/>
          <w:szCs w:val="18"/>
          <w:i w:val="1"/>
          <w:iCs w:val="1"/>
          <w:color w:val="auto"/>
        </w:rPr>
        <w:t>Article IX</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9.5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In the event the Corporation enters into an initial Business Combination with a target business that is affiliated with the Sponsor, or the directors or officers of the Corporation, the Corporation, or a committee of the independent directors of the Corporation, shall obtain an opinion from an independent investment banking firm or another independent entity that commonly renders valuation opinions that such Business Combination is fair to the Corporation from a financial point of view.</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No Transactions with Other Blank Check Companies</w:t>
      </w:r>
      <w:r>
        <w:rPr>
          <w:rFonts w:ascii="Arial" w:cs="Arial" w:eastAsia="Arial" w:hAnsi="Arial"/>
          <w:sz w:val="18"/>
          <w:szCs w:val="18"/>
          <w:color w:val="auto"/>
        </w:rPr>
        <w:t>. The Corporation shall not enter into an initial Business Combination with another blank check company or a similar company with nominal operations.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9.7 </w:t>
      </w:r>
      <w:r>
        <w:rPr>
          <w:rFonts w:ascii="Arial" w:cs="Arial" w:eastAsia="Arial" w:hAnsi="Arial"/>
          <w:sz w:val="17"/>
          <w:szCs w:val="17"/>
          <w:u w:val="single" w:color="auto"/>
          <w:color w:val="auto"/>
        </w:rPr>
        <w:t>Additional Redemption Rights</w:t>
      </w:r>
      <w:r>
        <w:rPr>
          <w:rFonts w:ascii="Arial" w:cs="Arial" w:eastAsia="Arial" w:hAnsi="Arial"/>
          <w:sz w:val="17"/>
          <w:szCs w:val="17"/>
          <w:color w:val="auto"/>
        </w:rPr>
        <w:t xml:space="preserve">. If, in accordance with </w:t>
      </w:r>
      <w:r>
        <w:rPr>
          <w:rFonts w:ascii="Arial" w:cs="Arial" w:eastAsia="Arial" w:hAnsi="Arial"/>
          <w:sz w:val="17"/>
          <w:szCs w:val="17"/>
          <w:u w:val="single" w:color="auto"/>
          <w:color w:val="auto"/>
        </w:rPr>
        <w:t>Section 9.1(a)</w:t>
      </w:r>
      <w:r>
        <w:rPr>
          <w:rFonts w:ascii="Arial" w:cs="Arial" w:eastAsia="Arial" w:hAnsi="Arial"/>
          <w:sz w:val="17"/>
          <w:szCs w:val="17"/>
          <w:color w:val="auto"/>
        </w:rPr>
        <w:t xml:space="preserve">, any amendment is made to Section 9.2(d) to modify (i) the substance or timing of the ability of Public Stockholders to seek redemption in connection with an initial Business Combination or amendments to this Second Amended and Restated Certificate prior thereto or the Corporation’s obligation to redeem 100% of the Offering Shares if the Corporation has not consummated an initial Business Combination by the Deadline Date or (ii) with respect to any other provisions of this Second Amended and Restated Certificate relating to stockholders’ rights or pre-initial Business Combination activity, the Public Stockholders shall be provided with the opportunity to redeem their Offering Shares upon the approval of any such amendment, at a per-share price, payable in cash, equal to the aggregate amount then on deposit in the Trust Account, including interest not previously released to the Corporation to pay its taxes, divided by the number of then outstanding Offering Shares; provided, however, that any such amendment will be voided, and this </w:t>
      </w:r>
      <w:r>
        <w:rPr>
          <w:rFonts w:ascii="Arial" w:cs="Arial" w:eastAsia="Arial" w:hAnsi="Arial"/>
          <w:sz w:val="17"/>
          <w:szCs w:val="17"/>
          <w:i w:val="1"/>
          <w:iCs w:val="1"/>
          <w:color w:val="auto"/>
        </w:rPr>
        <w:t>Article IX</w:t>
      </w:r>
      <w:r>
        <w:rPr>
          <w:rFonts w:ascii="Arial" w:cs="Arial" w:eastAsia="Arial" w:hAnsi="Arial"/>
          <w:sz w:val="17"/>
          <w:szCs w:val="17"/>
          <w:color w:val="auto"/>
        </w:rPr>
        <w:t xml:space="preserve"> will remain unchanged, if any stockholders who wish to redeem are unable to redeem due to the Redemption Limitation.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648"/>
        <w:spacing w:after="0" w:line="279" w:lineRule="auto"/>
        <w:rPr>
          <w:sz w:val="20"/>
          <w:szCs w:val="20"/>
          <w:color w:val="auto"/>
        </w:rPr>
      </w:pPr>
      <w:r>
        <w:rPr>
          <w:rFonts w:ascii="Arial" w:cs="Arial" w:eastAsia="Arial" w:hAnsi="Arial"/>
          <w:sz w:val="17"/>
          <w:szCs w:val="17"/>
          <w:color w:val="auto"/>
        </w:rPr>
        <w:t xml:space="preserve">Section 9.8 </w:t>
      </w:r>
      <w:r>
        <w:rPr>
          <w:rFonts w:ascii="Arial" w:cs="Arial" w:eastAsia="Arial" w:hAnsi="Arial"/>
          <w:sz w:val="17"/>
          <w:szCs w:val="17"/>
          <w:u w:val="single" w:color="auto"/>
          <w:color w:val="auto"/>
        </w:rPr>
        <w:t>Minimum Value of Target</w:t>
      </w:r>
      <w:r>
        <w:rPr>
          <w:rFonts w:ascii="Arial" w:cs="Arial" w:eastAsia="Arial" w:hAnsi="Arial"/>
          <w:sz w:val="17"/>
          <w:szCs w:val="17"/>
          <w:color w:val="auto"/>
        </w:rPr>
        <w:t>. So long as the Corporation is listed on a national securities exchange, the Corporation’s initial Business Combination must occur with one or more target businesses that together have an aggregate fair market value of at least 80% of the assets held in the Trust Account (excluding the amount of any deferred underwriting discount held in, and taxes payable on the income earned on, the Trust Account) at the time of the Corporation signing a definitive agreement in connection with the initial Business Combination.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OPPORTUNITY</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To the extent allowed by law, the doctrine of corporate opportunity, or any other analogous doctrine, shall not apply with respect to the Corporation or any of its officers or directors, or any of their respective affiliates, in circumstances where the application of any such doctrine would conflict with any fiduciary duties or contractual obligations they may have as of the date of this Second Amended and Restated Certificate or in the future,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with respect to a corporate opportunity that was offered to such person solely in his or her capacity as a director or officer of the Corporation and (i) such opportunity is one the Corporation is legally and contractually permitted to undertake and would otherwise be reasonable for the Corporation to pursue and (ii) the director or officer is permitted to refer that opportunity to the Corporation without violating any legal obligation.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SECOND AMENDED AND RESTATED CERTIFICATE OF INCORPORATION</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The Corporation reserves the right at any time and from time to time to amend, alter, change or repeal any provision contained in this Second Amended and Restated Certificate (including any Preferred Stock Designation), and other provisions authorized by the laws of the State of Delaware at the time in force that may be added or inserted, in the manner now or hereafter prescribed by this Second Amended and Restated Certificate and the DGCL; and, except as set forth in </w:t>
      </w:r>
      <w:r>
        <w:rPr>
          <w:rFonts w:ascii="Arial" w:cs="Arial" w:eastAsia="Arial" w:hAnsi="Arial"/>
          <w:sz w:val="16"/>
          <w:szCs w:val="16"/>
          <w:i w:val="1"/>
          <w:iCs w:val="1"/>
          <w:color w:val="auto"/>
        </w:rPr>
        <w:t>Article VIII</w:t>
      </w:r>
      <w:r>
        <w:rPr>
          <w:rFonts w:ascii="Arial" w:cs="Arial" w:eastAsia="Arial" w:hAnsi="Arial"/>
          <w:sz w:val="16"/>
          <w:szCs w:val="16"/>
          <w:color w:val="auto"/>
        </w:rPr>
        <w:t xml:space="preserve">, all rights, preferences and privileges of whatever nature herein conferred upon stockholders, directors or any other persons by and pursuant to this Second Amended and Restated Certificate in its present form or as hereafter amended are granted subject to the right reserved in this </w:t>
      </w:r>
      <w:r>
        <w:rPr>
          <w:rFonts w:ascii="Arial" w:cs="Arial" w:eastAsia="Arial" w:hAnsi="Arial"/>
          <w:sz w:val="16"/>
          <w:szCs w:val="16"/>
          <w:i w:val="1"/>
          <w:iCs w:val="1"/>
          <w:color w:val="auto"/>
        </w:rPr>
        <w:t>Article</w:t>
      </w:r>
      <w:r>
        <w:rPr>
          <w:rFonts w:ascii="Arial" w:cs="Arial" w:eastAsia="Arial" w:hAnsi="Arial"/>
          <w:sz w:val="16"/>
          <w:szCs w:val="16"/>
          <w:color w:val="auto"/>
        </w:rPr>
        <w:t xml:space="preserve"> XI;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t>
      </w:r>
      <w:r>
        <w:rPr>
          <w:rFonts w:ascii="Arial" w:cs="Arial" w:eastAsia="Arial" w:hAnsi="Arial"/>
          <w:sz w:val="16"/>
          <w:szCs w:val="16"/>
          <w:i w:val="1"/>
          <w:iCs w:val="1"/>
          <w:color w:val="auto"/>
        </w:rPr>
        <w:t>Article IX</w:t>
      </w:r>
      <w:r>
        <w:rPr>
          <w:rFonts w:ascii="Arial" w:cs="Arial" w:eastAsia="Arial" w:hAnsi="Arial"/>
          <w:sz w:val="16"/>
          <w:szCs w:val="16"/>
          <w:color w:val="auto"/>
        </w:rPr>
        <w:t xml:space="preserve"> of this Second Amended and Restated Certificate may be amended only as provided therein.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EXCLUSIVE FORUM FOR CERTAIN LAWSUITS; CONSENT TO JURISDICTION</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Forum.</w:t>
      </w:r>
      <w:r>
        <w:rPr>
          <w:rFonts w:ascii="Arial" w:cs="Arial" w:eastAsia="Arial" w:hAnsi="Arial"/>
          <w:sz w:val="16"/>
          <w:szCs w:val="16"/>
          <w:color w:val="auto"/>
        </w:rPr>
        <w:t xml:space="preserve"> Subject to the last sentence in this Section 12.1, and unless the Corporation consents in writing to the selection of an alternative forum, to the fullest extent permitted by the applicable law, the Court of Chancery of the State of Delaware shall be the sole and exclusive forum for any stockholder (including a beneficial owner) to bring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against the Corporation, its directors, officers or employees arising pursuant to any provision of the DGCL or this Second Amended and Restated Certificate or the By-Laws, or (iv) any action asserting a claim against the Corporation,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Notwithstanding the foregoing, (i) the provisions of this Section 12.1 will not apply to suits brought to enforce any liability or duty created by the Exchange Act or any other claim for which the federal courts have exclusive jurisdiction and (ii) unless the Corporation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648"/>
        <w:spacing w:after="0" w:line="296" w:lineRule="auto"/>
        <w:rPr>
          <w:sz w:val="20"/>
          <w:szCs w:val="20"/>
          <w:color w:val="auto"/>
        </w:rPr>
      </w:pPr>
      <w:r>
        <w:rPr>
          <w:rFonts w:ascii="Arial" w:cs="Arial" w:eastAsia="Arial" w:hAnsi="Arial"/>
          <w:sz w:val="16"/>
          <w:szCs w:val="16"/>
          <w:color w:val="auto"/>
        </w:rPr>
        <w:t xml:space="preserve">Section 12.2 </w:t>
      </w:r>
      <w:r>
        <w:rPr>
          <w:rFonts w:ascii="Arial" w:cs="Arial" w:eastAsia="Arial" w:hAnsi="Arial"/>
          <w:sz w:val="16"/>
          <w:szCs w:val="16"/>
          <w:u w:val="single" w:color="auto"/>
          <w:color w:val="auto"/>
        </w:rPr>
        <w:t>Consent to Jurisdiction</w:t>
      </w:r>
      <w:r>
        <w:rPr>
          <w:rFonts w:ascii="Arial" w:cs="Arial" w:eastAsia="Arial" w:hAnsi="Arial"/>
          <w:sz w:val="16"/>
          <w:szCs w:val="16"/>
          <w:color w:val="auto"/>
        </w:rPr>
        <w:t>. If any action the subject matter of which is within the scope of Section 12.1 immediately above is filed in a court other than a court located within the State of Delaware (a “</w:t>
      </w:r>
      <w:r>
        <w:rPr>
          <w:rFonts w:ascii="Arial" w:cs="Arial" w:eastAsia="Arial" w:hAnsi="Arial"/>
          <w:sz w:val="16"/>
          <w:szCs w:val="16"/>
          <w:b w:val="1"/>
          <w:bCs w:val="1"/>
          <w:i w:val="1"/>
          <w:iCs w:val="1"/>
          <w:color w:val="auto"/>
        </w:rPr>
        <w:t>Foreign Action</w:t>
      </w:r>
      <w:r>
        <w:rPr>
          <w:rFonts w:ascii="Arial" w:cs="Arial" w:eastAsia="Arial" w:hAnsi="Arial"/>
          <w:sz w:val="16"/>
          <w:szCs w:val="16"/>
          <w:color w:val="auto"/>
        </w:rPr>
        <w:t>”) in the name of any stockholder, such stockholder shall be deemed to have consented to (i) the personal jurisdiction of the state and federal courts located within the State of Delaware in connection with any action brought in any such court to enforce Section 12.1 immediately above (an “</w:t>
      </w:r>
      <w:r>
        <w:rPr>
          <w:rFonts w:ascii="Arial" w:cs="Arial" w:eastAsia="Arial" w:hAnsi="Arial"/>
          <w:sz w:val="16"/>
          <w:szCs w:val="16"/>
          <w:b w:val="1"/>
          <w:bCs w:val="1"/>
          <w:i w:val="1"/>
          <w:iCs w:val="1"/>
          <w:color w:val="auto"/>
        </w:rPr>
        <w:t>FSC Enforcement Action</w:t>
      </w:r>
      <w:r>
        <w:rPr>
          <w:rFonts w:ascii="Arial" w:cs="Arial" w:eastAsia="Arial" w:hAnsi="Arial"/>
          <w:sz w:val="16"/>
          <w:szCs w:val="16"/>
          <w:color w:val="auto"/>
        </w:rPr>
        <w:t>”) and (ii) having service of process made upon such stockholder in any such FSC Enforcement Action by service upon such stockholder’s counsel in the Foreign Action as agent for such stockholder.</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or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 xml:space="preserve">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 xml:space="preserve"> (including, without limitation, each portion of any sentence of this </w:t>
      </w:r>
      <w:r>
        <w:rPr>
          <w:rFonts w:ascii="Arial" w:cs="Arial" w:eastAsia="Arial" w:hAnsi="Arial"/>
          <w:sz w:val="18"/>
          <w:szCs w:val="18"/>
          <w:i w:val="1"/>
          <w:iCs w:val="1"/>
          <w:color w:val="auto"/>
        </w:rPr>
        <w:t xml:space="preserve">Article XII </w:t>
      </w:r>
      <w:r>
        <w:rPr>
          <w:rFonts w:ascii="Arial" w:cs="Arial" w:eastAsia="Arial" w:hAnsi="Arial"/>
          <w:sz w:val="18"/>
          <w:szCs w:val="18"/>
          <w:color w:val="auto"/>
        </w:rPr>
        <w:t>containing any such provision held to be invalid, illegal or unenforceable that is not itself held to be invalid, illegal or unenforceable)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w:t>
      </w:r>
      <w:r>
        <w:rPr>
          <w:rFonts w:ascii="Arial" w:cs="Arial" w:eastAsia="Arial" w:hAnsi="Arial"/>
          <w:sz w:val="18"/>
          <w:szCs w:val="18"/>
          <w:i w:val="1"/>
          <w:iCs w:val="1"/>
          <w:color w:val="auto"/>
        </w:rPr>
        <w:t>Article XII</w:t>
      </w:r>
      <w:r>
        <w:rPr>
          <w:rFonts w:ascii="Arial" w:cs="Arial" w:eastAsia="Arial" w:hAnsi="Arial"/>
          <w:sz w:val="18"/>
          <w:szCs w:val="18"/>
          <w:color w:val="auto"/>
        </w:rPr>
        <w: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firstLine="648"/>
        <w:spacing w:after="0" w:line="277" w:lineRule="auto"/>
        <w:rPr>
          <w:sz w:val="20"/>
          <w:szCs w:val="20"/>
          <w:color w:val="auto"/>
        </w:rPr>
      </w:pPr>
      <w:r>
        <w:rPr>
          <w:rFonts w:ascii="Arial" w:cs="Arial" w:eastAsia="Arial" w:hAnsi="Arial"/>
          <w:sz w:val="18"/>
          <w:szCs w:val="18"/>
          <w:color w:val="auto"/>
        </w:rPr>
        <w:t>IN WITNESS WHEREOF, BurTech Acquisition Corp. has caused this Second Amended and Restated Certificate to be duly executed and acknowledged in its name and on its behalf by an authorized officer as of the date first set forth above.</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Amended and Restated Certificate of Incorporation</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580"/>
      </w:cols>
      <w:pgMar w:left="320" w:top="908"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1)"/>
      <w:numFmt w:val="decimal"/>
      <w:start w:val="1"/>
    </w:lvl>
  </w:abstractNum>
  <w:abstractNum w:abstractNumId="2">
    <w:nsid w:val="41A7C4C9"/>
    <w:multiLevelType w:val="hybridMultilevel"/>
    <w:lvl w:ilvl="0">
      <w:lvlJc w:val="left"/>
      <w:lvlText w:val="(%1)"/>
      <w:numFmt w:val="lowerLetter"/>
      <w:start w:val="1"/>
    </w:lvl>
  </w:abstractNum>
  <w:abstractNum w:abstractNumId="3">
    <w:nsid w:val="6B68079A"/>
    <w:multiLevelType w:val="hybridMultilevel"/>
    <w:lvl w:ilvl="0">
      <w:lvlJc w:val="left"/>
      <w:lvlText w:val="(%1)"/>
      <w:numFmt w:val="lowerLetter"/>
      <w:start w:val="3"/>
    </w:lvl>
  </w:abstractNum>
  <w:abstractNum w:abstractNumId="4">
    <w:nsid w:val="4E6AFB66"/>
    <w:multiLevelType w:val="hybridMultilevel"/>
    <w:lvl w:ilvl="0">
      <w:lvlJc w:val="left"/>
      <w:lvlText w:val="(%1)"/>
      <w:numFmt w:val="lowerLetter"/>
      <w:start w:val="9"/>
    </w:lvl>
  </w:abstractNum>
  <w:abstractNum w:abstractNumId="5">
    <w:nsid w:val="25E45D32"/>
    <w:multiLevelType w:val="hybridMultilevel"/>
    <w:lvl w:ilvl="0">
      <w:lvlJc w:val="left"/>
      <w:lvlText w:val="(%1)"/>
      <w:numFmt w:val="lowerLetter"/>
      <w:start w:val="1"/>
    </w:lvl>
  </w:abstractNum>
  <w:abstractNum w:abstractNumId="6">
    <w:nsid w:val="519B500D"/>
    <w:multiLevelType w:val="hybridMultilevel"/>
    <w:lvl w:ilvl="0">
      <w:lvlJc w:val="left"/>
      <w:lvlText w:val="(%1)"/>
      <w:numFmt w:val="lowerLetter"/>
      <w:start w:val="1"/>
    </w:lvl>
  </w:abstractNum>
  <w:abstractNum w:abstractNumId="7">
    <w:nsid w:val="431BD7B7"/>
    <w:multiLevelType w:val="hybridMultilevel"/>
    <w:lvl w:ilvl="0">
      <w:lvlJc w:val="left"/>
      <w:lvlText w:val="(%1)"/>
      <w:numFmt w:val="lowerLetter"/>
      <w:start w:val="2"/>
    </w:lvl>
    <w:lvl w:ilvl="1">
      <w:lvlJc w:val="left"/>
      <w:lvlText w:val="(%2)"/>
      <w:numFmt w:val="decimal"/>
      <w:start w:val="1"/>
    </w:lvl>
  </w:abstractNum>
  <w:abstractNum w:abstractNumId="8">
    <w:nsid w:val="3F2DBA31"/>
    <w:multiLevelType w:val="hybridMultilevel"/>
    <w:lvl w:ilvl="0">
      <w:lvlJc w:val="left"/>
      <w:lvlText w:val="(%1)"/>
      <w:numFmt w:val="lowerRoman"/>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lowerLetter"/>
      <w:start w:val="1"/>
    </w:lvl>
  </w:abstractNum>
  <w:abstractNum w:abstractNumId="12">
    <w:nsid w:val="436C6125"/>
    <w:multiLevelType w:val="hybridMultilevel"/>
    <w:lvl w:ilvl="0">
      <w:lvlJc w:val="left"/>
      <w:lvlText w:val="(%1)"/>
      <w:numFmt w:val="lowerRoman"/>
      <w:start w:val="1"/>
    </w:lvl>
  </w:abstractNum>
  <w:abstractNum w:abstractNumId="13">
    <w:nsid w:val="628C895D"/>
    <w:multiLevelType w:val="hybridMultilevel"/>
    <w:lvl w:ilvl="0">
      <w:lvlJc w:val="left"/>
      <w:lvlText w:val="(%1)"/>
      <w:numFmt w:val="lowerLetter"/>
      <w:start w:val="2"/>
    </w:lvl>
  </w:abstractNum>
  <w:abstractNum w:abstractNumId="14">
    <w:nsid w:val="333AB105"/>
    <w:multiLevelType w:val="hybridMultilevel"/>
    <w:lvl w:ilvl="0">
      <w:lvlJc w:val="left"/>
      <w:lvlText w:val="(%1)"/>
      <w:numFmt w:val="lowerRoman"/>
      <w:start w:val="1"/>
    </w:lvl>
    <w:lvl w:ilvl="1">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lowerRoman"/>
      <w:start w:val="3"/>
    </w:lvl>
  </w:abstractNum>
  <w:abstractNum w:abstractNumId="17">
    <w:nsid w:val="2D1D5AE9"/>
    <w:multiLevelType w:val="hybridMultilevel"/>
    <w:lvl w:ilvl="0">
      <w:lvlJc w:val="left"/>
      <w:lvlText w:val="(%1)"/>
      <w:numFmt w:val="lowerLetter"/>
      <w:start w:val="3"/>
    </w:lvl>
  </w:abstractNum>
  <w:abstractNum w:abstractNumId="18">
    <w:nsid w:val="6763845E"/>
    <w:multiLevelType w:val="hybridMultilevel"/>
    <w:lvl w:ilvl="0">
      <w:lvlJc w:val="left"/>
      <w:lvlText w:val="(%1)"/>
      <w:numFmt w:val="lowerLetter"/>
      <w:start w:val="4"/>
    </w:lvl>
  </w:abstractNum>
  <w:abstractNum w:abstractNumId="19">
    <w:nsid w:val="75A2A8D4"/>
    <w:multiLevelType w:val="hybridMultilevel"/>
    <w:lvl w:ilvl="0">
      <w:lvlJc w:val="left"/>
      <w:lvlText w:val="(%1)"/>
      <w:numFmt w:val="lowerLetter"/>
      <w:start w:val="1"/>
    </w:lvl>
  </w:abstractNum>
  <w:abstractNum w:abstractNumId="20">
    <w:nsid w:val="8EDBDAB"/>
    <w:multiLevelType w:val="hybridMultilevel"/>
    <w:lvl w:ilvl="0">
      <w:lvlJc w:val="left"/>
      <w:lvlText w:val="(%1)"/>
      <w:numFmt w:val="lowerLetter"/>
      <w:start w:val="3"/>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3"/>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lowerLetter"/>
      <w:start w:val="1"/>
    </w:lvl>
  </w:abstractNum>
  <w:abstractNum w:abstractNumId="25">
    <w:nsid w:val="54E49EB4"/>
    <w:multiLevelType w:val="hybridMultilevel"/>
    <w:lvl w:ilvl="0">
      <w:lvlJc w:val="left"/>
      <w:lvlText w:val="(%1)"/>
      <w:numFmt w:val="lowerLetter"/>
      <w:start w:val="2"/>
    </w:lvl>
  </w:abstractNum>
  <w:abstractNum w:abstractNumId="26">
    <w:nsid w:val="71F32454"/>
    <w:multiLevelType w:val="hybridMultilevel"/>
    <w:lvl w:ilvl="0">
      <w:lvlJc w:val="left"/>
      <w:lvlText w:val="(%1)"/>
      <w:numFmt w:val="lowerLetter"/>
      <w:start w:val="5"/>
    </w:lvl>
  </w:abstractNum>
  <w:abstractNum w:abstractNumId="27">
    <w:nsid w:val="2CA8861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45" Type="http://schemas.openxmlformats.org/officeDocument/2006/relationships/image" Target="media/image13.png"/><Relationship Id="rId46" Type="http://schemas.openxmlformats.org/officeDocument/2006/relationships/image" Target="media/image14.png"/><Relationship Id="rId47" Type="http://schemas.openxmlformats.org/officeDocument/2006/relationships/image" Target="media/image15.png"/><Relationship Id="rId48" Type="http://schemas.openxmlformats.org/officeDocument/2006/relationships/image" Target="media/image16.png"/><Relationship Id="rId49" Type="http://schemas.openxmlformats.org/officeDocument/2006/relationships/image" Target="media/image17.png"/><Relationship Id="rId50" Type="http://schemas.openxmlformats.org/officeDocument/2006/relationships/image" Target="media/image18.png"/><Relationship Id="rId51" Type="http://schemas.openxmlformats.org/officeDocument/2006/relationships/image" Target="media/image19.png"/><Relationship Id="rId52" Type="http://schemas.openxmlformats.org/officeDocument/2006/relationships/image" Target="media/image20.png"/><Relationship Id="rId53" Type="http://schemas.openxmlformats.org/officeDocument/2006/relationships/image" Target="media/image21.png"/><Relationship Id="rId54" Type="http://schemas.openxmlformats.org/officeDocument/2006/relationships/image" Target="media/image22.png"/><Relationship Id="rId55" Type="http://schemas.openxmlformats.org/officeDocument/2006/relationships/image" Target="media/image23.png"/><Relationship Id="rId56" Type="http://schemas.openxmlformats.org/officeDocument/2006/relationships/image" Target="media/image24.png"/><Relationship Id="rId57" Type="http://schemas.openxmlformats.org/officeDocument/2006/relationships/image" Target="media/image25.png"/><Relationship Id="rId58" Type="http://schemas.openxmlformats.org/officeDocument/2006/relationships/image" Target="media/image26.png"/><Relationship Id="rId59" Type="http://schemas.openxmlformats.org/officeDocument/2006/relationships/image" Target="media/image27.png"/><Relationship Id="rId60" Type="http://schemas.openxmlformats.org/officeDocument/2006/relationships/image" Target="media/image28.png"/><Relationship Id="rId20" Type="http://schemas.openxmlformats.org/officeDocument/2006/relationships/hyperlink" Target="https://www.sec.gov/Archives/edgar/data/1871638/000110465921141949/tm2124406d5_ex1-1.htm" TargetMode="External"/><Relationship Id="rId21" Type="http://schemas.openxmlformats.org/officeDocument/2006/relationships/hyperlink" Target="https://www.sec.gov/Archives/edgar/data/1871638/000110465921141949/tm2124406d5_ex3-1.htm" TargetMode="External"/><Relationship Id="rId22" Type="http://schemas.openxmlformats.org/officeDocument/2006/relationships/hyperlink" Target="https://www.sec.gov/Archives/edgar/data/1871638/000110465921141949/tm2124406d5_ex3-2.htm" TargetMode="External"/><Relationship Id="rId23" Type="http://schemas.openxmlformats.org/officeDocument/2006/relationships/hyperlink" Target="https://www.sec.gov/Archives/edgar/data/1871638/000110465921141949/tm2124406d5_ex3-3.htm" TargetMode="External"/><Relationship Id="rId24" Type="http://schemas.openxmlformats.org/officeDocument/2006/relationships/hyperlink" Target="https://www.sec.gov/Archives/edgar/data/1871638/000110465921141949/tm2124406d5_ex4-1.htm" TargetMode="External"/><Relationship Id="rId25" Type="http://schemas.openxmlformats.org/officeDocument/2006/relationships/hyperlink" Target="https://www.sec.gov/Archives/edgar/data/1871638/000110465921141949/tm2124406d5_ex4-2.htm" TargetMode="External"/><Relationship Id="rId26" Type="http://schemas.openxmlformats.org/officeDocument/2006/relationships/hyperlink" Target="https://www.sec.gov/Archives/edgar/data/1871638/000110465921141949/tm2124406d5_ex4-3.htm" TargetMode="External"/><Relationship Id="rId27" Type="http://schemas.openxmlformats.org/officeDocument/2006/relationships/hyperlink" Target="https://www.sec.gov/Archives/edgar/data/1871638/000110465921141949/tm2124406d5_ex4-4.htm" TargetMode="External"/><Relationship Id="rId28" Type="http://schemas.openxmlformats.org/officeDocument/2006/relationships/hyperlink" Target="https://www.sec.gov/Archives/edgar/data/1871638/000110465921141949/tm2124406d5_ex5-1.htm" TargetMode="External"/><Relationship Id="rId29" Type="http://schemas.openxmlformats.org/officeDocument/2006/relationships/hyperlink" Target="https://www.sec.gov/Archives/edgar/data/1871638/000110465921141949/tm2124406d5_ex10-1.htm" TargetMode="External"/><Relationship Id="rId30" Type="http://schemas.openxmlformats.org/officeDocument/2006/relationships/hyperlink" Target="https://www.sec.gov/Archives/edgar/data/1871638/000110465921141949/tm2124406d5_ex10-2.htm" TargetMode="External"/><Relationship Id="rId31" Type="http://schemas.openxmlformats.org/officeDocument/2006/relationships/hyperlink" Target="https://www.sec.gov/Archives/edgar/data/1871638/000110465921141949/tm2124406d5_ex10-3.htm" TargetMode="External"/><Relationship Id="rId32" Type="http://schemas.openxmlformats.org/officeDocument/2006/relationships/hyperlink" Target="https://www.sec.gov/Archives/edgar/data/1871638/000110465921141949/tm2124406d5_ex10-4.htm" TargetMode="External"/><Relationship Id="rId33" Type="http://schemas.openxmlformats.org/officeDocument/2006/relationships/hyperlink" Target="https://www.sec.gov/Archives/edgar/data/1871638/000110465921141949/tm2124406d5_ex10-5.htm" TargetMode="External"/><Relationship Id="rId34" Type="http://schemas.openxmlformats.org/officeDocument/2006/relationships/hyperlink" Target="https://www.sec.gov/Archives/edgar/data/1871638/000110465921141949/tm2124406d5_ex10-6.htm" TargetMode="External"/><Relationship Id="rId35" Type="http://schemas.openxmlformats.org/officeDocument/2006/relationships/hyperlink" Target="https://www.sec.gov/Archives/edgar/data/1871638/000110465921141949/tm2124406d5_ex10-7.htm" TargetMode="External"/><Relationship Id="rId36" Type="http://schemas.openxmlformats.org/officeDocument/2006/relationships/hyperlink" Target="https://www.sec.gov/Archives/edgar/data/1871638/000110465921141949/tm2124406d5_ex10-8.htm" TargetMode="External"/><Relationship Id="rId37" Type="http://schemas.openxmlformats.org/officeDocument/2006/relationships/hyperlink" Target="https://www.sec.gov/Archives/edgar/data/1871638/000110465921141949/tm2124406d5_ex14.htm" TargetMode="External"/><Relationship Id="rId38" Type="http://schemas.openxmlformats.org/officeDocument/2006/relationships/hyperlink" Target="https://www.sec.gov/Archives/edgar/data/1871638/000110465921141949/tm2124406d5_ex23-1.htm" TargetMode="External"/><Relationship Id="rId39" Type="http://schemas.openxmlformats.org/officeDocument/2006/relationships/hyperlink" Target="https://www.sec.gov/Archives/edgar/data/1871638/000110465921141949/tm2124406d5_s1a.htm#a_021" TargetMode="External"/><Relationship Id="rId40" Type="http://schemas.openxmlformats.org/officeDocument/2006/relationships/hyperlink" Target="https://www.sec.gov/Archives/edgar/data/1871638/000110465921141949/tm2124406d5_ex99-1.htm" TargetMode="External"/><Relationship Id="rId41" Type="http://schemas.openxmlformats.org/officeDocument/2006/relationships/hyperlink" Target="https://www.sec.gov/Archives/edgar/data/1871638/000110465921141949/tm2124406d5_ex99-2.htm" TargetMode="External"/><Relationship Id="rId42" Type="http://schemas.openxmlformats.org/officeDocument/2006/relationships/hyperlink" Target="https://www.sec.gov/Archives/edgar/data/1871638/000110465921141949/tm2124406d5_ex99-3.htm" TargetMode="External"/><Relationship Id="rId43" Type="http://schemas.openxmlformats.org/officeDocument/2006/relationships/hyperlink" Target="https://www.sec.gov/Archives/edgar/data/1871638/000110465921141949/tm2124406d5_ex99-4.htm" TargetMode="External"/><Relationship Id="rId44" Type="http://schemas.openxmlformats.org/officeDocument/2006/relationships/hyperlink" Target="https://www.sec.gov/Archives/edgar/data/1871638/000110465921141949/tm2124406d5_ex99-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2021-12-03T05:14:00Z</dcterms:created>
  <dcterms:modified xsi:type="dcterms:W3CDTF">2021-12-03T05:14:00Z</dcterms:modified>
</cp:coreProperties>
</file>